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60" w:before="0"/>
        <w:jc w:val="left"/>
      </w:pPr>
      <w:r>
        <w:rPr>
          <w:rFonts w:ascii="Arial" w:cs="Arial" w:eastAsia="Arial" w:hAnsi="Arial"/>
          <w:b/>
          <w:bCs/>
          <w:color w:val="C84B2F"/>
          <w:sz w:val="80"/>
          <w:szCs w:val="80"/>
        </w:rPr>
        <w:t xml:space="preserve">CELLIX</w:t>
      </w:r>
    </w:p>
    <w:p>
      <w:pPr>
        <w:spacing w:after="200" w:before="0"/>
        <w:jc w:val="left"/>
      </w:pPr>
      <w:r>
        <w:rPr>
          <w:rFonts w:ascii="Arial" w:cs="Arial" w:eastAsia="Arial" w:hAnsi="Arial"/>
          <w:color w:val="5F5E5A"/>
          <w:sz w:val="36"/>
          <w:szCs w:val="36"/>
        </w:rPr>
        <w:t xml:space="preserve">Technical Architecture &amp; Engineering Reference</w:t>
      </w:r>
    </w:p>
    <w:p>
      <w:pPr>
        <w:pBdr>
          <w:bottom w:val="single" w:color="C84B2F" w:sz="8" w:space="1"/>
        </w:pBdr>
        <w:spacing w:after="320" w:before="0"/>
      </w:pPr>
      <w:r>
        <w:t xml:space="preserve"/>
      </w:r>
    </w:p>
    <w:p>
      <w:pPr>
        <w:spacing w:after="80" w:before="0"/>
      </w:pPr>
      <w:r>
        <w:rPr>
          <w:rFonts w:ascii="Arial" w:cs="Arial" w:eastAsia="Arial" w:hAnsi="Arial"/>
          <w:color w:val="3d3d3a"/>
          <w:sz w:val="22"/>
          <w:szCs w:val="22"/>
        </w:rPr>
        <w:t xml:space="preserve">Excel Add-in · React Frontend · Node.js Backend · MongoDB · LLM Pipeline · GST Reconciliation Engine</w:t>
      </w:r>
    </w:p>
    <w:p>
      <w:pPr>
        <w:spacing w:after="40" w:before="0"/>
      </w:pPr>
      <w:r>
        <w:rPr>
          <w:rFonts w:ascii="Arial" w:cs="Arial" w:eastAsia="Arial" w:hAnsi="Arial"/>
          <w:i/>
          <w:iCs/>
          <w:color w:val="5F5E5A"/>
          <w:sz w:val="20"/>
          <w:szCs w:val="20"/>
        </w:rPr>
        <w:t xml:space="preserve">Complete named-process walkthrough from prompt to response</w:t>
      </w:r>
    </w:p>
    <w:p>
      <w:pPr>
        <w:spacing w:after="0" w:before="800"/>
      </w:pPr>
      <w:r>
        <w:rPr>
          <w:rFonts w:ascii="Arial" w:cs="Arial" w:eastAsia="Arial" w:hAnsi="Arial"/>
          <w:color w:val="5F5E5A"/>
          <w:sz w:val="18"/>
          <w:szCs w:val="18"/>
        </w:rPr>
        <w:t xml:space="preserve">Version 2.0  ·  April 2026  ·  Internal Engineering Reference</w:t>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 System Overview</w:t>
      </w:r>
    </w:p>
    <w:p>
      <w:pPr>
        <w:spacing w:after="120" w:before="60"/>
      </w:pPr>
      <w:r>
        <w:rPr>
          <w:rFonts w:ascii="Arial" w:cs="Arial" w:eastAsia="Arial" w:hAnsi="Arial"/>
          <w:color w:val="3d3d3a"/>
          <w:sz w:val="22"/>
          <w:szCs w:val="22"/>
        </w:rPr>
        <w:t xml:space="preserve">CELLIX is an AI-powered spreadsheet compliance assistant delivered as a Microsoft Excel add-in (Office.js task pane). It connects a React 18 frontend to a Node.js backend that orchestrates an LLM pipeline, a deterministic GST rules engine, and a MongoDB database for audit trails and session state.</w:t>
      </w:r>
    </w:p>
    <w:p>
      <w:pPr>
        <w:spacing w:after="120" w:before="0"/>
      </w:pPr>
      <w:r>
        <w:t xml:space="preserve"/>
      </w:r>
    </w:p>
    <w:p>
      <w:pPr>
        <w:spacing w:after="120" w:before="60"/>
      </w:pPr>
      <w:r>
        <w:rPr>
          <w:rFonts w:ascii="Arial" w:cs="Arial" w:eastAsia="Arial" w:hAnsi="Arial"/>
          <w:color w:val="3d3d3a"/>
          <w:sz w:val="22"/>
          <w:szCs w:val="22"/>
        </w:rPr>
        <w:t xml:space="preserve">Every interaction in CELLIX has a named process. This document uses those process names consistently so that any engineer reading the code or logs can immediately map a name to its role in the system.</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1.1 Named process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Process name</w:t>
            </w:r>
          </w:p>
        </w:tc>
        <w:tc>
          <w:tcPr>
            <w:tcW w:type="dxa" w:w="24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Where it runs</w:t>
            </w:r>
          </w:p>
        </w:tc>
        <w:tc>
          <w:tcPr>
            <w:tcW w:type="dxa" w:w="43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One-line description</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PROMPT_CAPTURE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Excel add-in (React)</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User types intent; sidebar captures prompt text and active range address</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RANGE_READER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Office.js (frontend)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Reads selected cells from the workbook into a typed JS object</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PAYLOAD_COMPRESSOR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Frontend → backend bridge</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Serialises + minifies range data before the network POST</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INTENT_CLASSIFIER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Classifies the workflow: gst_recon / formula / tds / tally / error_fix</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RULES_ENGINE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Deterministic GST logic — runs before any LLM call</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MODEL_SELECTOR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Picks Haiku / Sonnet / Opus based on task complexity and token count</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PROMPT_ASSEMBLER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Builds the four-layer cached system prompt for the selected workflow</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LLM_CALLER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Sends to Anthropic/OpenAI SDK with prompt caching headers</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RESPONSE_VALIDATOR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Zod-validates JSON output; cross-checks rates against MongoDB</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PATCH_MERGER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Merges rules-engine patches + LLM patches into one sorted array</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CONTROLLED_REVEAL</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Frontend (React)</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Stagger-reveals diff cards 120 ms apart; inline diffs animate in</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PATCH_WRITER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Office.js (frontend)</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Writes an accepted patch value into the Excel cell via Office.js API</w:t>
            </w:r>
          </w:p>
        </w:tc>
      </w:tr>
      <w:tr>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AUDIT_LOGGER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 + MongoDB</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Persists every action to the audit collection with full provenance</w:t>
            </w:r>
          </w:p>
        </w:tc>
      </w:tr>
      <w:tr>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PDF_EXPORTER</w:t>
            </w:r>
          </w:p>
        </w:tc>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 (BullMQ job)</w:t>
            </w:r>
          </w:p>
        </w:tc>
        <w:tc>
          <w:tcPr>
            <w:tcW w:type="dxa" w:w="4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Assembles ICAI-compliant audit PDF from the audit collection</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2. Excel Add-in Architecture</w:t>
      </w:r>
    </w:p>
    <w:p>
      <w:pPr>
        <w:spacing w:after="120" w:before="60"/>
      </w:pPr>
      <w:r>
        <w:rPr>
          <w:rFonts w:ascii="Arial" w:cs="Arial" w:eastAsia="Arial" w:hAnsi="Arial"/>
          <w:color w:val="3d3d3a"/>
          <w:sz w:val="22"/>
          <w:szCs w:val="22"/>
        </w:rPr>
        <w:t xml:space="preserve">CELLIX is built as an Office.js task pane add-in. The task pane is a browser-based iframe that hosts the React application. Office.js provides the bridge between the React UI and the Excel workbook — reading ranges, writing values, and reacting to selection changes.</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2.1 Why Excel, not Google Sheets</w:t>
      </w:r>
    </w:p>
    <w:p>
      <w:pPr>
        <w:spacing w:after="120" w:before="60"/>
      </w:pPr>
      <w:r>
        <w:rPr>
          <w:rFonts w:ascii="Arial" w:cs="Arial" w:eastAsia="Arial" w:hAnsi="Arial"/>
          <w:color w:val="3d3d3a"/>
          <w:sz w:val="22"/>
          <w:szCs w:val="22"/>
        </w:rPr>
        <w:t xml:space="preserve">The Indian CA market for enterprise and mid-size firms runs overwhelmingly on Excel. Tally exports to .xlsx. CA firm audit files are .xlsx. GST portal downloads import into Excel. Google Sheets is used by smaller solo practices but the compliance file format across the profession is Excel. CELLIX V1 ships for Excel only.</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2.2 Office.js task pane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manifest.xml (add-in manifest)
&lt;OfficeApp xmlns="..." xsi:type="TaskPaneApp"&gt;
  &lt;Id&gt;cellix-addin-id&lt;/Id&gt;
  &lt;DisplayName DefaultValue="CELLIX" /&gt;
  &lt;Hosts&gt;
    &lt;Host Name="Workbook" /&gt;   &lt;!-- Excel only --&gt;
  &lt;/Hosts&gt;
  &lt;DefaultSettings&gt;
    &lt;SourceLocation DefaultValue="https://app.cellix.in/taskpane/index.html" /&gt;
  &lt;/DefaultSettings&gt;
  &lt;Permissions&gt;ReadWriteDocument&lt;/Permissions&gt;
&lt;/OfficeApp&gt;
// src/main.tsx
Office.onReady((info) =&gt; {
  if (info.host === Office.HostType.Excel) {
    const root = ReactDOM.createRoot(document.getElementById("root")!)
    root.render(&lt;App /&gt;)
  }
})</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2.3 Frontend package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200"/>
        <w:gridCol w:w="2860"/>
      </w:tblGrid>
      <w:tr>
        <w:trPr>
          <w:tblHeader/>
        </w:trPr>
        <w:tc>
          <w:tcPr>
            <w:tcW w:type="dxa" w:w="24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Package</w:t>
            </w:r>
          </w:p>
        </w:tc>
        <w:tc>
          <w:tcPr>
            <w:tcW w:type="dxa" w:w="9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32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 chosen</w:t>
            </w:r>
          </w:p>
        </w:tc>
        <w:tc>
          <w:tcPr>
            <w:tcW w:type="dxa" w:w="28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Rejected alternative + reason</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react</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18.x</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Concurrent features; startTransition for controlled reveal without jank</w:t>
            </w:r>
          </w:p>
        </w:tc>
        <w:tc>
          <w:tcPr>
            <w:tcW w:type="dxa" w:w="2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Vue 3 — lighter but weaker Office.js community examples</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vite</w:t>
            </w:r>
          </w:p>
        </w:tc>
        <w:tc>
          <w:tcPr>
            <w:tcW w:type="dxa" w:w="9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5.x</w:t>
            </w:r>
          </w:p>
        </w:tc>
        <w:tc>
          <w:tcPr>
            <w:tcW w:type="dxa" w:w="32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Sub-second HMR; hosted build served over HTTPS for Office.js</w:t>
            </w:r>
          </w:p>
        </w:tc>
        <w:tc>
          <w:tcPr>
            <w:tcW w:type="dxa" w:w="28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webpack — 3–5× slower builds, more config for add-in HTTPS dev</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tailwindcss</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3.x</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JIT purging keeps inlined CSS under 8 KB; no style leaks into workbook</w:t>
            </w:r>
          </w:p>
        </w:tc>
        <w:tc>
          <w:tcPr>
            <w:tcW w:type="dxa" w:w="2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CSS Modules — less purging, more files</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zustand</w:t>
            </w:r>
          </w:p>
        </w:tc>
        <w:tc>
          <w:tcPr>
            <w:tcW w:type="dxa" w:w="9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4.x</w:t>
            </w:r>
          </w:p>
        </w:tc>
        <w:tc>
          <w:tcPr>
            <w:tcW w:type="dxa" w:w="32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Minimal bundle (~1 KB); no Provider boilerplate; works with concurrent React</w:t>
            </w:r>
          </w:p>
        </w:tc>
        <w:tc>
          <w:tcPr>
            <w:tcW w:type="dxa" w:w="28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Redux Toolkit — 15 KB overhead, too heavy for this store size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@tanstack/react-query</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5.x</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Handles loading/error/retry for all Office.js async calls; optimistic updates</w:t>
            </w:r>
          </w:p>
        </w:tc>
        <w:tc>
          <w:tcPr>
            <w:tcW w:type="dxa" w:w="2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SWR — weaker mutation API, no built-in optimistic helpers</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zod</w:t>
            </w:r>
          </w:p>
        </w:tc>
        <w:tc>
          <w:tcPr>
            <w:tcW w:type="dxa" w:w="9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3.x</w:t>
            </w:r>
          </w:p>
        </w:tc>
        <w:tc>
          <w:tcPr>
            <w:tcW w:type="dxa" w:w="32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Runtime validation of LLM JSON on the frontend before rendering diffs</w:t>
            </w:r>
          </w:p>
        </w:tc>
        <w:tc>
          <w:tcPr>
            <w:tcW w:type="dxa" w:w="28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Yup — slower TypeScript inference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@microsoft/office-js</w:t>
            </w:r>
          </w:p>
        </w:tc>
        <w:tc>
          <w:tcPr>
            <w:tcW w:type="dxa" w:w="9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latest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Official Office.js typedefs and runtime for Excel API access</w:t>
            </w:r>
          </w:p>
        </w:tc>
        <w:tc>
          <w:tcPr>
            <w:tcW w:type="dxa" w:w="2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No alternative — required</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3. Process: PROMPT_CAPTURE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0" w:before="0"/>
            </w:pPr>
            <w:r>
              <w:rPr>
                <w:rFonts w:ascii="Courier New" w:cs="Courier New" w:eastAsia="Courier New" w:hAnsi="Courier New"/>
                <w:b/>
                <w:bCs/>
                <w:color w:val="534AB7"/>
                <w:sz w:val="18"/>
                <w:szCs w:val="18"/>
              </w:rPr>
              <w:t xml:space="preserve">PROCESS  </w:t>
            </w:r>
            <w:r>
              <w:rPr>
                <w:rFonts w:ascii="Courier New" w:cs="Courier New" w:eastAsia="Courier New" w:hAnsi="Courier New"/>
                <w:b/>
                <w:bCs/>
                <w:color w:val="534AB7"/>
                <w:sz w:val="20"/>
                <w:szCs w:val="20"/>
              </w:rPr>
              <w:t xml:space="preserve">PROMPT_CAPTURE  </w:t>
            </w:r>
            <w:r>
              <w:rPr>
                <w:rFonts w:ascii="Arial" w:cs="Arial" w:eastAsia="Arial" w:hAnsi="Arial"/>
                <w:color w:val="534AB7"/>
                <w:sz w:val="20"/>
                <w:szCs w:val="20"/>
              </w:rPr>
              <w:t xml:space="preserve"> — </w:t>
            </w:r>
            <w:r>
              <w:rPr>
                <w:rFonts w:ascii="Arial" w:cs="Arial" w:eastAsia="Arial" w:hAnsi="Arial"/>
                <w:color w:val="534AB7"/>
                <w:sz w:val="20"/>
                <w:szCs w:val="20"/>
              </w:rPr>
              <w:t xml:space="preserve">User enters intent in the task pane prompt bar</w:t>
            </w:r>
          </w:p>
        </w:tc>
      </w:tr>
    </w:tbl>
    <w:p>
      <w:pPr>
        <w:spacing w:after="120" w:before="0"/>
      </w:pPr>
      <w:r>
        <w:t xml:space="preserve"/>
      </w:r>
    </w:p>
    <w:p>
      <w:pPr>
        <w:spacing w:after="120" w:before="60"/>
      </w:pPr>
      <w:r>
        <w:rPr>
          <w:rFonts w:ascii="Arial" w:cs="Arial" w:eastAsia="Arial" w:hAnsi="Arial"/>
          <w:color w:val="3d3d3a"/>
          <w:sz w:val="22"/>
          <w:szCs w:val="22"/>
        </w:rPr>
        <w:t xml:space="preserve">PROMPT_CAPTURE is the entry point. It fires when the CA presses Run (⌘↵ or the Run button) in the sidebar. It does two things: captures the text from the textarea, and calls RANGE_READER to collect the current workbook context.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src/components/PromptBar.tsx
export function PromptBar() {
  const { setLoading } = useCellix()
  const { mutate: analyse } = useAnalyseMutation()
  const handleRun = async () =&gt; {
    const prompt = promptRef.current?.value?.trim()
    if (!prompt) return
    // ── PROCESS: RANGE_READER ────────────────────────────────
    const rangeData = await readActiveRange()
    setLoading(true)
    analyse({ prompt, rangeData })   // → PAYLOAD_COMPRESSOR → backend
  }
  return (
    &lt;div className="prompt-wrap"&gt;
      &lt;textarea ref={promptRef} placeholder="Reconcile GSTR-2A, fix rates…" /&gt;
      &lt;div className="prompt-footer"&gt;
        &lt;span className="ctx-chip"&gt;{rangeAddress} · {rowCount} rows&lt;/span&gt;
        &lt;button onClick={handleRun}&gt;Run ↵&lt;/button&gt;
      &lt;/div&gt;
    &lt;/div&gt;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4. Process: RANGE_READER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after="0" w:before="0"/>
            </w:pPr>
            <w:r>
              <w:rPr>
                <w:rFonts w:ascii="Courier New" w:cs="Courier New" w:eastAsia="Courier New" w:hAnsi="Courier New"/>
                <w:b/>
                <w:bCs/>
                <w:color w:val="0F6E56"/>
                <w:sz w:val="18"/>
                <w:szCs w:val="18"/>
              </w:rPr>
              <w:t xml:space="preserve">PROCESS  </w:t>
            </w:r>
            <w:r>
              <w:rPr>
                <w:rFonts w:ascii="Courier New" w:cs="Courier New" w:eastAsia="Courier New" w:hAnsi="Courier New"/>
                <w:b/>
                <w:bCs/>
                <w:color w:val="0F6E56"/>
                <w:sz w:val="20"/>
                <w:szCs w:val="20"/>
              </w:rPr>
              <w:t xml:space="preserve">RANGE_READER  </w:t>
            </w:r>
            <w:r>
              <w:rPr>
                <w:rFonts w:ascii="Arial" w:cs="Arial" w:eastAsia="Arial" w:hAnsi="Arial"/>
                <w:color w:val="0F6E56"/>
                <w:sz w:val="20"/>
                <w:szCs w:val="20"/>
              </w:rPr>
              <w:t xml:space="preserve"> — </w:t>
            </w:r>
            <w:r>
              <w:rPr>
                <w:rFonts w:ascii="Arial" w:cs="Arial" w:eastAsia="Arial" w:hAnsi="Arial"/>
                <w:color w:val="0F6E56"/>
                <w:sz w:val="20"/>
                <w:szCs w:val="20"/>
              </w:rPr>
              <w:t xml:space="preserve">Reads selected Excel range into a typed JS payload</w:t>
            </w:r>
          </w:p>
        </w:tc>
      </w:tr>
    </w:tbl>
    <w:p>
      <w:pPr>
        <w:spacing w:after="120" w:before="0"/>
      </w:pPr>
      <w:r>
        <w:t xml:space="preserve"/>
      </w:r>
    </w:p>
    <w:p>
      <w:pPr>
        <w:spacing w:after="120" w:before="60"/>
      </w:pPr>
      <w:r>
        <w:rPr>
          <w:rFonts w:ascii="Arial" w:cs="Arial" w:eastAsia="Arial" w:hAnsi="Arial"/>
          <w:color w:val="3d3d3a"/>
          <w:sz w:val="22"/>
          <w:szCs w:val="22"/>
        </w:rPr>
        <w:t xml:space="preserve">RANGE_READER uses the Office.js Excel API to extract the active selection. It reads cell values, formats, and the range address. Unlike Google Apps Script (which runs server-side), Office.js runs in the browser context — the read is a client-side call that resolves quickly.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src/hooks/useRangeReader.ts
export interface RangeData {
  sheetName:    string
  rangeAddress: string
  headers:      string[]
  rows:         (string | number | boolean)[][]
  rowCount:     number
}
// PROCESS: RANGE_READER
export async function readActiveRange(): Promise&lt;RangeData&gt; {
  return Excel.run(async (ctx) =&gt; {
    const sheet = ctx.workbook.worksheets.getActiveWorksheet()
    const range = ctx.workbook.getSelectedRange()
    range.load(["address", "values", "rowCount", "columnCount"])
    sheet.load("name")
    await ctx.sync()
    const values = range.values as (string | number | boolean)[][]
    return {
      sheetName:    sheet.name,
      rangeAddress: range.address,
      headers:      values[0].map(String),
      // Skip header row; drop empty rows
      rows:         values.slice(1).filter(r =&gt; r.some(c =&gt; c !== "" &amp;&amp; c !== null)),
      rowCount:     range.rowCount - 1,
    }
  })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18"/>
              <w:bottom w:val="none" w:color="FFFFFF" w:sz="0"/>
              <w:right w:val="none" w:color="FFFFFF" w:sz="0"/>
            </w:tcBorders>
            <w:shd w:fill="E1F5EE" w:val="clear"/>
            <w:tcMar>
              <w:top w:type="dxa" w:w="100"/>
              <w:left w:type="dxa" w:w="200"/>
              <w:bottom w:type="dxa" w:w="100"/>
              <w:right w:type="dxa" w:w="120"/>
            </w:tcMar>
          </w:tcPr>
          <w:p>
            <w:pPr>
              <w:spacing w:after="60" w:before="40"/>
            </w:pPr>
            <w:r>
              <w:rPr>
                <w:rFonts w:ascii="Arial" w:cs="Arial" w:eastAsia="Arial" w:hAnsi="Arial"/>
                <w:b/>
                <w:bCs/>
                <w:color w:val="0F6E56"/>
                <w:sz w:val="18"/>
                <w:szCs w:val="18"/>
              </w:rPr>
              <w:t xml:space="preserve">OFFICE.JS BATCH PATTERN</w:t>
            </w:r>
          </w:p>
          <w:p>
            <w:pPr>
              <w:spacing w:after="40" w:before="0"/>
            </w:pPr>
            <w:r>
              <w:rPr>
                <w:rFonts w:ascii="Arial" w:cs="Arial" w:eastAsia="Arial" w:hAnsi="Arial"/>
                <w:color w:val="3d3d3a"/>
                <w:sz w:val="22"/>
                <w:szCs w:val="22"/>
              </w:rPr>
              <w:t xml:space="preserve">Always batch multiple </w:t>
            </w:r>
            <w:r>
              <w:rPr>
                <w:rFonts w:ascii="Courier New" w:cs="Courier New" w:eastAsia="Courier New" w:hAnsi="Courier New"/>
                <w:color w:val="534AB7"/>
                <w:sz w:val="20"/>
                <w:szCs w:val="20"/>
              </w:rPr>
              <w:t xml:space="preserve">.load()</w:t>
            </w:r>
            <w:r>
              <w:rPr>
                <w:rFonts w:ascii="Arial" w:cs="Arial" w:eastAsia="Arial" w:hAnsi="Arial"/>
                <w:color w:val="3d3d3a"/>
                <w:sz w:val="22"/>
                <w:szCs w:val="22"/>
              </w:rPr>
              <w:t xml:space="preserve"> calls before a single </w:t>
            </w:r>
            <w:r>
              <w:rPr>
                <w:rFonts w:ascii="Courier New" w:cs="Courier New" w:eastAsia="Courier New" w:hAnsi="Courier New"/>
                <w:color w:val="534AB7"/>
                <w:sz w:val="20"/>
                <w:szCs w:val="20"/>
              </w:rPr>
              <w:t xml:space="preserve">await ctx.sync()</w:t>
            </w:r>
            <w:r>
              <w:rPr>
                <w:rFonts w:ascii="Arial" w:cs="Arial" w:eastAsia="Arial" w:hAnsi="Arial"/>
                <w:color w:val="3d3d3a"/>
                <w:sz w:val="22"/>
                <w:szCs w:val="22"/>
              </w:rPr>
              <w:t xml:space="preserve">. Each sync() is a round-trip to the Excel host process. Reading headers and rows in one sync keeps RANGE_READER under 50ms even on large ranges.</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5. Process: PAYLOAD_COMPRESSOR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00"/>
              <w:left w:type="dxa" w:w="200"/>
              <w:bottom w:type="dxa" w:w="100"/>
              <w:right w:type="dxa" w:w="200"/>
            </w:tcMar>
          </w:tcPr>
          <w:p>
            <w:pPr>
              <w:spacing w:after="0" w:before="0"/>
            </w:pPr>
            <w:r>
              <w:rPr>
                <w:rFonts w:ascii="Courier New" w:cs="Courier New" w:eastAsia="Courier New" w:hAnsi="Courier New"/>
                <w:b/>
                <w:bCs/>
                <w:color w:val="854F0B"/>
                <w:sz w:val="18"/>
                <w:szCs w:val="18"/>
              </w:rPr>
              <w:t xml:space="preserve">PROCESS  </w:t>
            </w:r>
            <w:r>
              <w:rPr>
                <w:rFonts w:ascii="Courier New" w:cs="Courier New" w:eastAsia="Courier New" w:hAnsi="Courier New"/>
                <w:b/>
                <w:bCs/>
                <w:color w:val="854F0B"/>
                <w:sz w:val="20"/>
                <w:szCs w:val="20"/>
              </w:rPr>
              <w:t xml:space="preserve">PAYLOAD_COMPRESSOR  </w:t>
            </w:r>
            <w:r>
              <w:rPr>
                <w:rFonts w:ascii="Arial" w:cs="Arial" w:eastAsia="Arial" w:hAnsi="Arial"/>
                <w:color w:val="854F0B"/>
                <w:sz w:val="20"/>
                <w:szCs w:val="20"/>
              </w:rPr>
              <w:t xml:space="preserve"> — </w:t>
            </w:r>
            <w:r>
              <w:rPr>
                <w:rFonts w:ascii="Arial" w:cs="Arial" w:eastAsia="Arial" w:hAnsi="Arial"/>
                <w:color w:val="854F0B"/>
                <w:sz w:val="20"/>
                <w:szCs w:val="20"/>
              </w:rPr>
              <w:t xml:space="preserve">Minifies range data before sending to backend</w:t>
            </w:r>
          </w:p>
        </w:tc>
      </w:tr>
    </w:tbl>
    <w:p>
      <w:pPr>
        <w:spacing w:after="120" w:before="0"/>
      </w:pPr>
      <w:r>
        <w:t xml:space="preserve"/>
      </w:r>
    </w:p>
    <w:p>
      <w:pPr>
        <w:spacing w:after="120" w:before="60"/>
      </w:pPr>
      <w:r>
        <w:rPr>
          <w:rFonts w:ascii="Arial" w:cs="Arial" w:eastAsia="Arial" w:hAnsi="Arial"/>
          <w:color w:val="3d3d3a"/>
          <w:sz w:val="22"/>
          <w:szCs w:val="22"/>
        </w:rPr>
        <w:t xml:space="preserve">PAYLOAD_COMPRESSOR runs on the frontend before the fetch() call. Its job is to minimise the payload size to reduce latency and to strip everything that would waste LLM tokens on the backend. Raw Excel data is verbose — formatted currency strings, empty cells, duplicate headers — PAYLOAD_COMPRESSOR normalises all of this.</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What PAYLOAD_COMPRESSOR does</w:t>
      </w:r>
    </w:p>
    <w:p>
      <w:pPr>
        <w:pStyle w:val="ListParagraph"/>
        <w:numPr>
          <w:ilvl w:val="0"/>
          <w:numId w:val="2"/>
        </w:numPr>
        <w:spacing w:after="40" w:before="40"/>
      </w:pPr>
      <w:r>
        <w:rPr>
          <w:rFonts w:ascii="Arial" w:cs="Arial" w:eastAsia="Arial" w:hAnsi="Arial"/>
          <w:b/>
          <w:bCs/>
          <w:color w:val="1A1714"/>
          <w:sz w:val="22"/>
          <w:szCs w:val="22"/>
        </w:rPr>
        <w:t xml:space="preserve">Strip formatting: </w:t>
      </w:r>
      <w:r>
        <w:rPr>
          <w:rFonts w:ascii="Arial" w:cs="Arial" w:eastAsia="Arial" w:hAnsi="Arial"/>
          <w:color w:val="3d3d3a"/>
          <w:sz w:val="22"/>
          <w:szCs w:val="22"/>
        </w:rPr>
        <w:t xml:space="preserve">"₹14,200.00" → 14200  (numbers as numbers, not strings)</w:t>
      </w:r>
    </w:p>
    <w:p>
      <w:pPr>
        <w:pStyle w:val="ListParagraph"/>
        <w:numPr>
          <w:ilvl w:val="0"/>
          <w:numId w:val="2"/>
        </w:numPr>
        <w:spacing w:after="40" w:before="40"/>
      </w:pPr>
      <w:r>
        <w:rPr>
          <w:rFonts w:ascii="Arial" w:cs="Arial" w:eastAsia="Arial" w:hAnsi="Arial"/>
          <w:b/>
          <w:bCs/>
          <w:color w:val="1A1714"/>
          <w:sz w:val="22"/>
          <w:szCs w:val="22"/>
        </w:rPr>
        <w:t xml:space="preserve">Remove empty rows: </w:t>
      </w:r>
      <w:r>
        <w:rPr>
          <w:rFonts w:ascii="Arial" w:cs="Arial" w:eastAsia="Arial" w:hAnsi="Arial"/>
          <w:color w:val="3d3d3a"/>
          <w:sz w:val="22"/>
          <w:szCs w:val="22"/>
        </w:rPr>
        <w:t xml:space="preserve">Excel ranges often include trailing empty rows from the selection</w:t>
      </w:r>
    </w:p>
    <w:p>
      <w:pPr>
        <w:pStyle w:val="ListParagraph"/>
        <w:numPr>
          <w:ilvl w:val="0"/>
          <w:numId w:val="2"/>
        </w:numPr>
        <w:spacing w:after="40" w:before="40"/>
      </w:pPr>
      <w:r>
        <w:rPr>
          <w:rFonts w:ascii="Arial" w:cs="Arial" w:eastAsia="Arial" w:hAnsi="Arial"/>
          <w:b/>
          <w:bCs/>
          <w:color w:val="1A1714"/>
          <w:sz w:val="22"/>
          <w:szCs w:val="22"/>
        </w:rPr>
        <w:t xml:space="preserve">Truncate to 50 rows: </w:t>
      </w:r>
      <w:r>
        <w:rPr>
          <w:rFonts w:ascii="Arial" w:cs="Arial" w:eastAsia="Arial" w:hAnsi="Arial"/>
          <w:color w:val="3d3d3a"/>
          <w:sz w:val="22"/>
          <w:szCs w:val="22"/>
        </w:rPr>
        <w:t xml:space="preserve">LLM context window is finite; 50 rows covers all common CA recon tasks</w:t>
      </w:r>
    </w:p>
    <w:p>
      <w:pPr>
        <w:pStyle w:val="ListParagraph"/>
        <w:numPr>
          <w:ilvl w:val="0"/>
          <w:numId w:val="2"/>
        </w:numPr>
        <w:spacing w:after="40" w:before="40"/>
      </w:pPr>
      <w:r>
        <w:rPr>
          <w:rFonts w:ascii="Arial" w:cs="Arial" w:eastAsia="Arial" w:hAnsi="Arial"/>
          <w:b/>
          <w:bCs/>
          <w:color w:val="1A1714"/>
          <w:sz w:val="22"/>
          <w:szCs w:val="22"/>
        </w:rPr>
        <w:t xml:space="preserve">Compact JSON serialisation: </w:t>
      </w:r>
      <w:r>
        <w:rPr>
          <w:rFonts w:ascii="Arial" w:cs="Arial" w:eastAsia="Arial" w:hAnsi="Arial"/>
          <w:color w:val="3d3d3a"/>
          <w:sz w:val="22"/>
          <w:szCs w:val="22"/>
        </w:rPr>
        <w:t xml:space="preserve">Array-of-arrays format, not array-of-objects (saves ~30% tokens)</w:t>
      </w:r>
    </w:p>
    <w:p>
      <w:pPr>
        <w:pStyle w:val="ListParagraph"/>
        <w:numPr>
          <w:ilvl w:val="0"/>
          <w:numId w:val="2"/>
        </w:numPr>
        <w:spacing w:after="40" w:before="40"/>
      </w:pPr>
      <w:r>
        <w:rPr>
          <w:rFonts w:ascii="Arial" w:cs="Arial" w:eastAsia="Arial" w:hAnsi="Arial"/>
          <w:b/>
          <w:bCs/>
          <w:color w:val="1A1714"/>
          <w:sz w:val="22"/>
          <w:szCs w:val="22"/>
        </w:rPr>
        <w:t xml:space="preserve">Remove null/undefined cells: </w:t>
      </w:r>
      <w:r>
        <w:rPr>
          <w:rFonts w:ascii="Arial" w:cs="Arial" w:eastAsia="Arial" w:hAnsi="Arial"/>
          <w:color w:val="3d3d3a"/>
          <w:sz w:val="22"/>
          <w:szCs w:val="22"/>
        </w:rPr>
        <w:t xml:space="preserve">Replace with empty string to keep array shape consistent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src/utils/payloadCompressor.ts
// PROCESS: PAYLOAD_COMPRESSOR
export function compressPayload(rangeData: RangeData, prompt: string, jwt: string) {
  const MAX_ROWS = 50
  const cleanRows = rangeData.rows
    .filter(row =&gt; row.some(c =&gt; c !== "" &amp;&amp; c !== null &amp;&amp; c !== undefined))
    .slice(0, MAX_ROWS)
    .map(row =&gt; row.map(cell =&gt; {
      if (typeof cell === "number") return cell              // already clean
      if (typeof cell === "string") {
        // Strip currency formatting: "₹14,200.00" → 14200
        const num = parseFloat(cell.replace(/[₹,\s]/g, ""))
        if (!isNaN(num)) return num
        return cell.trim()
      }
      return cell ?? ""
    }))
  return {
    prompt,
    jwt,
    context: {
      sheetName:    rangeData.sheetName,
      rangeAddress: rangeData.rangeAddress,
      headers:      rangeData.headers,
      rows:         cleanRows,          // compact array-of-arrays
      rowCount:     cleanRows.length,
    }
  }
}
// Payload size comparison
// Array-of-objects (verbose): [{"GSTIN":"27AAPFU...", "Invoice No":"INV-101", ...}]
// Array-of-arrays (compact):  [["27AAPFU...", "INV-101", ...]]
// Typical saving: 28–35% fewer tokens on the backend</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6. Process: INTENT_CLASSIFIER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pPr>
              <w:spacing w:after="0" w:before="0"/>
            </w:pPr>
            <w:r>
              <w:rPr>
                <w:rFonts w:ascii="Courier New" w:cs="Courier New" w:eastAsia="Courier New" w:hAnsi="Courier New"/>
                <w:b/>
                <w:bCs/>
                <w:color w:val="185FA5"/>
                <w:sz w:val="18"/>
                <w:szCs w:val="18"/>
              </w:rPr>
              <w:t xml:space="preserve">PROCESS  </w:t>
            </w:r>
            <w:r>
              <w:rPr>
                <w:rFonts w:ascii="Courier New" w:cs="Courier New" w:eastAsia="Courier New" w:hAnsi="Courier New"/>
                <w:b/>
                <w:bCs/>
                <w:color w:val="185FA5"/>
                <w:sz w:val="20"/>
                <w:szCs w:val="20"/>
              </w:rPr>
              <w:t xml:space="preserve">INTENT_CLASSIFIER  </w:t>
            </w:r>
            <w:r>
              <w:rPr>
                <w:rFonts w:ascii="Arial" w:cs="Arial" w:eastAsia="Arial" w:hAnsi="Arial"/>
                <w:color w:val="185FA5"/>
                <w:sz w:val="20"/>
                <w:szCs w:val="20"/>
              </w:rPr>
              <w:t xml:space="preserve"> — </w:t>
            </w:r>
            <w:r>
              <w:rPr>
                <w:rFonts w:ascii="Arial" w:cs="Arial" w:eastAsia="Arial" w:hAnsi="Arial"/>
                <w:color w:val="185FA5"/>
                <w:sz w:val="20"/>
                <w:szCs w:val="20"/>
              </w:rPr>
              <w:t xml:space="preserve">Backend: classifies workflow from prompt + column headers</w:t>
            </w:r>
          </w:p>
        </w:tc>
      </w:tr>
    </w:tbl>
    <w:p>
      <w:pPr>
        <w:spacing w:after="120" w:before="0"/>
      </w:pPr>
      <w:r>
        <w:t xml:space="preserve"/>
      </w:r>
    </w:p>
    <w:p>
      <w:pPr>
        <w:spacing w:after="120" w:before="60"/>
      </w:pPr>
      <w:r>
        <w:rPr>
          <w:rFonts w:ascii="Arial" w:cs="Arial" w:eastAsia="Arial" w:hAnsi="Arial"/>
          <w:color w:val="3d3d3a"/>
          <w:sz w:val="22"/>
          <w:szCs w:val="22"/>
        </w:rPr>
        <w:t xml:space="preserve">INTENT_CLASSIFIER runs on the backend as the first step after auth and credit check. It reads the user prompt and the column headers from PAYLOAD_COMPRESSOR and classifies the request into one of five workflows. The classification determines which system prompt template loads, which rules engine module runs, and which model tier MODEL_SELECTOR picks.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backend/src/classifier/intent.ts
export type WorkflowType =
  | "gst_recon"    // GSTR-2A vs purchase register reconciliation
  | "formula"      // Generate or fix Excel formulas
  | "tds_match"    // Form 26AS TDS matching
  | "tally"        // Tally export cleanup and normalisation
  | "error_fix"    // #REF!, #VALUE!, circular reference diagnosis
const KEYWORDS: Record&lt;WorkflowType, string[]&gt; = {
  gst_recon:  ["gstr", "2a", "2b", "reconcil", "gst", "itc match", "purchase register", "gstr-2a"],
  formula:    ["formula", "vlookup", "sumif", "xlookup", "index match", "generate", "write formula"],
  tds_match:  ["26as", "tds", "form 26", "deductor", "194c", "194j", "194i", "tds mismatch"],
  tally:      ["tally", "tdl", "cleanup", "normalize", "tally export", "xml export"],
  error_fix:  ["#ref", "#value", "#name", "#div", "error", "broken formula", "fix", "circular"],
}
// PROCESS: INTENT_CLASSIFIER
export function classifyIntent(prompt: string, headers: string[]): WorkflowType {
  const combined = (prompt + " " + headers.join(" ")).toLowerCase()
  // Score each workflow by keyword hit count
  const scores = Object.entries(KEYWORDS).map(([wf, kws]) =&gt; ({
    workflow: wf as WorkflowType,
    score: kws.filter(kw =&gt; combined.includes(kw)).length
  }))
  const best = scores.sort((a, b) =&gt; b.score - a.score)[0]
  return best.score &gt; 0 ? best.workflow : "formula"  // default fallback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7. Process: RULES_ENGINE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00"/>
              <w:left w:type="dxa" w:w="200"/>
              <w:bottom w:type="dxa" w:w="100"/>
              <w:right w:type="dxa" w:w="200"/>
            </w:tcMar>
          </w:tcPr>
          <w:p>
            <w:pPr>
              <w:spacing w:after="0" w:before="0"/>
            </w:pPr>
            <w:r>
              <w:rPr>
                <w:rFonts w:ascii="Courier New" w:cs="Courier New" w:eastAsia="Courier New" w:hAnsi="Courier New"/>
                <w:b/>
                <w:bCs/>
                <w:color w:val="3B6D11"/>
                <w:sz w:val="18"/>
                <w:szCs w:val="18"/>
              </w:rPr>
              <w:t xml:space="preserve">PROCESS  </w:t>
            </w:r>
            <w:r>
              <w:rPr>
                <w:rFonts w:ascii="Courier New" w:cs="Courier New" w:eastAsia="Courier New" w:hAnsi="Courier New"/>
                <w:b/>
                <w:bCs/>
                <w:color w:val="3B6D11"/>
                <w:sz w:val="20"/>
                <w:szCs w:val="20"/>
              </w:rPr>
              <w:t xml:space="preserve">RULES_ENGINE  </w:t>
            </w:r>
            <w:r>
              <w:rPr>
                <w:rFonts w:ascii="Arial" w:cs="Arial" w:eastAsia="Arial" w:hAnsi="Arial"/>
                <w:color w:val="3B6D11"/>
                <w:sz w:val="20"/>
                <w:szCs w:val="20"/>
              </w:rPr>
              <w:t xml:space="preserve"> — </w:t>
            </w:r>
            <w:r>
              <w:rPr>
                <w:rFonts w:ascii="Arial" w:cs="Arial" w:eastAsia="Arial" w:hAnsi="Arial"/>
                <w:color w:val="3B6D11"/>
                <w:sz w:val="20"/>
                <w:szCs w:val="20"/>
              </w:rPr>
              <w:t xml:space="preserve">Backend: deterministic GST logic before LLM</w:t>
            </w:r>
          </w:p>
        </w:tc>
      </w:tr>
    </w:tbl>
    <w:p>
      <w:pPr>
        <w:spacing w:after="120" w:before="0"/>
      </w:pPr>
      <w:r>
        <w:t xml:space="preserve"/>
      </w:r>
    </w:p>
    <w:p>
      <w:pPr>
        <w:spacing w:after="120" w:before="60"/>
      </w:pPr>
      <w:r>
        <w:rPr>
          <w:rFonts w:ascii="Arial" w:cs="Arial" w:eastAsia="Arial" w:hAnsi="Arial"/>
          <w:color w:val="3d3d3a"/>
          <w:sz w:val="22"/>
          <w:szCs w:val="22"/>
        </w:rPr>
        <w:t xml:space="preserve">RULES_ENGINE runs every row through deterministic checks sourced from MongoDB. It handles everything that can be decided without language model inference: known HSN rates, blocked ITC categories, GSTR-2A matching tolerances. Rows that pass fully through the rules engine do not go to the LLM at all — this is the primary token cost reduction lever.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6D11" w:sz="18"/>
              <w:bottom w:val="none" w:color="FFFFFF" w:sz="0"/>
              <w:right w:val="none" w:color="FFFFFF" w:sz="0"/>
            </w:tcBorders>
            <w:shd w:fill="EAF3DE" w:val="clear"/>
            <w:tcMar>
              <w:top w:type="dxa" w:w="100"/>
              <w:left w:type="dxa" w:w="200"/>
              <w:bottom w:type="dxa" w:w="100"/>
              <w:right w:type="dxa" w:w="120"/>
            </w:tcMar>
          </w:tcPr>
          <w:p>
            <w:pPr>
              <w:spacing w:after="60" w:before="40"/>
            </w:pPr>
            <w:r>
              <w:rPr>
                <w:rFonts w:ascii="Arial" w:cs="Arial" w:eastAsia="Arial" w:hAnsi="Arial"/>
                <w:b/>
                <w:bCs/>
                <w:color w:val="3B6D11"/>
                <w:sz w:val="18"/>
                <w:szCs w:val="18"/>
              </w:rPr>
              <w:t xml:space="preserve">WHY RULES_ENGINE RUNS FIRST</w:t>
            </w:r>
          </w:p>
          <w:p>
            <w:pPr>
              <w:spacing w:after="40" w:before="0"/>
            </w:pPr>
            <w:r>
              <w:rPr>
                <w:rFonts w:ascii="Arial" w:cs="Arial" w:eastAsia="Arial" w:hAnsi="Arial"/>
                <w:color w:val="3d3d3a"/>
                <w:sz w:val="22"/>
                <w:szCs w:val="22"/>
              </w:rPr>
              <w:t xml:space="preserve">Approximately 50–65% of typical GST recon changes are deterministic — known HSN rates, clear Sec 17(5) blocks, date-within-tolerance matches. Resolving these locally before touching the LLM cuts per-call cost by roughly half. The LLM only sees rows where the rules engine could not reach a confident answer.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backend/src/rules/gstRules.ts
// PROCESS: RULES_ENGINE
export async function runRulesEngine(
  rows: unknown[][], headers: string[], workflow: WorkflowType
): Promise&lt;{ patches: Patch[]; ambiguous: unknown[][] }&gt; {
  const patches: Patch[] = []
  const ambiguous: unknown[][] = []
  for (const row of rows) {
    const hsn  = getCellByHeader(row, headers, "HSN")
    const rate = getCellByHeader(row, headers, "GST Rate") as string
    const itc  = getCellByHeader(row, headers, "ITC Flag") as string
    // ── Rule 1: HSN rate lookup ───────────────────────────────
    if (hsn) {
      const dbRate = await getHsnRate(String(hsn))   // MongoDB lookup
      if (dbRate &amp;&amp; normaliseRate(rate) !== dbRate.ratePct) {
        patches.push({
          cell:       getRangeCell(headers.indexOf("GST Rate"), row),
          oldValue:   rate,
          newValue:   `${dbRate.ratePct}%`,
          reason:     `HSN ${hsn} standard rate is ${dbRate.ratePct}%`,
          ruleRef:    dbRate.notification,
          confidence: 0.99,
          source:     "rules_engine",
          type:       "rate",
        })
        continue   // resolved — skip to next row
      }
    }
    // ── Rule 2: Sec 17(5) ITC block check ─────────────────────
    if (hsn &amp;&amp; itc?.toUpperCase() === "Y") {
      const block = await getItcBlock(String(hsn))  // MongoDB lookup
      if (block) {
        patches.push({
          cell:       getRangeCell(headers.indexOf("ITC Flag"), row),
          oldValue:   "Y",
          newValue:   "N",
          reason:     block.description,
          ruleRef:    block.section,
          confidence: 0.98,
          source:     "rules_engine",
          type:       "itc",
        })
        continue
      }
    }
    // Row not resolved by rules — send to LLM
    ambiguous.push(row)
  }
  return { patches, ambiguous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8. Process: MODEL_SELECTOR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0" w:before="0"/>
            </w:pPr>
            <w:r>
              <w:rPr>
                <w:rFonts w:ascii="Courier New" w:cs="Courier New" w:eastAsia="Courier New" w:hAnsi="Courier New"/>
                <w:b/>
                <w:bCs/>
                <w:color w:val="534AB7"/>
                <w:sz w:val="18"/>
                <w:szCs w:val="18"/>
              </w:rPr>
              <w:t xml:space="preserve">PROCESS  </w:t>
            </w:r>
            <w:r>
              <w:rPr>
                <w:rFonts w:ascii="Courier New" w:cs="Courier New" w:eastAsia="Courier New" w:hAnsi="Courier New"/>
                <w:b/>
                <w:bCs/>
                <w:color w:val="534AB7"/>
                <w:sz w:val="20"/>
                <w:szCs w:val="20"/>
              </w:rPr>
              <w:t xml:space="preserve">MODEL_SELECTOR  </w:t>
            </w:r>
            <w:r>
              <w:rPr>
                <w:rFonts w:ascii="Arial" w:cs="Arial" w:eastAsia="Arial" w:hAnsi="Arial"/>
                <w:color w:val="534AB7"/>
                <w:sz w:val="20"/>
                <w:szCs w:val="20"/>
              </w:rPr>
              <w:t xml:space="preserve"> — </w:t>
            </w:r>
            <w:r>
              <w:rPr>
                <w:rFonts w:ascii="Arial" w:cs="Arial" w:eastAsia="Arial" w:hAnsi="Arial"/>
                <w:color w:val="534AB7"/>
                <w:sz w:val="20"/>
                <w:szCs w:val="20"/>
              </w:rPr>
              <w:t xml:space="preserve">Backend: chooses Haiku / Sonnet / Opus based on task complexity</w:t>
            </w:r>
          </w:p>
        </w:tc>
      </w:tr>
    </w:tbl>
    <w:p>
      <w:pPr>
        <w:spacing w:after="120" w:before="0"/>
      </w:pPr>
      <w:r>
        <w:t xml:space="preserve"/>
      </w:r>
    </w:p>
    <w:p>
      <w:pPr>
        <w:spacing w:after="120" w:before="60"/>
      </w:pPr>
      <w:r>
        <w:rPr>
          <w:rFonts w:ascii="Arial" w:cs="Arial" w:eastAsia="Arial" w:hAnsi="Arial"/>
          <w:color w:val="3d3d3a"/>
          <w:sz w:val="22"/>
          <w:szCs w:val="22"/>
        </w:rPr>
        <w:t xml:space="preserve">MODEL_SELECTOR runs after INTENT_CLASSIFIER and RULES_ENGINE. It decides which LLM model tier to use for the ambiguous rows. The decision is based on three signals: workflow complexity, the number of ambiguous rows remaining, and whether any rows triggered high-severity edge cases in the rules engine.</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8.1 Model tiers and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1200"/>
        <w:gridCol w:w="1160"/>
      </w:tblGrid>
      <w:tr>
        <w:trPr>
          <w:tblHeader/>
        </w:trPr>
        <w:tc>
          <w:tcPr>
            <w:tcW w:type="dxa" w:w="30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Model</w:t>
            </w:r>
          </w:p>
        </w:tc>
        <w:tc>
          <w:tcPr>
            <w:tcW w:type="dxa" w:w="12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28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Use when</w:t>
            </w:r>
          </w:p>
        </w:tc>
        <w:tc>
          <w:tcPr>
            <w:tcW w:type="dxa" w:w="12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Latency</w:t>
            </w:r>
          </w:p>
        </w:tc>
        <w:tc>
          <w:tcPr>
            <w:tcW w:type="dxa" w:w="11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Cost per call (est.)</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claude-haiku-4-5-20251001</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Fast</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Simple formula generation, error fix, &lt;10 rows, single workflow</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&lt; 2s</w:t>
            </w:r>
          </w:p>
        </w:tc>
        <w:tc>
          <w:tcPr>
            <w:tcW w:type="dxa" w:w="1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~₹0.40</w:t>
            </w:r>
          </w:p>
        </w:tc>
      </w:tr>
      <w:tr>
        <w:tc>
          <w:tcPr>
            <w:tcW w:type="dxa" w:w="30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claude-sonnet-4-6</w:t>
            </w:r>
          </w:p>
        </w:tc>
        <w:tc>
          <w:tcPr>
            <w:tcW w:type="dxa" w:w="12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Standard</w:t>
            </w:r>
          </w:p>
        </w:tc>
        <w:tc>
          <w:tcPr>
            <w:tcW w:type="dxa" w:w="28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GST recon, TDS match, mixed workflows, 10–50 rows, normal confidence</w:t>
            </w:r>
          </w:p>
        </w:tc>
        <w:tc>
          <w:tcPr>
            <w:tcW w:type="dxa" w:w="12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3–6s</w:t>
            </w:r>
          </w:p>
        </w:tc>
        <w:tc>
          <w:tcPr>
            <w:tcW w:type="dxa" w:w="11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~₹1.05</w:t>
            </w:r>
          </w:p>
        </w:tc>
      </w:tr>
      <w:tr>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claude-opus-4-6</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Power</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Complex ITC eligibility disputes, contradictory data, &gt;40 ambiguous rows</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8–15s</w:t>
            </w:r>
          </w:p>
        </w:tc>
        <w:tc>
          <w:tcPr>
            <w:tcW w:type="dxa" w:w="1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~₹3.80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backend/src/llm/modelSelector.ts
export type ModelTier = "haiku" | "sonnet" | "opus"
const MODEL_IDS: Record&lt;ModelTier, string&gt; = {
  haiku:  "claude-haiku-4-5-20251001",
  sonnet: "claude-sonnet-4-6",
  opus:   "claude-opus-4-6",
}
interface SelectionInput {
  workflow:         WorkflowType
  ambiguousRowCount: number
  hasHighSeverityFlags: boolean
  estimatedTokens:  number
}
// PROCESS: MODEL_SELECTOR
export function selectModel(input: SelectionInput): string {
  const { workflow, ambiguousRowCount, hasHighSeverityFlags, estimatedTokens } = input
  // Haiku: simple tasks, few rows, no complex compliance edge cases
  if (
    workflow === "formula" ||
    workflow === "error_fix" ||
    (ambiguousRowCount &lt; 10 &amp;&amp; !hasHighSeverityFlags)
  ) {
    return MODEL_IDS.haiku
  }
  // Opus: high-complexity cases requiring deep GST reasoning
  if (
    hasHighSeverityFlags &amp;&amp;
    ambiguousRowCount &gt; 30 &amp;&amp;
    (workflow === "gst_recon" || workflow === "tds_match")
  ) {
    return MODEL_IDS.opus
  }
  // Sonnet: default for standard GST recon and TDS workflows
  return MODEL_IDS.sonnet
}
// Usage in the request handler:
// const model = selectModel({
//   workflow,
//   ambiguousRowCount: ambiguous.length,
//   hasHighSeverityFlags: rules.flags.some(f =&gt; f.severity === "high"),
//   estimatedTokens: estimateTokens(ambiguous),
//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8"/>
              <w:bottom w:val="none" w:color="FFFFFF" w:sz="0"/>
              <w:right w:val="none" w:color="FFFFFF" w:sz="0"/>
            </w:tcBorders>
            <w:shd w:fill="FAEEDA" w:val="clear"/>
            <w:tcMar>
              <w:top w:type="dxa" w:w="100"/>
              <w:left w:type="dxa" w:w="200"/>
              <w:bottom w:type="dxa" w:w="100"/>
              <w:right w:type="dxa" w:w="120"/>
            </w:tcMar>
          </w:tcPr>
          <w:p>
            <w:pPr>
              <w:spacing w:after="60" w:before="40"/>
            </w:pPr>
            <w:r>
              <w:rPr>
                <w:rFonts w:ascii="Arial" w:cs="Arial" w:eastAsia="Arial" w:hAnsi="Arial"/>
                <w:b/>
                <w:bCs/>
                <w:color w:val="854F0B"/>
                <w:sz w:val="18"/>
                <w:szCs w:val="18"/>
              </w:rPr>
              <w:t xml:space="preserve">COST CONTROL WITH MODEL_SELECTOR</w:t>
            </w:r>
          </w:p>
          <w:p>
            <w:pPr>
              <w:spacing w:after="40" w:before="0"/>
            </w:pPr>
            <w:r>
              <w:rPr>
                <w:rFonts w:ascii="Arial" w:cs="Arial" w:eastAsia="Arial" w:hAnsi="Arial"/>
                <w:color w:val="3d3d3a"/>
                <w:sz w:val="22"/>
                <w:szCs w:val="22"/>
              </w:rPr>
              <w:t xml:space="preserve">The majority of CELLIX calls are formula generation and simple rate fixes — these route to Haiku at ~₹0.40/call. Only genuine GST recon with ambiguous ITC rows routes to Sonnet. Opus is reserved for edge cases and is never called automatically without a complexity threshold being crossed. This keeps the blended average well under ₹1.00/call.</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9. Process: PROMPT_ASSEMBLER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after="0" w:before="0"/>
            </w:pPr>
            <w:r>
              <w:rPr>
                <w:rFonts w:ascii="Courier New" w:cs="Courier New" w:eastAsia="Courier New" w:hAnsi="Courier New"/>
                <w:b/>
                <w:bCs/>
                <w:color w:val="0F6E56"/>
                <w:sz w:val="18"/>
                <w:szCs w:val="18"/>
              </w:rPr>
              <w:t xml:space="preserve">PROCESS  </w:t>
            </w:r>
            <w:r>
              <w:rPr>
                <w:rFonts w:ascii="Courier New" w:cs="Courier New" w:eastAsia="Courier New" w:hAnsi="Courier New"/>
                <w:b/>
                <w:bCs/>
                <w:color w:val="0F6E56"/>
                <w:sz w:val="20"/>
                <w:szCs w:val="20"/>
              </w:rPr>
              <w:t xml:space="preserve">PROMPT_ASSEMBLER  </w:t>
            </w:r>
            <w:r>
              <w:rPr>
                <w:rFonts w:ascii="Arial" w:cs="Arial" w:eastAsia="Arial" w:hAnsi="Arial"/>
                <w:color w:val="0F6E56"/>
                <w:sz w:val="20"/>
                <w:szCs w:val="20"/>
              </w:rPr>
              <w:t xml:space="preserve"> — </w:t>
            </w:r>
            <w:r>
              <w:rPr>
                <w:rFonts w:ascii="Arial" w:cs="Arial" w:eastAsia="Arial" w:hAnsi="Arial"/>
                <w:color w:val="0F6E56"/>
                <w:sz w:val="20"/>
                <w:szCs w:val="20"/>
              </w:rPr>
              <w:t xml:space="preserve">Backend: builds four-layer cached system prompt</w:t>
            </w:r>
          </w:p>
        </w:tc>
      </w:tr>
    </w:tbl>
    <w:p>
      <w:pPr>
        <w:spacing w:after="120" w:before="0"/>
      </w:pPr>
      <w:r>
        <w:t xml:space="preserve"/>
      </w:r>
    </w:p>
    <w:p>
      <w:pPr>
        <w:spacing w:after="120" w:before="60"/>
      </w:pPr>
      <w:r>
        <w:rPr>
          <w:rFonts w:ascii="Arial" w:cs="Arial" w:eastAsia="Arial" w:hAnsi="Arial"/>
          <w:color w:val="3d3d3a"/>
          <w:sz w:val="22"/>
          <w:szCs w:val="22"/>
        </w:rPr>
        <w:t xml:space="preserve">PROMPT_ASSEMBLER builds the system prompt from four layers. Layers 1–3 are static for a given workflow and are eligible for Anthropic prompt caching (billed at 10% of normal input price on repeat calls). Layer 4 is the per-request context and is never cached.</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Layer 1 — Role + output contract (~200 tokens)</w:t>
      </w:r>
    </w:p>
    <w:p>
      <w:pPr>
        <w:spacing w:after="120" w:before="60"/>
      </w:pPr>
      <w:r>
        <w:rPr>
          <w:rFonts w:ascii="Arial" w:cs="Arial" w:eastAsia="Arial" w:hAnsi="Arial"/>
          <w:color w:val="3d3d3a"/>
          <w:sz w:val="22"/>
          <w:szCs w:val="22"/>
        </w:rPr>
        <w:t xml:space="preserve">Sets the model identity, enforces JSON-only output, defines the exact patch schema. Sent first on every call.</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Layer 2 — GST rule tables (~2,000 tokens, cached)</w:t>
      </w:r>
    </w:p>
    <w:p>
      <w:pPr>
        <w:spacing w:after="120" w:before="60"/>
      </w:pPr>
      <w:r>
        <w:rPr>
          <w:rFonts w:ascii="Arial" w:cs="Arial" w:eastAsia="Arial" w:hAnsi="Arial"/>
          <w:color w:val="3d3d3a"/>
          <w:sz w:val="22"/>
          <w:szCs w:val="22"/>
        </w:rPr>
        <w:t xml:space="preserve">Contains the full HSN rate table loaded from MongoDB at request time, SAC table, Sec 17(5) blocked ITC list, GSTR-2A matching tolerances. This is the most valuable cached section.</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Layer 3 — Behavioural guardrails (~200 tokens, cached with Layer 2)</w:t>
      </w:r>
    </w:p>
    <w:p>
      <w:pPr>
        <w:spacing w:after="120" w:before="60"/>
      </w:pPr>
      <w:r>
        <w:rPr>
          <w:rFonts w:ascii="Arial" w:cs="Arial" w:eastAsia="Arial" w:hAnsi="Arial"/>
          <w:color w:val="3d3d3a"/>
          <w:sz w:val="22"/>
          <w:szCs w:val="22"/>
        </w:rPr>
        <w:t xml:space="preserve">What the model must never do: invent a rate, assume eligibility, produce a patch below 0.75 confidence. When to flag vs patch. Rule citation format required on every patch.</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Layer 4 — Per-request context (~400–800 tokens, never cached)</w:t>
      </w:r>
    </w:p>
    <w:p>
      <w:pPr>
        <w:spacing w:after="120" w:before="60"/>
      </w:pPr>
      <w:r>
        <w:rPr>
          <w:rFonts w:ascii="Arial" w:cs="Arial" w:eastAsia="Arial" w:hAnsi="Arial"/>
          <w:color w:val="3d3d3a"/>
          <w:sz w:val="22"/>
          <w:szCs w:val="22"/>
        </w:rPr>
        <w:t xml:space="preserve">The user intent, sheet name, column headers, selected rows as compact JSON array, and any prior session flags.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backend/src/llm/promptAssembler.ts
// PROCESS: PROMPT_ASSEMBLER
export async function assemblePrompt(ctx: RequestContext): Promise&lt;AnthropicMessage[]&gt; {
  // Load rule tables from MongoDB (these get injected into Layer 2)
  const rateTable = await RateTable.find({ activeNow: true }).lean()
  const itcBlocks = await ItcBlock.find({}).lean()
  const layer1 = buildRoleLayer()               // ~200 tokens
  const layer2 = buildRulesLayer(rateTable, itcBlocks)  // ~2000 tokens — CACHED
  const layer3 = buildGuardrailsLayer()          // ~200 tokens — CACHED
  const layer4 = buildContextLayer(ctx)          // ~400-800 tokens — NOT cached
  // Anthropic cache_control: mark the stable prefix for caching
  return [
    {
      role: "user",
      content: [
        { type: "text", text: layer1 + "\n\n" + layer2 + "\n\n" + layer3,
          cache_control: { type: "ephemeral" }    // cache Layers 1-3
        },
        { type: "text", text: layer4 }            // Layer 4: not cached
      ]
    }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10. Process: LLM_CALLER + RESPONSE_VALIDATOR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0" w:before="0"/>
            </w:pPr>
            <w:r>
              <w:rPr>
                <w:rFonts w:ascii="Courier New" w:cs="Courier New" w:eastAsia="Courier New" w:hAnsi="Courier New"/>
                <w:b/>
                <w:bCs/>
                <w:color w:val="534AB7"/>
                <w:sz w:val="18"/>
                <w:szCs w:val="18"/>
              </w:rPr>
              <w:t xml:space="preserve">PROCESS  </w:t>
            </w:r>
            <w:r>
              <w:rPr>
                <w:rFonts w:ascii="Courier New" w:cs="Courier New" w:eastAsia="Courier New" w:hAnsi="Courier New"/>
                <w:b/>
                <w:bCs/>
                <w:color w:val="534AB7"/>
                <w:sz w:val="20"/>
                <w:szCs w:val="20"/>
              </w:rPr>
              <w:t xml:space="preserve">LLM_CALLER  </w:t>
            </w:r>
            <w:r>
              <w:rPr>
                <w:rFonts w:ascii="Arial" w:cs="Arial" w:eastAsia="Arial" w:hAnsi="Arial"/>
                <w:color w:val="534AB7"/>
                <w:sz w:val="20"/>
                <w:szCs w:val="20"/>
              </w:rPr>
              <w:t xml:space="preserve"> — </w:t>
            </w:r>
            <w:r>
              <w:rPr>
                <w:rFonts w:ascii="Arial" w:cs="Arial" w:eastAsia="Arial" w:hAnsi="Arial"/>
                <w:color w:val="534AB7"/>
                <w:sz w:val="20"/>
                <w:szCs w:val="20"/>
              </w:rPr>
              <w:t xml:space="preserve">Backend: sends to Anthropic/OpenAI SDK with caching headers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backend/src/llm/llmCaller.ts
// PROCESS: LLM_CALLER
export async function callLlm(
  messages: AnthropicMessage[],
  model: string
): Promise&lt;PatchResult&gt; {
  const client = new Anthropic()
  const response = await client.messages.create({
    model,
    max_tokens: 1000,
    messages,
    // Structured JSON mode — model returns JSON only, no markdown
    system: "Respond only with valid JSON matching the PatchResult schema."
  })
  const raw = response.content[0].type === "text" ? response.content[0].text : ""
  // ── PROCESS: RESPONSE_VALIDATOR ─────────────────────────────
  return validateLlmResponse(raw)
}
// PROCESS: RESPONSE_VALIDATOR
function validateLlmResponse(raw: string): PatchResult {
  // 1. Parse JSON — strip accidental markdown fences
  const clean = raw.replace(/```json|```/g, "").trim()
  const parsed = JSON.parse(clean)     // throws if invalid JSON → caught upstream
  // 2. Zod schema validation
  const result = PatchResultSchema.parse(parsed)
  // 3. Cross-check every patch against MongoDB rate table
  for (const patch of result.patches) {
    if (patch.type === "rate") {
      const dbRate = rateCache.get(patch.hsn)  // Redis-cached MongoDB lookup
      if (dbRate &amp;&amp; parseFloat(patch.newValue) !== dbRate.ratePct) {
        // LLM contradicts DB — demote to flag, never apply
        result.flags.push({ cell: patch.cell, issue: "LLM rate contradicts DB", severity: "high" })
        result.patches = result.patches.filter(p =&gt; p !== patch)
      }
    }
    // 4. Require ruleRef on every patch
    if (!patch.ruleRef || patch.ruleRef.trim() === "") {
      throw new ValidationError(`Patch for ${patch.cell} missing ruleRef`)
    }
  }
  return result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11. Process: CONTROLLED_REVEAL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200"/>
              <w:bottom w:type="dxa" w:w="100"/>
              <w:right w:type="dxa" w:w="200"/>
            </w:tcMar>
          </w:tcPr>
          <w:p>
            <w:pPr>
              <w:spacing w:after="0" w:before="0"/>
            </w:pPr>
            <w:r>
              <w:rPr>
                <w:rFonts w:ascii="Courier New" w:cs="Courier New" w:eastAsia="Courier New" w:hAnsi="Courier New"/>
                <w:b/>
                <w:bCs/>
                <w:color w:val="534AB7"/>
                <w:sz w:val="18"/>
                <w:szCs w:val="18"/>
              </w:rPr>
              <w:t xml:space="preserve">PROCESS  </w:t>
            </w:r>
            <w:r>
              <w:rPr>
                <w:rFonts w:ascii="Courier New" w:cs="Courier New" w:eastAsia="Courier New" w:hAnsi="Courier New"/>
                <w:b/>
                <w:bCs/>
                <w:color w:val="534AB7"/>
                <w:sz w:val="20"/>
                <w:szCs w:val="20"/>
              </w:rPr>
              <w:t xml:space="preserve">CONTROLLED_REVEAL  </w:t>
            </w:r>
            <w:r>
              <w:rPr>
                <w:rFonts w:ascii="Arial" w:cs="Arial" w:eastAsia="Arial" w:hAnsi="Arial"/>
                <w:color w:val="534AB7"/>
                <w:sz w:val="20"/>
                <w:szCs w:val="20"/>
              </w:rPr>
              <w:t xml:space="preserve"> — </w:t>
            </w:r>
            <w:r>
              <w:rPr>
                <w:rFonts w:ascii="Arial" w:cs="Arial" w:eastAsia="Arial" w:hAnsi="Arial"/>
                <w:color w:val="534AB7"/>
                <w:sz w:val="20"/>
                <w:szCs w:val="20"/>
              </w:rPr>
              <w:t xml:space="preserve">Frontend: stagger-reveals diff cards 120ms apart</w:t>
            </w:r>
          </w:p>
        </w:tc>
      </w:tr>
    </w:tbl>
    <w:p>
      <w:pPr>
        <w:spacing w:after="120" w:before="0"/>
      </w:pPr>
      <w:r>
        <w:t xml:space="preserve"/>
      </w:r>
    </w:p>
    <w:p>
      <w:pPr>
        <w:spacing w:after="120" w:before="60"/>
      </w:pPr>
      <w:r>
        <w:rPr>
          <w:rFonts w:ascii="Arial" w:cs="Arial" w:eastAsia="Arial" w:hAnsi="Arial"/>
          <w:color w:val="3d3d3a"/>
          <w:sz w:val="22"/>
          <w:szCs w:val="22"/>
        </w:rPr>
        <w:t xml:space="preserve">CONTROLLED_REVEAL is the technique that makes CELLIX feel like Cursor. The backend returns all patches in a single JSON response — there is no actual streaming. CONTROLLED_REVEAL artificially staggers the reveal of each diff card at 120ms intervals using </w:t>
      </w:r>
      <w:r>
        <w:rPr>
          <w:rFonts w:ascii="Courier New" w:cs="Courier New" w:eastAsia="Courier New" w:hAnsi="Courier New"/>
          <w:color w:val="534AB7"/>
          <w:sz w:val="20"/>
          <w:szCs w:val="20"/>
        </w:rPr>
        <w:t xml:space="preserve">setTimeout</w:t>
      </w:r>
      <w:r>
        <w:rPr>
          <w:rFonts w:ascii="Arial" w:cs="Arial" w:eastAsia="Arial" w:hAnsi="Arial"/>
          <w:color w:val="3d3d3a"/>
          <w:sz w:val="22"/>
          <w:szCs w:val="22"/>
        </w:rPr>
        <w:t xml:space="preserve">, creating the visual impression that changes are being discovered one by 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8"/>
              <w:bottom w:val="none" w:color="FFFFFF" w:sz="0"/>
              <w:right w:val="none" w:color="FFFFFF" w:sz="0"/>
            </w:tcBorders>
            <w:shd w:fill="FAEEDA" w:val="clear"/>
            <w:tcMar>
              <w:top w:type="dxa" w:w="100"/>
              <w:left w:type="dxa" w:w="200"/>
              <w:bottom w:type="dxa" w:w="100"/>
              <w:right w:type="dxa" w:w="120"/>
            </w:tcMar>
          </w:tcPr>
          <w:p>
            <w:pPr>
              <w:spacing w:after="60" w:before="40"/>
            </w:pPr>
            <w:r>
              <w:rPr>
                <w:rFonts w:ascii="Arial" w:cs="Arial" w:eastAsia="Arial" w:hAnsi="Arial"/>
                <w:b/>
                <w:bCs/>
                <w:color w:val="854F0B"/>
                <w:sz w:val="18"/>
                <w:szCs w:val="18"/>
              </w:rPr>
              <w:t xml:space="preserve">WHY NOT REAL STREAMING?</w:t>
            </w:r>
          </w:p>
          <w:p>
            <w:pPr>
              <w:spacing w:after="40" w:before="0"/>
            </w:pPr>
            <w:r>
              <w:rPr>
                <w:rFonts w:ascii="Arial" w:cs="Arial" w:eastAsia="Arial" w:hAnsi="Arial"/>
                <w:color w:val="3d3d3a"/>
                <w:sz w:val="22"/>
                <w:szCs w:val="22"/>
              </w:rPr>
              <w:t xml:space="preserve">Office.js task pane makes an HTTP call from the browser to your backend. Real token-by-token streaming from Anthropic can be proxied through your backend with SSE. However, the controlled reveal approach has a practical advantage: the rules engine resolves 50–65% of patches deterministically, and those arrive instantly anyway. The 120ms stagger creates a consistent, legible UX regardless of whether the source is the rules engine or the LLM.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src/store/cellix.ts  — Zustand store
interface Patch {
  cell:       string
  oldValue:   string | number
  newValue:   string | number
  reason:     string
  ruleRef:    string
  confidence: number
  type:       "rate" | "missing" | "itc" | "flag" | "formula"
  source:     "rules_engine" | "llm"
  status:     "hidden" | "pending" | "accepted" | "rejected"
}
export const useCellix = create&lt;CellixStore&gt;()((set, get) =&gt; ({
  mode: "idle", patches: [], focusIdx: 0,
  // ── PROCESS: CONTROLLED_REVEAL ──────────────────────────────
  setPatches: (raw: Patch[]) =&gt; {
    // Mark all patches hidden initially
    const hidden = raw.map(p =&gt; ({ ...p, status: "hidden" as const }))
    set({ patches: hidden, mode: "review", focusIdx: 0 })
    // Reveal one card every 120ms — rules_engine patches first (they arrive faster)
    const sorted = [...hidden].sort((a, b) =&gt;
      a.source === "rules_engine" ? -1 : 1   // rules engine first
    )
    sorted.forEach((_, i) =&gt; {
      setTimeout(() =&gt; {
        set(s =&gt; {
          const idx = s.patches.findIndex(p =&gt; p.status === "hidden")
          if (idx === -1) return s
          const patches = [...s.patches]
          patches[idx] = { ...patches[idx], status: "pending" }
          return { patches, focusIdx: s.focusIdx === -1 ? idx : s.focusIdx }
        })
      }, i * 120)
    })
  },
  acceptPatch: (i) =&gt; {
    set(s =&gt; ({
      patches: s.patches.map((p, idx) =&gt;
        idx === i ? { ...p, status: "accepted" } : p),
      focusIdx: nextPendingIdx(s.patches, i)
    }))
    // Write to Excel immediately
    writePatchToExcel(get().patches[i])
  },
  rejectPatch: (i) =&gt; set(s =&gt; ({
    patches: s.patches.map((p, idx) =&gt;
      idx === i ? { ...p, status: "rejected" } : p),
    focusIdx: nextPendingIdx(s.patches, i)
  })),
  acceptAll: () =&gt; {
    const pending = get().patches.filter(p =&gt; p.status === "pending" &amp;&amp; p.type !== "flag")
    pending.forEach(p =&gt; writePatchToExcel(p))
    set(s =&gt; ({
      patches: s.patches.map(p =&gt;
        p.status === "pending" &amp;&amp; p.type !== "flag" ? { ...p, status: "accepted" } : p)
    }))
  },
}))
function nextPendingIdx(patches: Patch[], from: number): number {
  for (let i = from + 1; i &lt; patches.length; i++)
    if (patches[i].status === "pending") return i
  return -1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12. Process: PATCH_WRITER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200"/>
              <w:bottom w:type="dxa" w:w="100"/>
              <w:right w:type="dxa" w:w="200"/>
            </w:tcMar>
          </w:tcPr>
          <w:p>
            <w:pPr>
              <w:spacing w:after="0" w:before="0"/>
            </w:pPr>
            <w:r>
              <w:rPr>
                <w:rFonts w:ascii="Courier New" w:cs="Courier New" w:eastAsia="Courier New" w:hAnsi="Courier New"/>
                <w:b/>
                <w:bCs/>
                <w:color w:val="0F6E56"/>
                <w:sz w:val="18"/>
                <w:szCs w:val="18"/>
              </w:rPr>
              <w:t xml:space="preserve">PROCESS  </w:t>
            </w:r>
            <w:r>
              <w:rPr>
                <w:rFonts w:ascii="Courier New" w:cs="Courier New" w:eastAsia="Courier New" w:hAnsi="Courier New"/>
                <w:b/>
                <w:bCs/>
                <w:color w:val="0F6E56"/>
                <w:sz w:val="20"/>
                <w:szCs w:val="20"/>
              </w:rPr>
              <w:t xml:space="preserve">PATCH_WRITER  </w:t>
            </w:r>
            <w:r>
              <w:rPr>
                <w:rFonts w:ascii="Arial" w:cs="Arial" w:eastAsia="Arial" w:hAnsi="Arial"/>
                <w:color w:val="0F6E56"/>
                <w:sz w:val="20"/>
                <w:szCs w:val="20"/>
              </w:rPr>
              <w:t xml:space="preserve"> — </w:t>
            </w:r>
            <w:r>
              <w:rPr>
                <w:rFonts w:ascii="Arial" w:cs="Arial" w:eastAsia="Arial" w:hAnsi="Arial"/>
                <w:color w:val="0F6E56"/>
                <w:sz w:val="20"/>
                <w:szCs w:val="20"/>
              </w:rPr>
              <w:t xml:space="preserve">Frontend: writes accepted patch to Excel via Office.js</w:t>
            </w:r>
          </w:p>
        </w:tc>
      </w:tr>
    </w:tbl>
    <w:p>
      <w:pPr>
        <w:spacing w:after="120" w:before="0"/>
      </w:pPr>
      <w:r>
        <w:t xml:space="preserve"/>
      </w:r>
    </w:p>
    <w:p>
      <w:pPr>
        <w:spacing w:after="120" w:before="60"/>
      </w:pPr>
      <w:r>
        <w:rPr>
          <w:rFonts w:ascii="Arial" w:cs="Arial" w:eastAsia="Arial" w:hAnsi="Arial"/>
          <w:color w:val="3d3d3a"/>
          <w:sz w:val="22"/>
          <w:szCs w:val="22"/>
        </w:rPr>
        <w:t xml:space="preserve">PATCH_WRITER fires immediately when the CA accepts a change. It uses Excel.run() to write the new value to the target cell, applies a brief green background flash (cleared after 2 seconds), and calls AUDIT_LOGGER on the backend.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src/utils/patchWriter.ts
// PROCESS: PATCH_WRITER
export async function writePatchToExcel(patch: Patch): Promise&lt;void&gt; {
  await Excel.run(async (ctx) =&gt; {
    const sheet = ctx.workbook.worksheets.getActiveWorksheet()
    const range = sheet.getRange(patch.cell)
    // Write value or formula
    if (typeof patch.newValue === "string" &amp;&amp; patch.newValue.startsWith("=")) {
      range.formulas = [[patch.newValue]]
    } else {
      range.values = [[patch.newValue]]
    }
    // Green flash — cleared after 2s
    range.format.fill.color = "#E8F5EE"
    await ctx.sync()
    setTimeout(async () =&gt; {
      await Excel.run(async (c) =&gt; {
        c.workbook.worksheets.getActiveWorksheet()
          .getRange(patch.cell).format.fill.clear()
        await c.sync()
      })
    }, 2000)
  })
  // Log to backend (fire-and-forget — do not block the UI)
  auditLog({ action: "patch_applied", patch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13. Caching Strategy</w:t>
      </w:r>
    </w:p>
    <w:p>
      <w:pPr>
        <w:pStyle w:val="Heading2"/>
        <w:spacing w:after="140" w:before="360"/>
      </w:pPr>
      <w:r>
        <w:rPr>
          <w:rFonts w:ascii="Arial" w:cs="Arial" w:eastAsia="Arial" w:hAnsi="Arial"/>
          <w:b/>
          <w:bCs/>
          <w:color w:val="1A1714"/>
          <w:sz w:val="28"/>
          <w:szCs w:val="28"/>
        </w:rPr>
        <w:t xml:space="preserve">13.1 Three caching layers</w:t>
      </w:r>
    </w:p>
    <w:p>
      <w:pPr>
        <w:spacing w:after="120" w:before="60"/>
      </w:pPr>
      <w:r>
        <w:rPr>
          <w:rFonts w:ascii="Arial" w:cs="Arial" w:eastAsia="Arial" w:hAnsi="Arial"/>
          <w:color w:val="3d3d3a"/>
          <w:sz w:val="22"/>
          <w:szCs w:val="22"/>
        </w:rPr>
        <w:t xml:space="preserve">CELLIX uses three distinct caches at different layers of the stack. Each targets a different type of repeated computation.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1000"/>
        <w:gridCol w:w="1760"/>
      </w:tblGrid>
      <w:tr>
        <w:trPr>
          <w:tblHeader/>
        </w:trPr>
        <w:tc>
          <w:tcPr>
            <w:tcW w:type="dxa" w:w="20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Cache name</w:t>
            </w:r>
          </w:p>
        </w:tc>
        <w:tc>
          <w:tcPr>
            <w:tcW w:type="dxa" w:w="16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c>
          <w:tcPr>
            <w:tcW w:type="dxa" w:w="30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is cached</w:t>
            </w:r>
          </w:p>
        </w:tc>
        <w:tc>
          <w:tcPr>
            <w:tcW w:type="dxa" w:w="10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TTL</w:t>
            </w:r>
          </w:p>
        </w:tc>
        <w:tc>
          <w:tcPr>
            <w:tcW w:type="dxa" w:w="17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Saves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Prompt cache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Anthropic API</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System prompt Layers 1–3 (GST rule tables, guardrails)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5 min</w:t>
            </w:r>
          </w:p>
        </w:tc>
        <w:tc>
          <w:tcPr>
            <w:tcW w:type="dxa" w:w="1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~₹1.75/call on repeat same-workflow calls</w:t>
            </w:r>
          </w:p>
        </w:tc>
      </w:tr>
      <w:tr>
        <w:tc>
          <w:tcPr>
            <w:tcW w:type="dxa" w:w="20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Result cache</w:t>
            </w:r>
          </w:p>
        </w:tc>
        <w:tc>
          <w:tcPr>
            <w:tcW w:type="dxa" w:w="1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Redis</w:t>
            </w:r>
          </w:p>
        </w:tc>
        <w:tc>
          <w:tcPr>
            <w:tcW w:type="dxa" w:w="30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Full PatchResult for identical {prompt + headers + rows} hash</w:t>
            </w:r>
          </w:p>
        </w:tc>
        <w:tc>
          <w:tcPr>
            <w:tcW w:type="dxa" w:w="10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5 min</w:t>
            </w:r>
          </w:p>
        </w:tc>
        <w:tc>
          <w:tcPr>
            <w:tcW w:type="dxa" w:w="17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100% LLM cost — recon patterns repeat across CAs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Rate table cache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Redis</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MongoDB gst_rates and itc_blocks query results</w:t>
            </w:r>
          </w:p>
        </w:tc>
        <w:tc>
          <w:tcPr>
            <w:tcW w:type="dxa" w:w="1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1 hr</w:t>
            </w:r>
          </w:p>
        </w:tc>
        <w:tc>
          <w:tcPr>
            <w:tcW w:type="dxa" w:w="1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MongoDB round-trip per row in RULES_ENGINE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backend/src/cache/resultCache.ts
import { createHash } from "crypto"
export function payloadHash(prompt: string, headers: string[], rows: unknown[][]): string {
  const payload = JSON.stringify({ prompt, headers, rows })
  return createHash("sha256").update(payload).digest("hex")
}
// Check result cache before running any processing
export async function getCachedResult(hash: string): Promise&lt;PatchResult | null&gt; {
  const cached = await redis.get(`cellix:result:${hash}`)
  return cached ? JSON.parse(cached) : null
}
export async function setCachedResult(hash: string, result: PatchResult): Promise&lt;void&gt; {
  await redis.setex(`cellix:result:${hash}`, 300, JSON.stringify(result))  // 5 min TTL
}
// In the main handler:
// const hash = payloadHash(prompt, headers, rows)
// const cached = await getCachedResult(hash)
// if (cached) return cached   ← full LLM cost saved</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14. Process: AUDIT_LOGGER + MongoDB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00"/>
              <w:left w:type="dxa" w:w="200"/>
              <w:bottom w:type="dxa" w:w="100"/>
              <w:right w:type="dxa" w:w="200"/>
            </w:tcMar>
          </w:tcPr>
          <w:p>
            <w:pPr>
              <w:spacing w:after="0" w:before="0"/>
            </w:pPr>
            <w:r>
              <w:rPr>
                <w:rFonts w:ascii="Courier New" w:cs="Courier New" w:eastAsia="Courier New" w:hAnsi="Courier New"/>
                <w:b/>
                <w:bCs/>
                <w:color w:val="185FA5"/>
                <w:sz w:val="18"/>
                <w:szCs w:val="18"/>
              </w:rPr>
              <w:t xml:space="preserve">PROCESS  </w:t>
            </w:r>
            <w:r>
              <w:rPr>
                <w:rFonts w:ascii="Courier New" w:cs="Courier New" w:eastAsia="Courier New" w:hAnsi="Courier New"/>
                <w:b/>
                <w:bCs/>
                <w:color w:val="185FA5"/>
                <w:sz w:val="20"/>
                <w:szCs w:val="20"/>
              </w:rPr>
              <w:t xml:space="preserve">AUDIT_LOGGER  </w:t>
            </w:r>
            <w:r>
              <w:rPr>
                <w:rFonts w:ascii="Arial" w:cs="Arial" w:eastAsia="Arial" w:hAnsi="Arial"/>
                <w:color w:val="185FA5"/>
                <w:sz w:val="20"/>
                <w:szCs w:val="20"/>
              </w:rPr>
              <w:t xml:space="preserve"> — </w:t>
            </w:r>
            <w:r>
              <w:rPr>
                <w:rFonts w:ascii="Arial" w:cs="Arial" w:eastAsia="Arial" w:hAnsi="Arial"/>
                <w:color w:val="185FA5"/>
                <w:sz w:val="20"/>
                <w:szCs w:val="20"/>
              </w:rPr>
              <w:t xml:space="preserve">Backend: persists every action to MongoDB with full provenance</w:t>
            </w:r>
          </w:p>
        </w:tc>
      </w:tr>
    </w:tbl>
    <w:p>
      <w:pPr>
        <w:spacing w:after="120" w:before="0"/>
      </w:pPr>
      <w:r>
        <w:t xml:space="preserve"/>
      </w:r>
    </w:p>
    <w:p>
      <w:pPr>
        <w:spacing w:after="120" w:before="60"/>
      </w:pPr>
      <w:r>
        <w:rPr>
          <w:rFonts w:ascii="Arial" w:cs="Arial" w:eastAsia="Arial" w:hAnsi="Arial"/>
          <w:color w:val="3d3d3a"/>
          <w:sz w:val="22"/>
          <w:szCs w:val="22"/>
        </w:rPr>
        <w:t xml:space="preserve">MongoDB is chosen over PostgreSQL for the audit collection because the schema of an audit entry is naturally document-shaped — every patch carries different fields depending on its type, workflow, and source. A relational schema would require wide nullable tables or joins. MongoDB's flexible schema accommodates all variants naturally, and the audit log is append-only (no updates), which suits MongoDB's write model well.</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14.1 Why MongoDB over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Factor</w:t>
            </w:r>
          </w:p>
        </w:tc>
        <w:tc>
          <w:tcPr>
            <w:tcW w:type="dxa" w:w="348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MongoDB</w:t>
            </w:r>
          </w:p>
        </w:tc>
        <w:tc>
          <w:tcPr>
            <w:tcW w:type="dxa" w:w="348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PostgreSQL</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Audit entry schema</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Flexible — each entry has different fields by workflow type</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Would need wide nullable table or JSONB column</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Write pattern</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Append-only insertOne() — MongoDB excels at this</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Also fine, but no advantage over Mongo here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Query pattern</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Find by userId + dateRange + workflow — covered by indexes</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Equally capable with proper indexes</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GST rate table</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Document per HSN range with nested fields</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Better for range queries (BETWEEN) — use Postgres here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Rate table updates</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Upsert on notification change — simple</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Equally simple</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Reporting / exports</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Aggregation pipeline for PDF summary</w:t>
            </w:r>
          </w:p>
        </w:tc>
        <w:tc>
          <w:tcPr>
            <w:tcW w:type="dxa" w:w="348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Window functions would be cleaner for analytics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Hosting</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MongoDB Atlas free tier covers V1 usage</w:t>
            </w:r>
          </w:p>
        </w:tc>
        <w:tc>
          <w:tcPr>
            <w:tcW w:type="dxa" w:w="34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Supabase / Neon free tiers also strong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85FA5" w:sz="18"/>
              <w:bottom w:val="none" w:color="FFFFFF" w:sz="0"/>
              <w:right w:val="none" w:color="FFFFFF" w:sz="0"/>
            </w:tcBorders>
            <w:shd w:fill="E6F1FB" w:val="clear"/>
            <w:tcMar>
              <w:top w:type="dxa" w:w="100"/>
              <w:left w:type="dxa" w:w="200"/>
              <w:bottom w:type="dxa" w:w="100"/>
              <w:right w:type="dxa" w:w="120"/>
            </w:tcMar>
          </w:tcPr>
          <w:p>
            <w:pPr>
              <w:spacing w:after="60" w:before="40"/>
            </w:pPr>
            <w:r>
              <w:rPr>
                <w:rFonts w:ascii="Arial" w:cs="Arial" w:eastAsia="Arial" w:hAnsi="Arial"/>
                <w:b/>
                <w:bCs/>
                <w:color w:val="185FA5"/>
                <w:sz w:val="18"/>
                <w:szCs w:val="18"/>
              </w:rPr>
              <w:t xml:space="preserve">HYBRID APPROACH</w:t>
            </w:r>
          </w:p>
          <w:p>
            <w:pPr>
              <w:spacing w:after="40" w:before="0"/>
            </w:pPr>
            <w:r>
              <w:rPr>
                <w:rFonts w:ascii="Arial" w:cs="Arial" w:eastAsia="Arial" w:hAnsi="Arial"/>
                <w:color w:val="3d3d3a"/>
                <w:sz w:val="22"/>
                <w:szCs w:val="22"/>
              </w:rPr>
              <w:t xml:space="preserve">The GST rate table (gst_rates) is better served in PostgreSQL because HSN range queries (WHERE hsn BETWEEN "3001" AND "3999") map naturally to SQL range predicates. Use MongoDB for audit_entries, sessions, and user state. Use PostgreSQL (Supabase) for gst_rates and itc_blocks only. Redis sits in front of both for hot reads.</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14.2 MongoDB collections</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Collection: audit_entries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MongoDB — audit_entries collection
// One document per CA action (patch_applied, patch_rejected, flag_raised)
{
  _id:          ObjectId,
  sessionId:    ObjectId,            // ref → sessions
  userId:       ObjectId,            // ref → users
  actionType:   "patch_applied" | "patch_rejected" | "flag_raised",
  workflow:     "gst_recon" | "formula" | "tds_match" | "tally" | "error_fix",
  source:       "rules_engine" | "llm",
  model:        "claude-haiku-4-5-20251001" | "claude-sonnet-4-6" | "claude-opus-4-6",
  cell:         "D12",               // Excel cell address
  sheetName:    "PurchaseReg_Apr24",
  workbookName: "Acme_GST_FY2425.xlsx",
  oldValue:     "18%",
  newValue:     "12%",
  ruleRef:      "Notif. 01/2017-CT(Rate) Sl.24",
  reason:       "HSN 8471 reduced rate is 12%",
  confidence:   0.97,
  approvedBy:   "ca.sharma@acmefirm.in",
  timestamp:    ISODate("2026-04-18T14:32:07Z"),
  // For flags — additional fields:
  severity:     "high" | "medium" | "low",   // present only on flag_raised
  suggestedAction: "Verify HSN with supplier",
}
// Indexes
db.audit_entries.createIndex({ userId: 1, timestamp: -1 })
db.audit_entries.createIndex({ sessionId: 1, timestamp: 1 })
db.audit_entries.createIndex({ workbookName: 1, timestamp: -1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Collection: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MongoDB — sessions collection
{
  _id:           ObjectId,
  userId:        ObjectId,
  workbookName:  "Acme_GST_FY2425.xlsx",
  sheetName:     "PurchaseReg_Apr24",
  startedAt:     ISODate,
  endedAt:       ISODate,
  creditsUsed:   3,
  patchesApplied:5,
  patchesRejected:1,
  workflows:     ["gst_recon"],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MongoDB — users collection
{
  _id:           ObjectId,
  email:         "ca.sharma@acmefirm.in",
  microsoftId:   "...",              // from Microsoft OAuth
  plan:          "free" | "pro" | "team" | "enterprise",
  creditsLeft:   362,
  creditsReset:  ISODate,            // monthly reset
  createdAt:     ISODate,
  lastSeen:      ISODate,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15. GST Reconciliation — Deep Dive</w:t>
      </w:r>
    </w:p>
    <w:p>
      <w:pPr>
        <w:spacing w:after="120" w:before="60"/>
      </w:pPr>
      <w:r>
        <w:rPr>
          <w:rFonts w:ascii="Arial" w:cs="Arial" w:eastAsia="Arial" w:hAnsi="Arial"/>
          <w:color w:val="3d3d3a"/>
          <w:sz w:val="22"/>
          <w:szCs w:val="22"/>
        </w:rPr>
        <w:t xml:space="preserve">GST reconciliation is CELLIX's core use case and the highest-value workflow. Understanding exactly what it does, why it is painful, and how the RULES_ENGINE + LLM pipeline solves it is essential context for every engineer working on the system.</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15.1 What GST reconciliation is</w:t>
      </w:r>
    </w:p>
    <w:p>
      <w:pPr>
        <w:spacing w:after="120" w:before="60"/>
      </w:pPr>
      <w:r>
        <w:rPr>
          <w:rFonts w:ascii="Arial" w:cs="Arial" w:eastAsia="Arial" w:hAnsi="Arial"/>
          <w:color w:val="3d3d3a"/>
          <w:sz w:val="22"/>
          <w:szCs w:val="22"/>
        </w:rPr>
        <w:t xml:space="preserve">Every registered GST taxpayer must file monthly returns. GSTR-1 is filed by suppliers (what they sold). GSTR-2A/2B is auto-populated by the GST portal — it shows what suppliers have filed about purchases they made to you. The CA's job is to reconcile their internal purchase register (what they recorded buying) against the GSTR-2A (what suppliers reported selling to them).</w:t>
      </w:r>
    </w:p>
    <w:p>
      <w:pPr>
        <w:spacing w:after="120" w:before="0"/>
      </w:pPr>
      <w:r>
        <w:t xml:space="preserve"/>
      </w:r>
    </w:p>
    <w:p>
      <w:pPr>
        <w:spacing w:after="120" w:before="60"/>
      </w:pPr>
      <w:r>
        <w:rPr>
          <w:rFonts w:ascii="Arial" w:cs="Arial" w:eastAsia="Arial" w:hAnsi="Arial"/>
          <w:color w:val="3d3d3a"/>
          <w:sz w:val="22"/>
          <w:szCs w:val="22"/>
        </w:rPr>
        <w:t xml:space="preserve">Mismatches block ITC (Input Tax Credit) claims. ITC is the mechanism by which a business offsets the GST it paid on inputs against the GST it collects on outputs. Every unreconciled mismatch is either lost ITC (real money) or a compliance risk.</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15.2 Why it is painful</w:t>
      </w:r>
    </w:p>
    <w:p>
      <w:pPr>
        <w:pStyle w:val="ListParagraph"/>
        <w:numPr>
          <w:ilvl w:val="0"/>
          <w:numId w:val="2"/>
        </w:numPr>
        <w:spacing w:after="40" w:before="40"/>
      </w:pPr>
      <w:r>
        <w:rPr>
          <w:rFonts w:ascii="Arial" w:cs="Arial" w:eastAsia="Arial" w:hAnsi="Arial"/>
          <w:b/>
          <w:bCs/>
          <w:color w:val="1A1714"/>
          <w:sz w:val="22"/>
          <w:szCs w:val="22"/>
        </w:rPr>
        <w:t xml:space="preserve">Volume: </w:t>
      </w:r>
      <w:r>
        <w:rPr>
          <w:rFonts w:ascii="Arial" w:cs="Arial" w:eastAsia="Arial" w:hAnsi="Arial"/>
          <w:color w:val="3d3d3a"/>
          <w:sz w:val="22"/>
          <w:szCs w:val="22"/>
        </w:rPr>
        <w:t xml:space="preserve">A CA with 50 clients processes 50 reconciliations per month. Each client may have 200–2,000 invoice rows.</w:t>
      </w:r>
    </w:p>
    <w:p>
      <w:pPr>
        <w:pStyle w:val="ListParagraph"/>
        <w:numPr>
          <w:ilvl w:val="0"/>
          <w:numId w:val="2"/>
        </w:numPr>
        <w:spacing w:after="40" w:before="40"/>
      </w:pPr>
      <w:r>
        <w:rPr>
          <w:rFonts w:ascii="Arial" w:cs="Arial" w:eastAsia="Arial" w:hAnsi="Arial"/>
          <w:b/>
          <w:bCs/>
          <w:color w:val="1A1714"/>
          <w:sz w:val="22"/>
          <w:szCs w:val="22"/>
        </w:rPr>
        <w:t xml:space="preserve">Data quality: </w:t>
      </w:r>
      <w:r>
        <w:rPr>
          <w:rFonts w:ascii="Arial" w:cs="Arial" w:eastAsia="Arial" w:hAnsi="Arial"/>
          <w:color w:val="3d3d3a"/>
          <w:sz w:val="22"/>
          <w:szCs w:val="22"/>
        </w:rPr>
        <w:t xml:space="preserve">Suppliers make errors — wrong invoice numbers, wrong GSTIN, wrong amounts, late filing. The portal data is often incomplete.</w:t>
      </w:r>
    </w:p>
    <w:p>
      <w:pPr>
        <w:pStyle w:val="ListParagraph"/>
        <w:numPr>
          <w:ilvl w:val="0"/>
          <w:numId w:val="2"/>
        </w:numPr>
        <w:spacing w:after="40" w:before="40"/>
      </w:pPr>
      <w:r>
        <w:rPr>
          <w:rFonts w:ascii="Arial" w:cs="Arial" w:eastAsia="Arial" w:hAnsi="Arial"/>
          <w:b/>
          <w:bCs/>
          <w:color w:val="1A1714"/>
          <w:sz w:val="22"/>
          <w:szCs w:val="22"/>
        </w:rPr>
        <w:t xml:space="preserve">Fuzzy matching: </w:t>
      </w:r>
      <w:r>
        <w:rPr>
          <w:rFonts w:ascii="Arial" w:cs="Arial" w:eastAsia="Arial" w:hAnsi="Arial"/>
          <w:color w:val="3d3d3a"/>
          <w:sz w:val="22"/>
          <w:szCs w:val="22"/>
        </w:rPr>
        <w:t xml:space="preserve">Invoice INV-101 in the purchase register might be "INV101", "inv-101", or "101" in GSTR-2A. Manual matching is error-prone.</w:t>
      </w:r>
    </w:p>
    <w:p>
      <w:pPr>
        <w:pStyle w:val="ListParagraph"/>
        <w:numPr>
          <w:ilvl w:val="0"/>
          <w:numId w:val="2"/>
        </w:numPr>
        <w:spacing w:after="40" w:before="40"/>
      </w:pPr>
      <w:r>
        <w:rPr>
          <w:rFonts w:ascii="Arial" w:cs="Arial" w:eastAsia="Arial" w:hAnsi="Arial"/>
          <w:b/>
          <w:bCs/>
          <w:color w:val="1A1714"/>
          <w:sz w:val="22"/>
          <w:szCs w:val="22"/>
        </w:rPr>
        <w:t xml:space="preserve">Rate changes: </w:t>
      </w:r>
      <w:r>
        <w:rPr>
          <w:rFonts w:ascii="Arial" w:cs="Arial" w:eastAsia="Arial" w:hAnsi="Arial"/>
          <w:color w:val="3d3d3a"/>
          <w:sz w:val="22"/>
          <w:szCs w:val="22"/>
        </w:rPr>
        <w:t xml:space="preserve">CBIC issues rate change notifications 2–4 times per year. A CA doing recon in April must apply rates effective from the invoice date, not today.</w:t>
      </w:r>
    </w:p>
    <w:p>
      <w:pPr>
        <w:pStyle w:val="ListParagraph"/>
        <w:numPr>
          <w:ilvl w:val="0"/>
          <w:numId w:val="2"/>
        </w:numPr>
        <w:spacing w:after="40" w:before="40"/>
      </w:pPr>
      <w:r>
        <w:rPr>
          <w:rFonts w:ascii="Arial" w:cs="Arial" w:eastAsia="Arial" w:hAnsi="Arial"/>
          <w:b/>
          <w:bCs/>
          <w:color w:val="1A1714"/>
          <w:sz w:val="22"/>
          <w:szCs w:val="22"/>
        </w:rPr>
        <w:t xml:space="preserve">ITC eligibility: </w:t>
      </w:r>
      <w:r>
        <w:rPr>
          <w:rFonts w:ascii="Arial" w:cs="Arial" w:eastAsia="Arial" w:hAnsi="Arial"/>
          <w:color w:val="3d3d3a"/>
          <w:sz w:val="22"/>
          <w:szCs w:val="22"/>
        </w:rPr>
        <w:t xml:space="preserve">Sec 17(5) of the CGST Act lists ~15 categories of purchases where ITC is permanently blocked. These change with amendments.</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15.3 The CELLIX GST reconciliation workflow</w:t>
      </w:r>
    </w:p>
    <w:p>
      <w:pPr>
        <w:spacing w:after="120" w:before="60"/>
      </w:pPr>
      <w:r>
        <w:rPr>
          <w:rFonts w:ascii="Arial" w:cs="Arial" w:eastAsia="Arial" w:hAnsi="Arial"/>
          <w:color w:val="3d3d3a"/>
          <w:sz w:val="22"/>
          <w:szCs w:val="22"/>
        </w:rPr>
        <w:t xml:space="preserve">When INTENT_CLASSIFIER detects a gst_recon workflow, the following sequence runs: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1</w:t>
            </w:r>
          </w:p>
        </w:tc>
        <w:tc>
          <w:tcPr>
            <w:tcW w:type="dxa" w:w="8460"/>
            <w:tcBorders>
              <w:top w:val="single" w:color="D3D1C7" w:sz="1"/>
              <w:left w:val="single" w:color="D3D1C7" w:sz="1"/>
              <w:bottom w:val="single" w:color="D3D1C7" w:sz="1"/>
              <w:right w:val="single" w:color="D3D1C7" w:sz="1"/>
            </w:tcBorders>
            <w:shd w:fill="E6F1FB" w:val="clear"/>
            <w:tcMar>
              <w:top w:type="dxa" w:w="80"/>
              <w:left w:type="dxa" w:w="160"/>
              <w:bottom w:type="dxa" w:w="80"/>
              <w:right w:type="dxa" w:w="120"/>
            </w:tcMar>
          </w:tcPr>
          <w:p>
            <w:pPr>
              <w:spacing w:after="30" w:before="0"/>
            </w:pPr>
            <w:r>
              <w:rPr>
                <w:rFonts w:ascii="Arial" w:cs="Arial" w:eastAsia="Arial" w:hAnsi="Arial"/>
                <w:b/>
                <w:bCs/>
                <w:color w:val="185FA5"/>
                <w:sz w:val="20"/>
                <w:szCs w:val="20"/>
              </w:rPr>
              <w:t xml:space="preserve">Upload and parse</w:t>
            </w:r>
          </w:p>
          <w:p>
            <w:pPr>
              <w:spacing w:after="0" w:before="0"/>
            </w:pPr>
            <w:r>
              <w:rPr>
                <w:rFonts w:ascii="Arial" w:cs="Arial" w:eastAsia="Arial" w:hAnsi="Arial"/>
                <w:color w:val="3d3d3a"/>
                <w:sz w:val="19"/>
                <w:szCs w:val="19"/>
              </w:rPr>
              <w:t xml:space="preserve">CA selects their purchase register range in Excel (typically columns: GSTIN, Invoice No, Date, HSN/SAC, Taxable Amount, GST Rate, ITC Flag). RANGE_READER extracts it. The CA also uploads their GSTR-2A download (.xlsx from GST portal) which is read separately.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2</w:t>
            </w:r>
          </w:p>
        </w:tc>
        <w:tc>
          <w:tcPr>
            <w:tcW w:type="dxa" w:w="8460"/>
            <w:tcBorders>
              <w:top w:val="single" w:color="D3D1C7" w:sz="1"/>
              <w:left w:val="single" w:color="D3D1C7" w:sz="1"/>
              <w:bottom w:val="single" w:color="D3D1C7" w:sz="1"/>
              <w:right w:val="single" w:color="D3D1C7" w:sz="1"/>
            </w:tcBorders>
            <w:shd w:fill="E1F5EE" w:val="clear"/>
            <w:tcMar>
              <w:top w:type="dxa" w:w="80"/>
              <w:left w:type="dxa" w:w="160"/>
              <w:bottom w:type="dxa" w:w="80"/>
              <w:right w:type="dxa" w:w="120"/>
            </w:tcMar>
          </w:tcPr>
          <w:p>
            <w:pPr>
              <w:spacing w:after="30" w:before="0"/>
            </w:pPr>
            <w:r>
              <w:rPr>
                <w:rFonts w:ascii="Arial" w:cs="Arial" w:eastAsia="Arial" w:hAnsi="Arial"/>
                <w:b/>
                <w:bCs/>
                <w:color w:val="0F6E56"/>
                <w:sz w:val="20"/>
                <w:szCs w:val="20"/>
              </w:rPr>
              <w:t xml:space="preserve">GSTR-2A normalisation</w:t>
            </w:r>
          </w:p>
          <w:p>
            <w:pPr>
              <w:spacing w:after="0" w:before="0"/>
            </w:pPr>
            <w:r>
              <w:rPr>
                <w:rFonts w:ascii="Arial" w:cs="Arial" w:eastAsia="Arial" w:hAnsi="Arial"/>
                <w:color w:val="3d3d3a"/>
                <w:sz w:val="19"/>
                <w:szCs w:val="19"/>
              </w:rPr>
              <w:t xml:space="preserve">The GSTR-2A file has inconsistent column naming across portal versions. A normaliser maps all known column name variants to a canonical schema: gstin, invoiceNo, invoiceDate, taxableValue, igst, cgst, sgst.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3B6D1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3</w:t>
            </w:r>
          </w:p>
        </w:tc>
        <w:tc>
          <w:tcPr>
            <w:tcW w:type="dxa" w:w="8460"/>
            <w:tcBorders>
              <w:top w:val="single" w:color="D3D1C7" w:sz="1"/>
              <w:left w:val="single" w:color="D3D1C7" w:sz="1"/>
              <w:bottom w:val="single" w:color="D3D1C7" w:sz="1"/>
              <w:right w:val="single" w:color="D3D1C7" w:sz="1"/>
            </w:tcBorders>
            <w:shd w:fill="EAF3DE" w:val="clear"/>
            <w:tcMar>
              <w:top w:type="dxa" w:w="80"/>
              <w:left w:type="dxa" w:w="160"/>
              <w:bottom w:type="dxa" w:w="80"/>
              <w:right w:type="dxa" w:w="120"/>
            </w:tcMar>
          </w:tcPr>
          <w:p>
            <w:pPr>
              <w:spacing w:after="30" w:before="0"/>
            </w:pPr>
            <w:r>
              <w:rPr>
                <w:rFonts w:ascii="Arial" w:cs="Arial" w:eastAsia="Arial" w:hAnsi="Arial"/>
                <w:b/>
                <w:bCs/>
                <w:color w:val="3B6D11"/>
                <w:sz w:val="20"/>
                <w:szCs w:val="20"/>
              </w:rPr>
              <w:t xml:space="preserve">Fuzzy matching (RULES_ENGINE)</w:t>
            </w:r>
          </w:p>
          <w:p>
            <w:pPr>
              <w:spacing w:after="0" w:before="0"/>
            </w:pPr>
            <w:r>
              <w:rPr>
                <w:rFonts w:ascii="Arial" w:cs="Arial" w:eastAsia="Arial" w:hAnsi="Arial"/>
                <w:color w:val="3d3d3a"/>
                <w:sz w:val="19"/>
                <w:szCs w:val="19"/>
              </w:rPr>
              <w:t xml:space="preserve">Each purchase register row is matched against GSTR-2A using: exact GSTIN match + invoice number match (case-insensitive, whitespace-trimmed, common prefix stripping) + date within 30-day tolerance + taxable value within ±2% tolerance. Matched pairs are marked as reconciled.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4</w:t>
            </w:r>
          </w:p>
        </w:tc>
        <w:tc>
          <w:tcPr>
            <w:tcW w:type="dxa" w:w="846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20"/>
            </w:tcMar>
          </w:tcPr>
          <w:p>
            <w:pPr>
              <w:spacing w:after="30" w:before="0"/>
            </w:pPr>
            <w:r>
              <w:rPr>
                <w:rFonts w:ascii="Arial" w:cs="Arial" w:eastAsia="Arial" w:hAnsi="Arial"/>
                <w:b/>
                <w:bCs/>
                <w:color w:val="534AB7"/>
                <w:sz w:val="20"/>
                <w:szCs w:val="20"/>
              </w:rPr>
              <w:t xml:space="preserve">Mismatch classification (RULES_ENGINE)</w:t>
            </w:r>
          </w:p>
          <w:p>
            <w:pPr>
              <w:spacing w:after="0" w:before="0"/>
            </w:pPr>
            <w:r>
              <w:rPr>
                <w:rFonts w:ascii="Arial" w:cs="Arial" w:eastAsia="Arial" w:hAnsi="Arial"/>
                <w:color w:val="3d3d3a"/>
                <w:sz w:val="19"/>
                <w:szCs w:val="19"/>
              </w:rPr>
              <w:t xml:space="preserve">Unmatched rows are classified: (a) Missing in GSTR-2A — supplier has not filed yet or filed wrong GSTIN. (b) Missing in purchase register — invoice present in portal but not booked internally. (c) Amount mismatch — different taxable value (rounding, credit note not applied). (d) Rate mismatch — GST rate differs between books and portal.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854F0B"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5</w:t>
            </w:r>
          </w:p>
        </w:tc>
        <w:tc>
          <w:tcPr>
            <w:tcW w:type="dxa" w:w="8460"/>
            <w:tcBorders>
              <w:top w:val="single" w:color="D3D1C7" w:sz="1"/>
              <w:left w:val="single" w:color="D3D1C7" w:sz="1"/>
              <w:bottom w:val="single" w:color="D3D1C7" w:sz="1"/>
              <w:right w:val="single" w:color="D3D1C7" w:sz="1"/>
            </w:tcBorders>
            <w:shd w:fill="FAEEDA" w:val="clear"/>
            <w:tcMar>
              <w:top w:type="dxa" w:w="80"/>
              <w:left w:type="dxa" w:w="160"/>
              <w:bottom w:type="dxa" w:w="80"/>
              <w:right w:type="dxa" w:w="120"/>
            </w:tcMar>
          </w:tcPr>
          <w:p>
            <w:pPr>
              <w:spacing w:after="30" w:before="0"/>
            </w:pPr>
            <w:r>
              <w:rPr>
                <w:rFonts w:ascii="Arial" w:cs="Arial" w:eastAsia="Arial" w:hAnsi="Arial"/>
                <w:b/>
                <w:bCs/>
                <w:color w:val="854F0B"/>
                <w:sz w:val="20"/>
                <w:szCs w:val="20"/>
              </w:rPr>
              <w:t xml:space="preserve">Rate validation (RULES_ENGINE + MongoDB)</w:t>
            </w:r>
          </w:p>
          <w:p>
            <w:pPr>
              <w:spacing w:after="0" w:before="0"/>
            </w:pPr>
            <w:r>
              <w:rPr>
                <w:rFonts w:ascii="Arial" w:cs="Arial" w:eastAsia="Arial" w:hAnsi="Arial"/>
                <w:color w:val="3d3d3a"/>
                <w:sz w:val="19"/>
                <w:szCs w:val="19"/>
              </w:rPr>
              <w:t xml:space="preserve">For every row, the recorded GST rate is checked against the MongoDB gst_rates collection for the specific HSN code and invoice date. The date is important — a rate change notification applies from its effective date, not retroactively.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A32D2D"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6</w:t>
            </w:r>
          </w:p>
        </w:tc>
        <w:tc>
          <w:tcPr>
            <w:tcW w:type="dxa" w:w="8460"/>
            <w:tcBorders>
              <w:top w:val="single" w:color="D3D1C7" w:sz="1"/>
              <w:left w:val="single" w:color="D3D1C7" w:sz="1"/>
              <w:bottom w:val="single" w:color="D3D1C7" w:sz="1"/>
              <w:right w:val="single" w:color="D3D1C7" w:sz="1"/>
            </w:tcBorders>
            <w:shd w:fill="FCEBEB" w:val="clear"/>
            <w:tcMar>
              <w:top w:type="dxa" w:w="80"/>
              <w:left w:type="dxa" w:w="160"/>
              <w:bottom w:type="dxa" w:w="80"/>
              <w:right w:type="dxa" w:w="120"/>
            </w:tcMar>
          </w:tcPr>
          <w:p>
            <w:pPr>
              <w:spacing w:after="30" w:before="0"/>
            </w:pPr>
            <w:r>
              <w:rPr>
                <w:rFonts w:ascii="Arial" w:cs="Arial" w:eastAsia="Arial" w:hAnsi="Arial"/>
                <w:b/>
                <w:bCs/>
                <w:color w:val="A32D2D"/>
                <w:sz w:val="20"/>
                <w:szCs w:val="20"/>
              </w:rPr>
              <w:t xml:space="preserve">ITC eligibility check (RULES_ENGINE + MongoDB)</w:t>
            </w:r>
          </w:p>
          <w:p>
            <w:pPr>
              <w:spacing w:after="0" w:before="0"/>
            </w:pPr>
            <w:r>
              <w:rPr>
                <w:rFonts w:ascii="Arial" w:cs="Arial" w:eastAsia="Arial" w:hAnsi="Arial"/>
                <w:color w:val="3d3d3a"/>
                <w:sz w:val="19"/>
                <w:szCs w:val="19"/>
              </w:rPr>
              <w:t xml:space="preserve">Rows marked ITC=Y are checked against the itc_blocks collection. If the HSN or SAC falls under Sec 17(5), the ITC flag is changed to N with the specific sub-section cited. This is a purely deterministic check — the rules engine handles it completely without LLM.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7</w:t>
            </w:r>
          </w:p>
        </w:tc>
        <w:tc>
          <w:tcPr>
            <w:tcW w:type="dxa" w:w="8460"/>
            <w:tcBorders>
              <w:top w:val="single" w:color="D3D1C7" w:sz="1"/>
              <w:left w:val="single" w:color="D3D1C7" w:sz="1"/>
              <w:bottom w:val="single" w:color="D3D1C7" w:sz="1"/>
              <w:right w:val="single" w:color="D3D1C7" w:sz="1"/>
            </w:tcBorders>
            <w:shd w:fill="EEEDFE" w:val="clear"/>
            <w:tcMar>
              <w:top w:type="dxa" w:w="80"/>
              <w:left w:type="dxa" w:w="160"/>
              <w:bottom w:type="dxa" w:w="80"/>
              <w:right w:type="dxa" w:w="120"/>
            </w:tcMar>
          </w:tcPr>
          <w:p>
            <w:pPr>
              <w:spacing w:after="30" w:before="0"/>
            </w:pPr>
            <w:r>
              <w:rPr>
                <w:rFonts w:ascii="Arial" w:cs="Arial" w:eastAsia="Arial" w:hAnsi="Arial"/>
                <w:b/>
                <w:bCs/>
                <w:color w:val="534AB7"/>
                <w:sz w:val="20"/>
                <w:szCs w:val="20"/>
              </w:rPr>
              <w:t xml:space="preserve">LLM for ambiguous cases (LLM_CALLER)</w:t>
            </w:r>
          </w:p>
          <w:p>
            <w:pPr>
              <w:spacing w:after="0" w:before="0"/>
            </w:pPr>
            <w:r>
              <w:rPr>
                <w:rFonts w:ascii="Arial" w:cs="Arial" w:eastAsia="Arial" w:hAnsi="Arial"/>
                <w:color w:val="3d3d3a"/>
                <w:sz w:val="19"/>
                <w:szCs w:val="19"/>
              </w:rPr>
              <w:t xml:space="preserve">Rows where the rules engine could not reach a confident answer (ambiguous HSN codes, partially matching invoice numbers, unusual SAC classifications, potential composite supply issues) are sent to MODEL_SELECTOR and then to the LLM with the full GSTR-2A context injected into Layer 4.</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8</w:t>
            </w:r>
          </w:p>
        </w:tc>
        <w:tc>
          <w:tcPr>
            <w:tcW w:type="dxa" w:w="8460"/>
            <w:tcBorders>
              <w:top w:val="single" w:color="D3D1C7" w:sz="1"/>
              <w:left w:val="single" w:color="D3D1C7" w:sz="1"/>
              <w:bottom w:val="single" w:color="D3D1C7" w:sz="1"/>
              <w:right w:val="single" w:color="D3D1C7" w:sz="1"/>
            </w:tcBorders>
            <w:shd w:fill="E1F5EE" w:val="clear"/>
            <w:tcMar>
              <w:top w:type="dxa" w:w="80"/>
              <w:left w:type="dxa" w:w="160"/>
              <w:bottom w:type="dxa" w:w="80"/>
              <w:right w:type="dxa" w:w="120"/>
            </w:tcMar>
          </w:tcPr>
          <w:p>
            <w:pPr>
              <w:spacing w:after="30" w:before="0"/>
            </w:pPr>
            <w:r>
              <w:rPr>
                <w:rFonts w:ascii="Arial" w:cs="Arial" w:eastAsia="Arial" w:hAnsi="Arial"/>
                <w:b/>
                <w:bCs/>
                <w:color w:val="0F6E56"/>
                <w:sz w:val="20"/>
                <w:szCs w:val="20"/>
              </w:rPr>
              <w:t xml:space="preserve">PATCH_MERGER assembles output</w:t>
            </w:r>
          </w:p>
          <w:p>
            <w:pPr>
              <w:spacing w:after="0" w:before="0"/>
            </w:pPr>
            <w:r>
              <w:rPr>
                <w:rFonts w:ascii="Arial" w:cs="Arial" w:eastAsia="Arial" w:hAnsi="Arial"/>
                <w:color w:val="3d3d3a"/>
                <w:sz w:val="19"/>
                <w:szCs w:val="19"/>
              </w:rPr>
              <w:t xml:space="preserve">Rules engine patches and LLM patches are merged. Patches are sorted: high-confidence rate corrections first, then ITC blocks, then missing invoices, then flags. Flags (items needing CA judgement) are always placed last.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9</w:t>
            </w:r>
          </w:p>
        </w:tc>
        <w:tc>
          <w:tcPr>
            <w:tcW w:type="dxa" w:w="8460"/>
            <w:tcBorders>
              <w:top w:val="single" w:color="D3D1C7" w:sz="1"/>
              <w:left w:val="single" w:color="D3D1C7" w:sz="1"/>
              <w:bottom w:val="single" w:color="D3D1C7" w:sz="1"/>
              <w:right w:val="single" w:color="D3D1C7" w:sz="1"/>
            </w:tcBorders>
            <w:shd w:fill="E6F1FB" w:val="clear"/>
            <w:tcMar>
              <w:top w:type="dxa" w:w="80"/>
              <w:left w:type="dxa" w:w="160"/>
              <w:bottom w:type="dxa" w:w="80"/>
              <w:right w:type="dxa" w:w="120"/>
            </w:tcMar>
          </w:tcPr>
          <w:p>
            <w:pPr>
              <w:spacing w:after="30" w:before="0"/>
            </w:pPr>
            <w:r>
              <w:rPr>
                <w:rFonts w:ascii="Arial" w:cs="Arial" w:eastAsia="Arial" w:hAnsi="Arial"/>
                <w:b/>
                <w:bCs/>
                <w:color w:val="185FA5"/>
                <w:sz w:val="20"/>
                <w:szCs w:val="20"/>
              </w:rPr>
              <w:t xml:space="preserve">CONTROLLED_REVEAL on frontend</w:t>
            </w:r>
          </w:p>
          <w:p>
            <w:pPr>
              <w:spacing w:after="0" w:before="0"/>
            </w:pPr>
            <w:r>
              <w:rPr>
                <w:rFonts w:ascii="Arial" w:cs="Arial" w:eastAsia="Arial" w:hAnsi="Arial"/>
                <w:color w:val="3d3d3a"/>
                <w:sz w:val="19"/>
                <w:szCs w:val="19"/>
              </w:rPr>
              <w:t xml:space="preserve">The CA sees diff cards appear one by one. Each card shows the cell, old value struck out in red, new value in green, the reason in plain English, and the legal citation. Y accepts, N rejects, Tab moves focus.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3D1C7" w:sz="1"/>
              <w:left w:val="single" w:color="D3D1C7" w:sz="1"/>
              <w:bottom w:val="single" w:color="D3D1C7" w:sz="1"/>
              <w:right w:val="single" w:color="D3D1C7" w:sz="1"/>
            </w:tcBorders>
            <w:shd w:fill="3B6D11"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2"/>
                <w:szCs w:val="22"/>
              </w:rPr>
              <w:t xml:space="preserve">10</w:t>
            </w:r>
          </w:p>
        </w:tc>
        <w:tc>
          <w:tcPr>
            <w:tcW w:type="dxa" w:w="8460"/>
            <w:tcBorders>
              <w:top w:val="single" w:color="D3D1C7" w:sz="1"/>
              <w:left w:val="single" w:color="D3D1C7" w:sz="1"/>
              <w:bottom w:val="single" w:color="D3D1C7" w:sz="1"/>
              <w:right w:val="single" w:color="D3D1C7" w:sz="1"/>
            </w:tcBorders>
            <w:shd w:fill="EAF3DE" w:val="clear"/>
            <w:tcMar>
              <w:top w:type="dxa" w:w="80"/>
              <w:left w:type="dxa" w:w="160"/>
              <w:bottom w:type="dxa" w:w="80"/>
              <w:right w:type="dxa" w:w="120"/>
            </w:tcMar>
          </w:tcPr>
          <w:p>
            <w:pPr>
              <w:spacing w:after="30" w:before="0"/>
            </w:pPr>
            <w:r>
              <w:rPr>
                <w:rFonts w:ascii="Arial" w:cs="Arial" w:eastAsia="Arial" w:hAnsi="Arial"/>
                <w:b/>
                <w:bCs/>
                <w:color w:val="3B6D11"/>
                <w:sz w:val="20"/>
                <w:szCs w:val="20"/>
              </w:rPr>
              <w:t xml:space="preserve">Audit PDF export (PDF_EXPORTER)</w:t>
            </w:r>
          </w:p>
          <w:p>
            <w:pPr>
              <w:spacing w:after="0" w:before="0"/>
            </w:pPr>
            <w:r>
              <w:rPr>
                <w:rFonts w:ascii="Arial" w:cs="Arial" w:eastAsia="Arial" w:hAnsi="Arial"/>
                <w:color w:val="3d3d3a"/>
                <w:sz w:val="19"/>
                <w:szCs w:val="19"/>
              </w:rPr>
              <w:t xml:space="preserve">After the CA finishes reviewing, they can export an ICAI-compliant audit PDF. This is generated by a BullMQ job that queries MongoDB audit_entries for the session and formats them into a timestamped, CA-signed document.</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15.4 Fuzzy matching logic</w:t>
      </w:r>
    </w:p>
    <w:p>
      <w:pPr>
        <w:spacing w:after="120" w:before="60"/>
      </w:pPr>
      <w:r>
        <w:rPr>
          <w:rFonts w:ascii="Arial" w:cs="Arial" w:eastAsia="Arial" w:hAnsi="Arial"/>
          <w:color w:val="3d3d3a"/>
          <w:sz w:val="22"/>
          <w:szCs w:val="22"/>
        </w:rPr>
        <w:t xml:space="preserve">The hardest part of GST recon is matching invoice numbers across two data sources with different formatting conventions. The matching function used in RULES_ENGINE: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backend/src/rules/gstrMatcher.ts
export function matchInvoices(
  purchaseRow: PurchaseRow,
  gstr2aEntries: Gstr2aEntry[]
): MatchResult {
  // Normalise invoice number for comparison
  const normalisedPurchaseInv = normaliseInvNo(purchaseRow.invoiceNo)
  for (const gstr of gstr2aEntries) {
    // Check 1: GSTIN must match exactly
    if (purchaseRow.gstin !== gstr.gstin) continue
    // Check 2: Invoice number — case-insensitive, strip hyphens, leading zeros
    const normGstr = normaliseInvNo(gstr.invoiceNo)
    if (normalisedPurchaseInv !== normGstr) continue
    // Check 3: Date tolerance — supplier can file up to 30 days late
    const dateDiff = Math.abs(daysBetween(purchaseRow.invoiceDate, gstr.invoiceDate))
    if (dateDiff &gt; 30) continue
    // Check 4: Taxable value within ±2% (rounding, credit notes)
    const valueDiff = Math.abs(purchaseRow.taxableValue - gstr.taxableValue)
    const tolerance = purchaseRow.taxableValue * 0.02
    if (valueDiff &gt; tolerance) {
      return { matched: true, mismatchType: "amount", diff: valueDiff }
    }
    return { matched: true, mismatchType: null }  // clean match
  }
  return { matched: false, mismatchType: "missing_in_gstr2a" }
}
function normaliseInvNo(inv: string): string {
  return inv
    .toUpperCase()
    .replace(/[-\/\s]/g, "")    // strip hyphens, slashes, spaces
    .replace(/^0+/, "")           // strip leading zeros
    .trim()
}
// "INV-2024-101" → "INV2024101"
// "inv2024101"   → "INV2024101"
// "INV/2024/101" → "INV2024101"
// All three match each other</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15.5 What the CA sees — reconciliation output</w:t>
      </w:r>
    </w:p>
    <w:p>
      <w:pPr>
        <w:spacing w:after="120" w:before="60"/>
      </w:pPr>
      <w:r>
        <w:rPr>
          <w:rFonts w:ascii="Arial" w:cs="Arial" w:eastAsia="Arial" w:hAnsi="Arial"/>
          <w:color w:val="3d3d3a"/>
          <w:sz w:val="22"/>
          <w:szCs w:val="22"/>
        </w:rPr>
        <w:t xml:space="preserve">After running a GST recon, the CA sees:</w:t>
      </w:r>
    </w:p>
    <w:p>
      <w:pPr>
        <w:spacing w:after="120" w:before="0"/>
      </w:pPr>
      <w:r>
        <w:t xml:space="preserve"/>
      </w:r>
    </w:p>
    <w:p>
      <w:pPr>
        <w:pStyle w:val="ListParagraph"/>
        <w:numPr>
          <w:ilvl w:val="0"/>
          <w:numId w:val="2"/>
        </w:numPr>
        <w:spacing w:after="40" w:before="40"/>
      </w:pPr>
      <w:r>
        <w:rPr>
          <w:rFonts w:ascii="Arial" w:cs="Arial" w:eastAsia="Arial" w:hAnsi="Arial"/>
          <w:b/>
          <w:bCs/>
          <w:color w:val="1A1714"/>
          <w:sz w:val="22"/>
          <w:szCs w:val="22"/>
        </w:rPr>
        <w:t xml:space="preserve">Green cells (accepted patches): </w:t>
      </w:r>
      <w:r>
        <w:rPr>
          <w:rFonts w:ascii="Arial" w:cs="Arial" w:eastAsia="Arial" w:hAnsi="Arial"/>
          <w:color w:val="3d3d3a"/>
          <w:sz w:val="22"/>
          <w:szCs w:val="22"/>
        </w:rPr>
        <w:t xml:space="preserve">Rate corrected, ITC flag changed — applied directly to the workbook.</w:t>
      </w:r>
    </w:p>
    <w:p>
      <w:pPr>
        <w:pStyle w:val="ListParagraph"/>
        <w:numPr>
          <w:ilvl w:val="0"/>
          <w:numId w:val="2"/>
        </w:numPr>
        <w:spacing w:after="40" w:before="40"/>
      </w:pPr>
      <w:r>
        <w:rPr>
          <w:rFonts w:ascii="Arial" w:cs="Arial" w:eastAsia="Arial" w:hAnsi="Arial"/>
          <w:b/>
          <w:bCs/>
          <w:color w:val="1A1714"/>
          <w:sz w:val="22"/>
          <w:szCs w:val="22"/>
        </w:rPr>
        <w:t xml:space="preserve">Red/blue diff cells (pending): </w:t>
      </w:r>
      <w:r>
        <w:rPr>
          <w:rFonts w:ascii="Arial" w:cs="Arial" w:eastAsia="Arial" w:hAnsi="Arial"/>
          <w:color w:val="3d3d3a"/>
          <w:sz w:val="22"/>
          <w:szCs w:val="22"/>
        </w:rPr>
        <w:t xml:space="preserve">Old value struck through in red, suggested new value as ghost text in blue.</w:t>
      </w:r>
    </w:p>
    <w:p>
      <w:pPr>
        <w:pStyle w:val="ListParagraph"/>
        <w:numPr>
          <w:ilvl w:val="0"/>
          <w:numId w:val="2"/>
        </w:numPr>
        <w:spacing w:after="40" w:before="40"/>
      </w:pPr>
      <w:r>
        <w:rPr>
          <w:rFonts w:ascii="Arial" w:cs="Arial" w:eastAsia="Arial" w:hAnsi="Arial"/>
          <w:b/>
          <w:bCs/>
          <w:color w:val="1A1714"/>
          <w:sz w:val="22"/>
          <w:szCs w:val="22"/>
        </w:rPr>
        <w:t xml:space="preserve">Amber flag cells (manual review): </w:t>
      </w:r>
      <w:r>
        <w:rPr>
          <w:rFonts w:ascii="Arial" w:cs="Arial" w:eastAsia="Arial" w:hAnsi="Arial"/>
          <w:color w:val="3d3d3a"/>
          <w:sz w:val="22"/>
          <w:szCs w:val="22"/>
        </w:rPr>
        <w:t xml:space="preserve">Missing invoices that need the CA to contact the supplier, or ambiguous HSN codes that need the CA to verify with the purchase order.</w:t>
      </w:r>
    </w:p>
    <w:p>
      <w:pPr>
        <w:pStyle w:val="ListParagraph"/>
        <w:numPr>
          <w:ilvl w:val="0"/>
          <w:numId w:val="2"/>
        </w:numPr>
        <w:spacing w:after="40" w:before="40"/>
      </w:pPr>
      <w:r>
        <w:rPr>
          <w:rFonts w:ascii="Arial" w:cs="Arial" w:eastAsia="Arial" w:hAnsi="Arial"/>
          <w:b/>
          <w:bCs/>
          <w:color w:val="1A1714"/>
          <w:sz w:val="22"/>
          <w:szCs w:val="22"/>
        </w:rPr>
        <w:t xml:space="preserve">Audit PDF: </w:t>
      </w:r>
      <w:r>
        <w:rPr>
          <w:rFonts w:ascii="Arial" w:cs="Arial" w:eastAsia="Arial" w:hAnsi="Arial"/>
          <w:color w:val="3d3d3a"/>
          <w:sz w:val="22"/>
          <w:szCs w:val="22"/>
        </w:rPr>
        <w:t xml:space="preserve">Every change, with timestamp, reason, legal citation, CA email, and a confidence score. This is the ICAI-compliant working paper.</w:t>
      </w:r>
    </w:p>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16. Process: PDF_EXPORTER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00"/>
              <w:left w:type="dxa" w:w="200"/>
              <w:bottom w:type="dxa" w:w="100"/>
              <w:right w:type="dxa" w:w="200"/>
            </w:tcMar>
          </w:tcPr>
          <w:p>
            <w:pPr>
              <w:spacing w:after="0" w:before="0"/>
            </w:pPr>
            <w:r>
              <w:rPr>
                <w:rFonts w:ascii="Courier New" w:cs="Courier New" w:eastAsia="Courier New" w:hAnsi="Courier New"/>
                <w:b/>
                <w:bCs/>
                <w:color w:val="3B6D11"/>
                <w:sz w:val="18"/>
                <w:szCs w:val="18"/>
              </w:rPr>
              <w:t xml:space="preserve">PROCESS  </w:t>
            </w:r>
            <w:r>
              <w:rPr>
                <w:rFonts w:ascii="Courier New" w:cs="Courier New" w:eastAsia="Courier New" w:hAnsi="Courier New"/>
                <w:b/>
                <w:bCs/>
                <w:color w:val="3B6D11"/>
                <w:sz w:val="20"/>
                <w:szCs w:val="20"/>
              </w:rPr>
              <w:t xml:space="preserve">PDF_EXPORTER  </w:t>
            </w:r>
            <w:r>
              <w:rPr>
                <w:rFonts w:ascii="Arial" w:cs="Arial" w:eastAsia="Arial" w:hAnsi="Arial"/>
                <w:color w:val="3B6D11"/>
                <w:sz w:val="20"/>
                <w:szCs w:val="20"/>
              </w:rPr>
              <w:t xml:space="preserve"> — </w:t>
            </w:r>
            <w:r>
              <w:rPr>
                <w:rFonts w:ascii="Arial" w:cs="Arial" w:eastAsia="Arial" w:hAnsi="Arial"/>
                <w:color w:val="3B6D11"/>
                <w:sz w:val="20"/>
                <w:szCs w:val="20"/>
              </w:rPr>
              <w:t xml:space="preserve">Backend async job: ICAI-compliant audit PDF from MongoDB</w:t>
            </w:r>
          </w:p>
        </w:tc>
      </w:tr>
    </w:tbl>
    <w:p>
      <w:pPr>
        <w:spacing w:after="120" w:before="0"/>
      </w:pPr>
      <w:r>
        <w:t xml:space="preserve"/>
      </w:r>
    </w:p>
    <w:p>
      <w:pPr>
        <w:spacing w:after="120" w:before="60"/>
      </w:pPr>
      <w:r>
        <w:rPr>
          <w:rFonts w:ascii="Arial" w:cs="Arial" w:eastAsia="Arial" w:hAnsi="Arial"/>
          <w:color w:val="3d3d3a"/>
          <w:sz w:val="22"/>
          <w:szCs w:val="22"/>
        </w:rPr>
        <w:t xml:space="preserve">PDF_EXPORTER runs as a BullMQ background job to avoid blocking the request/response cycle. The CA clicks "Export audit PDF" in the sidebar, the backend enqueues a job, and the PDF URL is returned to the frontend when ready (polled every 2s).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0" w:before="0"/>
            </w:pPr>
            <w:r>
              <w:rPr>
                <w:rFonts w:ascii="Courier New" w:cs="Courier New" w:eastAsia="Courier New" w:hAnsi="Courier New"/>
                <w:color w:val="C8C4BC"/>
                <w:sz w:val="18"/>
                <w:szCs w:val="18"/>
              </w:rPr>
              <w:t xml:space="preserve">// backend/src/jobs/pdfExporter.ts
// PROCESS: PDF_EXPORTER
pdfQueue.process(async (job) =&gt; {
  const { sessionId, userId } = job.data
  // Fetch all audit entries for this session from MongoDB
  const entries = await AuditEntry.find({ sessionId })
    .sort({ timestamp: 1 })
    .lean()
  const doc = new PDFDocument({ margins: { top: 72, bottom: 72, left: 72, right: 72 } })
  // Header
  doc.fontSize(18).font("Helvetica-Bold").text("CELLIX Audit Report", { align: "center" })
  doc.fontSize(11).font("Helvetica").text(`Generated: ${new Date().toISOString()}`, { align: "center" })
  doc.text(`Session: ${sessionId}`, { align: "center" })
  doc.moveDown(2)
  // Summary stats
  const applied  = entries.filter(e =&gt; e.actionType === "patch_applied").length
  const rejected = entries.filter(e =&gt; e.actionType === "patch_rejected").length
  const flags    = entries.filter(e =&gt; e.actionType === "flag_raised").length
  doc.text(`Changes applied: ${applied}   Rejected: ${rejected}   Flags: ${flags}`)
  doc.moveDown()
  // Entry table
  entries.forEach(entry =&gt; {
    doc.fontSize(10)
      .text(`${entry.cell}  ${entry.actionType}`, { continued: true })
      .text(`  ${entry.oldValue} → ${entry.newValue}`, { continued: true })
      .text(`  ${entry.ruleRef}`, { continued: true })
      .text(`  ${entry.approvedBy}  ${entry.timestamp}`)
  })
  // Upload to Supabase Storage
  const buffer = await streamToBuffer(doc)
  const path   = `audits/${userId}/${sessionId}.pdf`
  await supabase.storage.from("audit-pdfs").upload(path, buffer)
  return { pdfUrl: supabase.storage.from("audit-pdfs").getPublicUrl(path).data.publicUrl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17. Full End-to-End Flow Summary</w:t>
      </w:r>
    </w:p>
    <w:p>
      <w:pPr>
        <w:spacing w:after="120" w:before="60"/>
      </w:pPr>
      <w:r>
        <w:rPr>
          <w:rFonts w:ascii="Arial" w:cs="Arial" w:eastAsia="Arial" w:hAnsi="Arial"/>
          <w:color w:val="3d3d3a"/>
          <w:sz w:val="22"/>
          <w:szCs w:val="22"/>
        </w:rPr>
        <w:t xml:space="preserve">The table below names every process in order for a standard GST reconciliation request.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460"/>
      </w:tblGrid>
      <w:tr>
        <w:trPr>
          <w:tblHeader/>
        </w:trPr>
        <w:tc>
          <w:tcPr>
            <w:tcW w:type="dxa" w:w="7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w:t>
            </w:r>
          </w:p>
        </w:tc>
        <w:tc>
          <w:tcPr>
            <w:tcW w:type="dxa" w:w="26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Process name</w:t>
            </w:r>
          </w:p>
        </w:tc>
        <w:tc>
          <w:tcPr>
            <w:tcW w:type="dxa" w:w="26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Runs on</w:t>
            </w:r>
          </w:p>
        </w:tc>
        <w:tc>
          <w:tcPr>
            <w:tcW w:type="dxa" w:w="34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PROMPT_CAPTURE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React / task pane</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prompt string + rangeAddress</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2</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RANGE_READER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Office.js (browser)</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RangeData { headers, rows, sheetName }</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3</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PAYLOAD_COMPRESSOR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Frontend</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Minified JSON payload, numbers as numbers</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4</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INTENT_CLASSIFIER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WorkflowType = "gst_recon"</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5</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RULES_ENGINE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patches[] (deterministic) + ambiguous rows[]</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6</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MODEL_SELECTOR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Selected model string (Haiku/Sonnet/Opus)</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7</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PROMPT_ASSEMBLER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Cached system prompt + per-request context</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8</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LLM_CALLER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 → Anthropic</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Raw JSON string from LLM</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9</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RESPONSE_VALIDATOR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Validated PatchResult (Zod + DB cross-check)</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10</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PATCH_MERGER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Merged sorted patches[] + flags[]</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11</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CONTROLLED_REVEAL</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React</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Diff cards appearing 120ms apart</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12</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PATCH_WRITER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Office.js (browser)</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Excel cell updated, green flash</w:t>
            </w:r>
          </w:p>
        </w:tc>
      </w:tr>
      <w:tr>
        <w:tc>
          <w:tcPr>
            <w:tcW w:type="dxa" w:w="7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13</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AUDIT_LOGGER</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 → MongoDB</w:t>
            </w:r>
          </w:p>
        </w:tc>
        <w:tc>
          <w:tcPr>
            <w:tcW w:type="dxa" w:w="34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audit_entries document inserted</w:t>
            </w:r>
          </w:p>
        </w:tc>
      </w:tr>
      <w:tr>
        <w:tc>
          <w:tcPr>
            <w:tcW w:type="dxa" w:w="7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14</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PDF_EXPORTER</w:t>
            </w:r>
          </w:p>
        </w:tc>
        <w:tc>
          <w:tcPr>
            <w:tcW w:type="dxa" w:w="2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Backend (BullMQ)</w:t>
            </w:r>
          </w:p>
        </w:tc>
        <w:tc>
          <w:tcPr>
            <w:tcW w:type="dxa" w:w="34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ICAI audit PDF uploaded to storage</w:t>
            </w:r>
          </w:p>
        </w:tc>
      </w:tr>
    </w:tbl>
    <w:p>
      <w:pPr>
        <w:spacing w:after="120" w:before="0"/>
      </w:pPr>
      <w:r>
        <w:t xml:space="preserve"/>
      </w:r>
    </w:p>
    <w:p>
      <w:pPr>
        <w:pBdr>
          <w:bottom w:val="single" w:color="D3D1C7" w:sz="2" w:space="1"/>
        </w:pBdr>
        <w:spacing w:after="240" w:before="240"/>
      </w:pPr>
      <w:r>
        <w:t xml:space="preserve"/>
      </w:r>
    </w:p>
    <w:p>
      <w:pPr>
        <w:spacing w:after="60" w:before="120"/>
      </w:pPr>
      <w:r>
        <w:rPr>
          <w:rFonts w:ascii="Arial" w:cs="Arial" w:eastAsia="Arial" w:hAnsi="Arial"/>
          <w:color w:val="3d3d3a"/>
          <w:sz w:val="22"/>
          <w:szCs w:val="22"/>
        </w:rPr>
        <w:t xml:space="preserve">CELLIX Technical Architecture &amp; Engineering Reference  ·  Version 2.0  ·  April 2026  ·  Internal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5F5E5A"/>
        <w:sz w:val="16"/>
        <w:szCs w:val="16"/>
      </w:rPr>
      <w:t xml:space="preserve">April 2026</w:t>
    </w:r>
    <w:r>
      <w:rPr>
        <w:rFonts w:ascii="Arial" w:cs="Arial" w:eastAsia="Arial" w:hAnsi="Arial"/>
        <w:sz w:val="16"/>
        <w:szCs w:val="16"/>
      </w:rPr>
      <w:t xml:space="preserve">	</w:t>
    </w:r>
    <w:r>
      <w:rPr>
        <w:rFonts w:ascii="Arial" w:cs="Arial" w:eastAsia="Arial" w:hAnsi="Arial"/>
        <w:color w:val="5F5E5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4"/>
      </w:pBdr>
      <w:tabs>
        <w:tab w:val="right" w:pos="9026"/>
      </w:tabs>
    </w:pPr>
    <w:r>
      <w:rPr>
        <w:rFonts w:ascii="Arial" w:cs="Arial" w:eastAsia="Arial" w:hAnsi="Arial"/>
        <w:color w:val="5F5E5A"/>
        <w:sz w:val="18"/>
        <w:szCs w:val="18"/>
      </w:rPr>
      <w:t xml:space="preserve">CELLIX  ·  Technical Architecture Reference</w:t>
    </w:r>
    <w:r>
      <w:rPr>
        <w:rFonts w:ascii="Arial" w:cs="Arial" w:eastAsia="Arial" w:hAnsi="Arial"/>
        <w:sz w:val="18"/>
        <w:szCs w:val="18"/>
      </w:rPr>
      <w:t xml:space="preserve">	</w:t>
    </w:r>
    <w:r>
      <w:rPr>
        <w:rFonts w:ascii="Arial" w:cs="Arial" w:eastAsia="Arial" w:hAnsi="Arial"/>
        <w:i/>
        <w:iCs/>
        <w:color w:val="5F5E5A"/>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714"/>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A1714"/>
      <w:sz w:val="28"/>
      <w:szCs w:val="28"/>
    </w:rPr>
  </w:style>
  <w:style w:type="paragraph" w:styleId="Heading3">
    <w:name w:val="Heading 3"/>
    <w:basedOn w:val="Normal"/>
    <w:next w:val="Normal"/>
    <w:qFormat/>
    <w:pPr>
      <w:spacing w:after="100" w:before="26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2026-04-20T06:41:47.316Z</dcterms:created>
  <dcterms:modified xsi:type="dcterms:W3CDTF">2026-04-20T06:41:47.317Z</dcterms:modified>
</cp:coreProperties>
</file>

<file path=docProps/custom.xml><?xml version="1.0" encoding="utf-8"?>
<Properties xmlns="http://schemas.openxmlformats.org/officeDocument/2006/custom-properties" xmlns:vt="http://schemas.openxmlformats.org/officeDocument/2006/docPropsVTypes"/>
</file>