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67E6" w14:textId="77777777" w:rsidR="00E22AC0" w:rsidRDefault="00FC56F3">
      <w:pPr>
        <w:pStyle w:val="a3"/>
        <w:spacing w:after="0"/>
        <w:jc w:val="right"/>
        <w:rPr>
          <w:rFonts w:ascii="Times New Roman;Times;Serif" w:hAnsi="Times New Roman;Times;Serif"/>
          <w:b/>
          <w:sz w:val="20"/>
        </w:rPr>
      </w:pPr>
      <w:r>
        <w:rPr>
          <w:rFonts w:ascii="Times New Roman;Times;Serif" w:hAnsi="Times New Roman;Times;Serif"/>
          <w:b/>
          <w:sz w:val="20"/>
        </w:rPr>
        <w:t>Exhibit 10.1</w:t>
      </w:r>
    </w:p>
    <w:p w14:paraId="648B97AD" w14:textId="77777777" w:rsidR="00E22AC0" w:rsidRDefault="00FC56F3">
      <w:pPr>
        <w:pStyle w:val="a3"/>
        <w:spacing w:after="0"/>
        <w:jc w:val="center"/>
      </w:pPr>
      <w:r>
        <w:t> </w:t>
      </w:r>
    </w:p>
    <w:p w14:paraId="5A46BFBB"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STOCK PURCHASE AGREEMENT</w:t>
      </w:r>
    </w:p>
    <w:p w14:paraId="67365ABF" w14:textId="77777777" w:rsidR="00E22AC0" w:rsidRDefault="00FC56F3">
      <w:pPr>
        <w:pStyle w:val="a3"/>
        <w:spacing w:after="0"/>
        <w:jc w:val="center"/>
      </w:pPr>
      <w:r>
        <w:t> </w:t>
      </w:r>
    </w:p>
    <w:p w14:paraId="2B444E38"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dated as of August 27, 2020</w:t>
      </w:r>
    </w:p>
    <w:p w14:paraId="76798558" w14:textId="77777777" w:rsidR="00E22AC0" w:rsidRDefault="00FC56F3">
      <w:pPr>
        <w:pStyle w:val="a3"/>
        <w:spacing w:after="0"/>
        <w:jc w:val="center"/>
      </w:pPr>
      <w:r>
        <w:t> </w:t>
      </w:r>
    </w:p>
    <w:p w14:paraId="2EFD7A5B"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among</w:t>
      </w:r>
    </w:p>
    <w:p w14:paraId="4D4BB26D" w14:textId="77777777" w:rsidR="00E22AC0" w:rsidRDefault="00FC56F3">
      <w:pPr>
        <w:pStyle w:val="a3"/>
        <w:spacing w:after="0"/>
        <w:jc w:val="center"/>
      </w:pPr>
      <w:r>
        <w:t> </w:t>
      </w:r>
    </w:p>
    <w:p w14:paraId="6C08D05E"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1847 CABINETS INC.,</w:t>
      </w:r>
    </w:p>
    <w:p w14:paraId="292E9F02" w14:textId="77777777" w:rsidR="00E22AC0" w:rsidRDefault="00FC56F3">
      <w:pPr>
        <w:pStyle w:val="a3"/>
        <w:spacing w:after="0"/>
        <w:jc w:val="center"/>
      </w:pPr>
      <w:r>
        <w:t> </w:t>
      </w:r>
    </w:p>
    <w:p w14:paraId="7C96E91D"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KYLE’S CUSTOM WOOD SHOP, INC.,</w:t>
      </w:r>
    </w:p>
    <w:p w14:paraId="4479F220" w14:textId="77777777" w:rsidR="00E22AC0" w:rsidRDefault="00FC56F3">
      <w:pPr>
        <w:pStyle w:val="a3"/>
        <w:spacing w:after="0"/>
      </w:pPr>
      <w:r>
        <w:t> </w:t>
      </w:r>
    </w:p>
    <w:p w14:paraId="154A8161"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 xml:space="preserve">1847 HOLDINGS LLC </w:t>
      </w:r>
    </w:p>
    <w:p w14:paraId="66523237" w14:textId="77777777" w:rsidR="00E22AC0" w:rsidRDefault="00FC56F3">
      <w:pPr>
        <w:pStyle w:val="a3"/>
        <w:spacing w:after="0"/>
        <w:jc w:val="center"/>
      </w:pPr>
      <w:r>
        <w:t> </w:t>
      </w:r>
    </w:p>
    <w:p w14:paraId="7A5D48DC"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AND</w:t>
      </w:r>
    </w:p>
    <w:p w14:paraId="67C11ACD" w14:textId="77777777" w:rsidR="00E22AC0" w:rsidRDefault="00FC56F3">
      <w:pPr>
        <w:pStyle w:val="a3"/>
        <w:spacing w:after="0"/>
        <w:jc w:val="center"/>
      </w:pPr>
      <w:r>
        <w:t> </w:t>
      </w:r>
    </w:p>
    <w:p w14:paraId="762E267A"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THE OTHER PARTIES SET FORTH ON EXHIBIT A HERETO</w:t>
      </w:r>
    </w:p>
    <w:p w14:paraId="638707C3" w14:textId="77777777" w:rsidR="00E22AC0" w:rsidRDefault="00FC56F3">
      <w:pPr>
        <w:pStyle w:val="a3"/>
        <w:spacing w:after="0"/>
        <w:jc w:val="center"/>
      </w:pPr>
      <w:r>
        <w:t> </w:t>
      </w:r>
    </w:p>
    <w:p w14:paraId="4E419DFA" w14:textId="77777777" w:rsidR="00E22AC0" w:rsidRDefault="00FC56F3">
      <w:pPr>
        <w:pStyle w:val="a3"/>
        <w:spacing w:after="0"/>
        <w:rPr>
          <w:bdr w:val="single" w:sz="12" w:space="1" w:color="000000"/>
        </w:rPr>
      </w:pPr>
      <w:r>
        <w:rPr>
          <w:bdr w:val="single" w:sz="12" w:space="1" w:color="000000"/>
        </w:rPr>
        <w:t> </w:t>
      </w:r>
    </w:p>
    <w:p w14:paraId="46566D5E" w14:textId="77777777" w:rsidR="00E22AC0" w:rsidRDefault="00FC56F3">
      <w:pPr>
        <w:pStyle w:val="a3"/>
        <w:spacing w:after="0"/>
      </w:pPr>
      <w:r>
        <w:t> </w:t>
      </w:r>
    </w:p>
    <w:p w14:paraId="7CAE780D" w14:textId="77777777" w:rsidR="00E22AC0" w:rsidRDefault="00FC56F3">
      <w:pPr>
        <w:pStyle w:val="a3"/>
        <w:spacing w:after="0"/>
        <w:ind w:left="115" w:right="115"/>
        <w:jc w:val="center"/>
      </w:pPr>
      <w:r>
        <w:t> </w:t>
      </w:r>
    </w:p>
    <w:p w14:paraId="4C4080CF" w14:textId="77777777" w:rsidR="00E22AC0" w:rsidRDefault="00FC56F3">
      <w:pPr>
        <w:pStyle w:val="a3"/>
        <w:spacing w:after="0"/>
        <w:ind w:left="115" w:right="115"/>
        <w:jc w:val="center"/>
        <w:rPr>
          <w:rFonts w:ascii="Times New Roman;Times;Serif" w:hAnsi="Times New Roman;Times;Serif"/>
          <w:b/>
          <w:caps/>
          <w:sz w:val="20"/>
        </w:rPr>
      </w:pPr>
      <w:r>
        <w:rPr>
          <w:rFonts w:ascii="Times New Roman;Times;Serif" w:hAnsi="Times New Roman;Times;Serif"/>
          <w:b/>
          <w:caps/>
          <w:sz w:val="20"/>
        </w:rPr>
        <w:t>TABLE OF CONTENTS</w:t>
      </w:r>
    </w:p>
    <w:p w14:paraId="619A693A" w14:textId="77777777" w:rsidR="00E22AC0" w:rsidRDefault="00FC56F3">
      <w:pPr>
        <w:pStyle w:val="a3"/>
        <w:spacing w:after="0"/>
        <w:ind w:left="115" w:right="115"/>
      </w:pPr>
      <w:r>
        <w:t> </w:t>
      </w:r>
    </w:p>
    <w:tbl>
      <w:tblPr>
        <w:tblW w:w="8259" w:type="dxa"/>
        <w:tblCellMar>
          <w:left w:w="0" w:type="dxa"/>
          <w:right w:w="0" w:type="dxa"/>
        </w:tblCellMar>
        <w:tblLook w:val="0000" w:firstRow="0" w:lastRow="0" w:firstColumn="0" w:lastColumn="0" w:noHBand="0" w:noVBand="0"/>
      </w:tblPr>
      <w:tblGrid>
        <w:gridCol w:w="447"/>
        <w:gridCol w:w="7357"/>
        <w:gridCol w:w="455"/>
      </w:tblGrid>
      <w:tr w:rsidR="00E22AC0" w14:paraId="474E35EA" w14:textId="77777777">
        <w:tc>
          <w:tcPr>
            <w:tcW w:w="447" w:type="dxa"/>
            <w:vAlign w:val="center"/>
          </w:tcPr>
          <w:p w14:paraId="7BC3C2B7" w14:textId="77777777" w:rsidR="00E22AC0" w:rsidRDefault="00FC56F3">
            <w:pPr>
              <w:pStyle w:val="TableContents"/>
            </w:pPr>
            <w:r>
              <w:t> </w:t>
            </w:r>
          </w:p>
        </w:tc>
        <w:tc>
          <w:tcPr>
            <w:tcW w:w="7357" w:type="dxa"/>
            <w:vAlign w:val="center"/>
          </w:tcPr>
          <w:p w14:paraId="2011CEDC" w14:textId="77777777" w:rsidR="00E22AC0" w:rsidRDefault="00FC56F3">
            <w:pPr>
              <w:pStyle w:val="TableContents"/>
            </w:pPr>
            <w:r>
              <w:t> </w:t>
            </w:r>
          </w:p>
        </w:tc>
        <w:tc>
          <w:tcPr>
            <w:tcW w:w="455" w:type="dxa"/>
            <w:tcBorders>
              <w:bottom w:val="single" w:sz="12" w:space="0" w:color="000000"/>
            </w:tcBorders>
            <w:tcMar>
              <w:bottom w:w="28" w:type="dxa"/>
            </w:tcMar>
            <w:vAlign w:val="center"/>
          </w:tcPr>
          <w:p w14:paraId="66398272" w14:textId="77777777" w:rsidR="00E22AC0" w:rsidRDefault="00FC56F3">
            <w:pPr>
              <w:pStyle w:val="TableContents"/>
              <w:jc w:val="center"/>
              <w:rPr>
                <w:rFonts w:ascii="Times New Roman;Times;Serif" w:hAnsi="Times New Roman;Times;Serif"/>
                <w:b/>
                <w:sz w:val="20"/>
              </w:rPr>
            </w:pPr>
            <w:r>
              <w:rPr>
                <w:rFonts w:ascii="Times New Roman;Times;Serif" w:hAnsi="Times New Roman;Times;Serif"/>
                <w:b/>
                <w:sz w:val="20"/>
              </w:rPr>
              <w:t>Page</w:t>
            </w:r>
          </w:p>
        </w:tc>
      </w:tr>
      <w:tr w:rsidR="00E22AC0" w14:paraId="0A8B5121" w14:textId="77777777">
        <w:tc>
          <w:tcPr>
            <w:tcW w:w="447" w:type="dxa"/>
            <w:vAlign w:val="center"/>
          </w:tcPr>
          <w:p w14:paraId="1E773E6E" w14:textId="77777777" w:rsidR="00E22AC0" w:rsidRDefault="00FC56F3">
            <w:pPr>
              <w:pStyle w:val="TableContents"/>
            </w:pPr>
            <w:r>
              <w:t> </w:t>
            </w:r>
          </w:p>
        </w:tc>
        <w:tc>
          <w:tcPr>
            <w:tcW w:w="7357" w:type="dxa"/>
            <w:vAlign w:val="center"/>
          </w:tcPr>
          <w:p w14:paraId="5FA2D56E" w14:textId="77777777" w:rsidR="00E22AC0" w:rsidRDefault="00FC56F3">
            <w:pPr>
              <w:pStyle w:val="TableContents"/>
            </w:pPr>
            <w:r>
              <w:t> </w:t>
            </w:r>
          </w:p>
        </w:tc>
        <w:tc>
          <w:tcPr>
            <w:tcW w:w="455" w:type="dxa"/>
            <w:vAlign w:val="center"/>
          </w:tcPr>
          <w:p w14:paraId="04E2C424" w14:textId="77777777" w:rsidR="00E22AC0" w:rsidRDefault="00FC56F3">
            <w:pPr>
              <w:pStyle w:val="TableContents"/>
              <w:jc w:val="right"/>
            </w:pPr>
            <w:r>
              <w:t> </w:t>
            </w:r>
          </w:p>
        </w:tc>
      </w:tr>
      <w:tr w:rsidR="00E22AC0" w14:paraId="68EDC6BD" w14:textId="77777777">
        <w:tc>
          <w:tcPr>
            <w:tcW w:w="7804" w:type="dxa"/>
            <w:gridSpan w:val="2"/>
            <w:shd w:val="clear" w:color="auto" w:fill="CCEEFF"/>
            <w:vAlign w:val="center"/>
          </w:tcPr>
          <w:p w14:paraId="1DB40D5F" w14:textId="77777777" w:rsidR="00E22AC0" w:rsidRDefault="00FC56F3">
            <w:pPr>
              <w:pStyle w:val="TableContents"/>
              <w:rPr>
                <w:rFonts w:ascii="Times New Roman;Times;Serif" w:hAnsi="Times New Roman;Times;Serif"/>
                <w:b/>
                <w:caps/>
                <w:sz w:val="20"/>
              </w:rPr>
            </w:pPr>
            <w:r>
              <w:rPr>
                <w:rFonts w:ascii="Times New Roman;Times;Serif" w:hAnsi="Times New Roman;Times;Serif"/>
                <w:b/>
                <w:caps/>
                <w:sz w:val="20"/>
              </w:rPr>
              <w:t>ARTICLE I DEFINITIONS</w:t>
            </w:r>
          </w:p>
        </w:tc>
        <w:tc>
          <w:tcPr>
            <w:tcW w:w="455" w:type="dxa"/>
            <w:shd w:val="clear" w:color="auto" w:fill="CCEEFF"/>
            <w:vAlign w:val="center"/>
          </w:tcPr>
          <w:p w14:paraId="1F71B9B3" w14:textId="77777777" w:rsidR="00E22AC0" w:rsidRDefault="00FC56F3">
            <w:pPr>
              <w:pStyle w:val="TableContents"/>
              <w:jc w:val="right"/>
              <w:rPr>
                <w:rFonts w:ascii="Times New Roman;Times;Serif" w:hAnsi="Times New Roman;Times;Serif"/>
                <w:b/>
                <w:caps/>
                <w:sz w:val="20"/>
              </w:rPr>
            </w:pPr>
            <w:r>
              <w:rPr>
                <w:rFonts w:ascii="Times New Roman;Times;Serif" w:hAnsi="Times New Roman;Times;Serif"/>
                <w:b/>
                <w:caps/>
                <w:sz w:val="20"/>
              </w:rPr>
              <w:t>1</w:t>
            </w:r>
          </w:p>
        </w:tc>
      </w:tr>
      <w:tr w:rsidR="00E22AC0" w14:paraId="1BB97B5E" w14:textId="77777777">
        <w:tc>
          <w:tcPr>
            <w:tcW w:w="447" w:type="dxa"/>
            <w:shd w:val="clear" w:color="auto" w:fill="FFFFFF"/>
            <w:vAlign w:val="center"/>
          </w:tcPr>
          <w:p w14:paraId="04EE4224"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w:t>
            </w:r>
          </w:p>
        </w:tc>
        <w:tc>
          <w:tcPr>
            <w:tcW w:w="7357" w:type="dxa"/>
            <w:shd w:val="clear" w:color="auto" w:fill="FFFFFF"/>
            <w:vAlign w:val="center"/>
          </w:tcPr>
          <w:p w14:paraId="436C0DC2"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Certain Definitions.</w:t>
            </w:r>
          </w:p>
        </w:tc>
        <w:tc>
          <w:tcPr>
            <w:tcW w:w="455" w:type="dxa"/>
            <w:shd w:val="clear" w:color="auto" w:fill="FFFFFF"/>
            <w:vAlign w:val="center"/>
          </w:tcPr>
          <w:p w14:paraId="2358AB89"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w:t>
            </w:r>
          </w:p>
        </w:tc>
      </w:tr>
      <w:tr w:rsidR="00E22AC0" w14:paraId="36FCB074" w14:textId="77777777">
        <w:tc>
          <w:tcPr>
            <w:tcW w:w="7804" w:type="dxa"/>
            <w:gridSpan w:val="2"/>
            <w:shd w:val="clear" w:color="auto" w:fill="CCEEFF"/>
            <w:vAlign w:val="center"/>
          </w:tcPr>
          <w:p w14:paraId="35BE7B66" w14:textId="77777777" w:rsidR="00E22AC0" w:rsidRDefault="00FC56F3">
            <w:pPr>
              <w:pStyle w:val="TableContents"/>
              <w:rPr>
                <w:rFonts w:ascii="Times New Roman;Times;Serif" w:hAnsi="Times New Roman;Times;Serif"/>
                <w:b/>
                <w:caps/>
                <w:sz w:val="20"/>
              </w:rPr>
            </w:pPr>
            <w:r>
              <w:rPr>
                <w:rFonts w:ascii="Times New Roman;Times;Serif" w:hAnsi="Times New Roman;Times;Serif"/>
                <w:b/>
                <w:caps/>
                <w:sz w:val="20"/>
              </w:rPr>
              <w:t>ARTICLE II PURCHASE AND SALE OF THE SHARES</w:t>
            </w:r>
          </w:p>
        </w:tc>
        <w:tc>
          <w:tcPr>
            <w:tcW w:w="455" w:type="dxa"/>
            <w:shd w:val="clear" w:color="auto" w:fill="CCEEFF"/>
            <w:vAlign w:val="center"/>
          </w:tcPr>
          <w:p w14:paraId="6790BF02" w14:textId="77777777" w:rsidR="00E22AC0" w:rsidRDefault="00FC56F3">
            <w:pPr>
              <w:pStyle w:val="TableContents"/>
              <w:jc w:val="right"/>
              <w:rPr>
                <w:rFonts w:ascii="Times New Roman;Times;Serif" w:hAnsi="Times New Roman;Times;Serif"/>
                <w:b/>
                <w:caps/>
                <w:sz w:val="20"/>
              </w:rPr>
            </w:pPr>
            <w:r>
              <w:rPr>
                <w:rFonts w:ascii="Times New Roman;Times;Serif" w:hAnsi="Times New Roman;Times;Serif"/>
                <w:b/>
                <w:caps/>
                <w:sz w:val="20"/>
              </w:rPr>
              <w:t>5</w:t>
            </w:r>
          </w:p>
        </w:tc>
      </w:tr>
      <w:tr w:rsidR="00E22AC0" w14:paraId="228E95AA" w14:textId="77777777">
        <w:tc>
          <w:tcPr>
            <w:tcW w:w="447" w:type="dxa"/>
            <w:shd w:val="clear" w:color="auto" w:fill="FFFFFF"/>
            <w:vAlign w:val="center"/>
          </w:tcPr>
          <w:p w14:paraId="170A2E3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2.1</w:t>
            </w:r>
          </w:p>
        </w:tc>
        <w:tc>
          <w:tcPr>
            <w:tcW w:w="7357" w:type="dxa"/>
            <w:shd w:val="clear" w:color="auto" w:fill="FFFFFF"/>
            <w:vAlign w:val="center"/>
          </w:tcPr>
          <w:p w14:paraId="7C9C49F9"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Purchase and Sale of the Shares.</w:t>
            </w:r>
          </w:p>
        </w:tc>
        <w:tc>
          <w:tcPr>
            <w:tcW w:w="455" w:type="dxa"/>
            <w:shd w:val="clear" w:color="auto" w:fill="FFFFFF"/>
            <w:vAlign w:val="center"/>
          </w:tcPr>
          <w:p w14:paraId="12CECCAC"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5</w:t>
            </w:r>
          </w:p>
        </w:tc>
      </w:tr>
      <w:tr w:rsidR="00E22AC0" w14:paraId="644F590E" w14:textId="77777777">
        <w:tc>
          <w:tcPr>
            <w:tcW w:w="447" w:type="dxa"/>
            <w:shd w:val="clear" w:color="auto" w:fill="CCEEFF"/>
            <w:vAlign w:val="center"/>
          </w:tcPr>
          <w:p w14:paraId="5310508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2.2</w:t>
            </w:r>
          </w:p>
        </w:tc>
        <w:tc>
          <w:tcPr>
            <w:tcW w:w="7357" w:type="dxa"/>
            <w:shd w:val="clear" w:color="auto" w:fill="CCEEFF"/>
            <w:vAlign w:val="center"/>
          </w:tcPr>
          <w:p w14:paraId="33EF4176"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Adjustments to Purchase Price.</w:t>
            </w:r>
          </w:p>
        </w:tc>
        <w:tc>
          <w:tcPr>
            <w:tcW w:w="455" w:type="dxa"/>
            <w:shd w:val="clear" w:color="auto" w:fill="CCEEFF"/>
            <w:vAlign w:val="center"/>
          </w:tcPr>
          <w:p w14:paraId="7CAF1897"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6</w:t>
            </w:r>
          </w:p>
        </w:tc>
      </w:tr>
      <w:tr w:rsidR="00E22AC0" w14:paraId="069D5D27" w14:textId="77777777">
        <w:tc>
          <w:tcPr>
            <w:tcW w:w="447" w:type="dxa"/>
            <w:shd w:val="clear" w:color="auto" w:fill="FFFFFF"/>
            <w:vAlign w:val="center"/>
          </w:tcPr>
          <w:p w14:paraId="53186632"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2.3</w:t>
            </w:r>
          </w:p>
        </w:tc>
        <w:tc>
          <w:tcPr>
            <w:tcW w:w="7357" w:type="dxa"/>
            <w:shd w:val="clear" w:color="auto" w:fill="FFFFFF"/>
            <w:vAlign w:val="center"/>
          </w:tcPr>
          <w:p w14:paraId="6A156C8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Closing.</w:t>
            </w:r>
          </w:p>
        </w:tc>
        <w:tc>
          <w:tcPr>
            <w:tcW w:w="455" w:type="dxa"/>
            <w:shd w:val="clear" w:color="auto" w:fill="FFFFFF"/>
            <w:vAlign w:val="center"/>
          </w:tcPr>
          <w:p w14:paraId="52F11AC8"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7</w:t>
            </w:r>
          </w:p>
        </w:tc>
      </w:tr>
      <w:tr w:rsidR="00E22AC0" w14:paraId="095D1BDC" w14:textId="77777777">
        <w:tc>
          <w:tcPr>
            <w:tcW w:w="447" w:type="dxa"/>
            <w:shd w:val="clear" w:color="auto" w:fill="CCEEFF"/>
            <w:vAlign w:val="center"/>
          </w:tcPr>
          <w:p w14:paraId="5E0B4342"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2.4</w:t>
            </w:r>
          </w:p>
        </w:tc>
        <w:tc>
          <w:tcPr>
            <w:tcW w:w="7357" w:type="dxa"/>
            <w:shd w:val="clear" w:color="auto" w:fill="CCEEFF"/>
            <w:vAlign w:val="center"/>
          </w:tcPr>
          <w:p w14:paraId="71202D9D"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 xml:space="preserve">Transactions to be </w:t>
            </w:r>
            <w:proofErr w:type="gramStart"/>
            <w:r>
              <w:rPr>
                <w:rFonts w:ascii="Times New Roman;Times;Serif" w:hAnsi="Times New Roman;Times;Serif"/>
                <w:sz w:val="20"/>
              </w:rPr>
              <w:t>Effected</w:t>
            </w:r>
            <w:proofErr w:type="gramEnd"/>
            <w:r>
              <w:rPr>
                <w:rFonts w:ascii="Times New Roman;Times;Serif" w:hAnsi="Times New Roman;Times;Serif"/>
                <w:sz w:val="20"/>
              </w:rPr>
              <w:t xml:space="preserve"> at the Closing.</w:t>
            </w:r>
          </w:p>
        </w:tc>
        <w:tc>
          <w:tcPr>
            <w:tcW w:w="455" w:type="dxa"/>
            <w:shd w:val="clear" w:color="auto" w:fill="CCEEFF"/>
            <w:vAlign w:val="center"/>
          </w:tcPr>
          <w:p w14:paraId="7A82DCCA"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7</w:t>
            </w:r>
          </w:p>
        </w:tc>
      </w:tr>
      <w:tr w:rsidR="00E22AC0" w14:paraId="6C31F29E" w14:textId="77777777">
        <w:tc>
          <w:tcPr>
            <w:tcW w:w="7804" w:type="dxa"/>
            <w:gridSpan w:val="2"/>
            <w:shd w:val="clear" w:color="auto" w:fill="FFFFFF"/>
            <w:vAlign w:val="center"/>
          </w:tcPr>
          <w:p w14:paraId="54027EBE" w14:textId="77777777" w:rsidR="00E22AC0" w:rsidRDefault="00FC56F3">
            <w:pPr>
              <w:pStyle w:val="TableContents"/>
              <w:rPr>
                <w:rFonts w:ascii="Times New Roman;Times;Serif" w:hAnsi="Times New Roman;Times;Serif"/>
                <w:b/>
                <w:caps/>
                <w:sz w:val="20"/>
              </w:rPr>
            </w:pPr>
            <w:r>
              <w:rPr>
                <w:rFonts w:ascii="Times New Roman;Times;Serif" w:hAnsi="Times New Roman;Times;Serif"/>
                <w:b/>
                <w:caps/>
                <w:sz w:val="20"/>
              </w:rPr>
              <w:t>ARTICLE III REPRESENTATIONS AND WARRANTIES OF THE SELLERS</w:t>
            </w:r>
          </w:p>
        </w:tc>
        <w:tc>
          <w:tcPr>
            <w:tcW w:w="455" w:type="dxa"/>
            <w:shd w:val="clear" w:color="auto" w:fill="FFFFFF"/>
            <w:vAlign w:val="center"/>
          </w:tcPr>
          <w:p w14:paraId="7EC52539" w14:textId="77777777" w:rsidR="00E22AC0" w:rsidRDefault="00FC56F3">
            <w:pPr>
              <w:pStyle w:val="TableContents"/>
              <w:jc w:val="right"/>
              <w:rPr>
                <w:rFonts w:ascii="Times New Roman;Times;Serif" w:hAnsi="Times New Roman;Times;Serif"/>
                <w:b/>
                <w:caps/>
                <w:sz w:val="20"/>
              </w:rPr>
            </w:pPr>
            <w:r>
              <w:rPr>
                <w:rFonts w:ascii="Times New Roman;Times;Serif" w:hAnsi="Times New Roman;Times;Serif"/>
                <w:b/>
                <w:caps/>
                <w:sz w:val="20"/>
              </w:rPr>
              <w:t>8</w:t>
            </w:r>
          </w:p>
        </w:tc>
      </w:tr>
      <w:tr w:rsidR="00E22AC0" w14:paraId="16C81F43" w14:textId="77777777">
        <w:tc>
          <w:tcPr>
            <w:tcW w:w="447" w:type="dxa"/>
            <w:shd w:val="clear" w:color="auto" w:fill="CCEEFF"/>
            <w:vAlign w:val="center"/>
          </w:tcPr>
          <w:p w14:paraId="53357B6D"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3.1</w:t>
            </w:r>
          </w:p>
        </w:tc>
        <w:tc>
          <w:tcPr>
            <w:tcW w:w="7357" w:type="dxa"/>
            <w:shd w:val="clear" w:color="auto" w:fill="CCEEFF"/>
            <w:vAlign w:val="center"/>
          </w:tcPr>
          <w:p w14:paraId="45CCF152"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Authority and Enforceability.</w:t>
            </w:r>
          </w:p>
        </w:tc>
        <w:tc>
          <w:tcPr>
            <w:tcW w:w="455" w:type="dxa"/>
            <w:shd w:val="clear" w:color="auto" w:fill="CCEEFF"/>
            <w:vAlign w:val="center"/>
          </w:tcPr>
          <w:p w14:paraId="62529FC4"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8</w:t>
            </w:r>
          </w:p>
        </w:tc>
      </w:tr>
      <w:tr w:rsidR="00E22AC0" w14:paraId="6A2CE81B" w14:textId="77777777">
        <w:tc>
          <w:tcPr>
            <w:tcW w:w="447" w:type="dxa"/>
            <w:shd w:val="clear" w:color="auto" w:fill="FFFFFF"/>
            <w:vAlign w:val="center"/>
          </w:tcPr>
          <w:p w14:paraId="166406E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3.2</w:t>
            </w:r>
          </w:p>
        </w:tc>
        <w:tc>
          <w:tcPr>
            <w:tcW w:w="7357" w:type="dxa"/>
            <w:shd w:val="clear" w:color="auto" w:fill="FFFFFF"/>
            <w:vAlign w:val="center"/>
          </w:tcPr>
          <w:p w14:paraId="1668F920" w14:textId="77777777" w:rsidR="00E22AC0" w:rsidRDefault="00FC56F3">
            <w:pPr>
              <w:pStyle w:val="TableContents"/>
              <w:rPr>
                <w:rFonts w:ascii="Times New Roman;Times;Serif" w:hAnsi="Times New Roman;Times;Serif"/>
                <w:sz w:val="20"/>
              </w:rPr>
            </w:pPr>
            <w:proofErr w:type="spellStart"/>
            <w:r>
              <w:rPr>
                <w:rFonts w:ascii="Times New Roman;Times;Serif" w:hAnsi="Times New Roman;Times;Serif"/>
                <w:sz w:val="20"/>
              </w:rPr>
              <w:t>Noncontravention</w:t>
            </w:r>
            <w:proofErr w:type="spellEnd"/>
            <w:r>
              <w:rPr>
                <w:rFonts w:ascii="Times New Roman;Times;Serif" w:hAnsi="Times New Roman;Times;Serif"/>
                <w:sz w:val="20"/>
              </w:rPr>
              <w:t>.</w:t>
            </w:r>
          </w:p>
        </w:tc>
        <w:tc>
          <w:tcPr>
            <w:tcW w:w="455" w:type="dxa"/>
            <w:shd w:val="clear" w:color="auto" w:fill="FFFFFF"/>
            <w:vAlign w:val="center"/>
          </w:tcPr>
          <w:p w14:paraId="5429FF1D"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8</w:t>
            </w:r>
          </w:p>
        </w:tc>
      </w:tr>
      <w:tr w:rsidR="00E22AC0" w14:paraId="2DDA7453" w14:textId="77777777">
        <w:tc>
          <w:tcPr>
            <w:tcW w:w="447" w:type="dxa"/>
            <w:shd w:val="clear" w:color="auto" w:fill="CCEEFF"/>
            <w:vAlign w:val="center"/>
          </w:tcPr>
          <w:p w14:paraId="57D13537"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3.3</w:t>
            </w:r>
          </w:p>
        </w:tc>
        <w:tc>
          <w:tcPr>
            <w:tcW w:w="7357" w:type="dxa"/>
            <w:shd w:val="clear" w:color="auto" w:fill="CCEEFF"/>
            <w:vAlign w:val="center"/>
          </w:tcPr>
          <w:p w14:paraId="0FF35DE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The Shares.</w:t>
            </w:r>
          </w:p>
        </w:tc>
        <w:tc>
          <w:tcPr>
            <w:tcW w:w="455" w:type="dxa"/>
            <w:shd w:val="clear" w:color="auto" w:fill="CCEEFF"/>
            <w:vAlign w:val="center"/>
          </w:tcPr>
          <w:p w14:paraId="0666B92C"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8</w:t>
            </w:r>
          </w:p>
        </w:tc>
      </w:tr>
      <w:tr w:rsidR="00E22AC0" w14:paraId="215E5F42" w14:textId="77777777">
        <w:tc>
          <w:tcPr>
            <w:tcW w:w="447" w:type="dxa"/>
            <w:shd w:val="clear" w:color="auto" w:fill="FFFFFF"/>
            <w:vAlign w:val="center"/>
          </w:tcPr>
          <w:p w14:paraId="30AD557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3.4</w:t>
            </w:r>
          </w:p>
        </w:tc>
        <w:tc>
          <w:tcPr>
            <w:tcW w:w="7357" w:type="dxa"/>
            <w:shd w:val="clear" w:color="auto" w:fill="FFFFFF"/>
            <w:vAlign w:val="center"/>
          </w:tcPr>
          <w:p w14:paraId="04B5853D"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Brokers’ Fees.</w:t>
            </w:r>
          </w:p>
        </w:tc>
        <w:tc>
          <w:tcPr>
            <w:tcW w:w="455" w:type="dxa"/>
            <w:shd w:val="clear" w:color="auto" w:fill="FFFFFF"/>
            <w:vAlign w:val="center"/>
          </w:tcPr>
          <w:p w14:paraId="42C52D0F"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9</w:t>
            </w:r>
          </w:p>
        </w:tc>
      </w:tr>
      <w:tr w:rsidR="00E22AC0" w14:paraId="2B95B38B" w14:textId="77777777">
        <w:tc>
          <w:tcPr>
            <w:tcW w:w="7804" w:type="dxa"/>
            <w:gridSpan w:val="2"/>
            <w:shd w:val="clear" w:color="auto" w:fill="CCEEFF"/>
            <w:vAlign w:val="center"/>
          </w:tcPr>
          <w:p w14:paraId="3C793367" w14:textId="77777777" w:rsidR="00E22AC0" w:rsidRDefault="00FC56F3">
            <w:pPr>
              <w:pStyle w:val="TableContents"/>
              <w:rPr>
                <w:rFonts w:ascii="Times New Roman;Times;Serif" w:hAnsi="Times New Roman;Times;Serif"/>
                <w:b/>
                <w:caps/>
                <w:sz w:val="20"/>
              </w:rPr>
            </w:pPr>
            <w:r>
              <w:rPr>
                <w:rFonts w:ascii="Times New Roman;Times;Serif" w:hAnsi="Times New Roman;Times;Serif"/>
                <w:b/>
                <w:caps/>
                <w:sz w:val="20"/>
              </w:rPr>
              <w:t>ARTICLE IV REPRESENTATIONS AND WARRANTIES CONCERNING THE COMPANY</w:t>
            </w:r>
          </w:p>
        </w:tc>
        <w:tc>
          <w:tcPr>
            <w:tcW w:w="455" w:type="dxa"/>
            <w:shd w:val="clear" w:color="auto" w:fill="CCEEFF"/>
            <w:vAlign w:val="center"/>
          </w:tcPr>
          <w:p w14:paraId="10B5DAC0" w14:textId="77777777" w:rsidR="00E22AC0" w:rsidRDefault="00FC56F3">
            <w:pPr>
              <w:pStyle w:val="TableContents"/>
              <w:jc w:val="right"/>
              <w:rPr>
                <w:rFonts w:ascii="Times New Roman;Times;Serif" w:hAnsi="Times New Roman;Times;Serif"/>
                <w:b/>
                <w:caps/>
                <w:sz w:val="20"/>
              </w:rPr>
            </w:pPr>
            <w:r>
              <w:rPr>
                <w:rFonts w:ascii="Times New Roman;Times;Serif" w:hAnsi="Times New Roman;Times;Serif"/>
                <w:b/>
                <w:caps/>
                <w:sz w:val="20"/>
              </w:rPr>
              <w:t>9</w:t>
            </w:r>
          </w:p>
        </w:tc>
      </w:tr>
      <w:tr w:rsidR="00E22AC0" w14:paraId="4166D102" w14:textId="77777777">
        <w:tc>
          <w:tcPr>
            <w:tcW w:w="447" w:type="dxa"/>
            <w:shd w:val="clear" w:color="auto" w:fill="FFFFFF"/>
            <w:vAlign w:val="center"/>
          </w:tcPr>
          <w:p w14:paraId="2915B364"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4.1</w:t>
            </w:r>
          </w:p>
        </w:tc>
        <w:tc>
          <w:tcPr>
            <w:tcW w:w="7357" w:type="dxa"/>
            <w:shd w:val="clear" w:color="auto" w:fill="FFFFFF"/>
            <w:vAlign w:val="center"/>
          </w:tcPr>
          <w:p w14:paraId="408FB947"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Organization, Qualification and Corporate Power; Authority and Enforceability.</w:t>
            </w:r>
          </w:p>
        </w:tc>
        <w:tc>
          <w:tcPr>
            <w:tcW w:w="455" w:type="dxa"/>
            <w:shd w:val="clear" w:color="auto" w:fill="FFFFFF"/>
            <w:vAlign w:val="center"/>
          </w:tcPr>
          <w:p w14:paraId="64C3AA3D"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9</w:t>
            </w:r>
          </w:p>
        </w:tc>
      </w:tr>
      <w:tr w:rsidR="00E22AC0" w14:paraId="3D160776" w14:textId="77777777">
        <w:tc>
          <w:tcPr>
            <w:tcW w:w="447" w:type="dxa"/>
            <w:shd w:val="clear" w:color="auto" w:fill="CCEEFF"/>
            <w:vAlign w:val="center"/>
          </w:tcPr>
          <w:p w14:paraId="206D1451"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4.2</w:t>
            </w:r>
          </w:p>
        </w:tc>
        <w:tc>
          <w:tcPr>
            <w:tcW w:w="7357" w:type="dxa"/>
            <w:shd w:val="clear" w:color="auto" w:fill="CCEEFF"/>
            <w:vAlign w:val="center"/>
          </w:tcPr>
          <w:p w14:paraId="13B1320F"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Subsidiaries.</w:t>
            </w:r>
          </w:p>
        </w:tc>
        <w:tc>
          <w:tcPr>
            <w:tcW w:w="455" w:type="dxa"/>
            <w:shd w:val="clear" w:color="auto" w:fill="CCEEFF"/>
            <w:vAlign w:val="center"/>
          </w:tcPr>
          <w:p w14:paraId="0FDA19A2"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10</w:t>
            </w:r>
          </w:p>
        </w:tc>
      </w:tr>
      <w:tr w:rsidR="00E22AC0" w14:paraId="1C09489C" w14:textId="77777777">
        <w:tc>
          <w:tcPr>
            <w:tcW w:w="447" w:type="dxa"/>
            <w:shd w:val="clear" w:color="auto" w:fill="FFFFFF"/>
            <w:vAlign w:val="center"/>
          </w:tcPr>
          <w:p w14:paraId="112908C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4.3</w:t>
            </w:r>
          </w:p>
        </w:tc>
        <w:tc>
          <w:tcPr>
            <w:tcW w:w="7357" w:type="dxa"/>
            <w:shd w:val="clear" w:color="auto" w:fill="FFFFFF"/>
            <w:vAlign w:val="center"/>
          </w:tcPr>
          <w:p w14:paraId="6E422B4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Capitalization.</w:t>
            </w:r>
          </w:p>
        </w:tc>
        <w:tc>
          <w:tcPr>
            <w:tcW w:w="455" w:type="dxa"/>
            <w:shd w:val="clear" w:color="auto" w:fill="FFFFFF"/>
            <w:vAlign w:val="center"/>
          </w:tcPr>
          <w:p w14:paraId="7B8442F2"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10</w:t>
            </w:r>
          </w:p>
        </w:tc>
      </w:tr>
      <w:tr w:rsidR="00E22AC0" w14:paraId="01E02F0E" w14:textId="77777777">
        <w:tc>
          <w:tcPr>
            <w:tcW w:w="447" w:type="dxa"/>
            <w:shd w:val="clear" w:color="auto" w:fill="CCEEFF"/>
            <w:vAlign w:val="center"/>
          </w:tcPr>
          <w:p w14:paraId="2B33448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4.4</w:t>
            </w:r>
          </w:p>
        </w:tc>
        <w:tc>
          <w:tcPr>
            <w:tcW w:w="7357" w:type="dxa"/>
            <w:shd w:val="clear" w:color="auto" w:fill="CCEEFF"/>
            <w:vAlign w:val="center"/>
          </w:tcPr>
          <w:p w14:paraId="68D940FD" w14:textId="77777777" w:rsidR="00E22AC0" w:rsidRDefault="00FC56F3">
            <w:pPr>
              <w:pStyle w:val="TableContents"/>
              <w:rPr>
                <w:rFonts w:ascii="Times New Roman;Times;Serif" w:hAnsi="Times New Roman;Times;Serif"/>
                <w:sz w:val="20"/>
              </w:rPr>
            </w:pPr>
            <w:proofErr w:type="spellStart"/>
            <w:r>
              <w:rPr>
                <w:rFonts w:ascii="Times New Roman;Times;Serif" w:hAnsi="Times New Roman;Times;Serif"/>
                <w:sz w:val="20"/>
              </w:rPr>
              <w:t>Noncontravention</w:t>
            </w:r>
            <w:proofErr w:type="spellEnd"/>
            <w:r>
              <w:rPr>
                <w:rFonts w:ascii="Times New Roman;Times;Serif" w:hAnsi="Times New Roman;Times;Serif"/>
                <w:sz w:val="20"/>
              </w:rPr>
              <w:t>.</w:t>
            </w:r>
          </w:p>
        </w:tc>
        <w:tc>
          <w:tcPr>
            <w:tcW w:w="455" w:type="dxa"/>
            <w:shd w:val="clear" w:color="auto" w:fill="CCEEFF"/>
            <w:vAlign w:val="center"/>
          </w:tcPr>
          <w:p w14:paraId="719F2876"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11</w:t>
            </w:r>
          </w:p>
        </w:tc>
      </w:tr>
      <w:tr w:rsidR="00E22AC0" w14:paraId="3801F635" w14:textId="77777777">
        <w:tc>
          <w:tcPr>
            <w:tcW w:w="447" w:type="dxa"/>
            <w:shd w:val="clear" w:color="auto" w:fill="FFFFFF"/>
            <w:vAlign w:val="center"/>
          </w:tcPr>
          <w:p w14:paraId="1079ED0D"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4.5</w:t>
            </w:r>
          </w:p>
        </w:tc>
        <w:tc>
          <w:tcPr>
            <w:tcW w:w="7357" w:type="dxa"/>
            <w:shd w:val="clear" w:color="auto" w:fill="FFFFFF"/>
            <w:vAlign w:val="center"/>
          </w:tcPr>
          <w:p w14:paraId="3087D1B6"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Financial Statements.</w:t>
            </w:r>
          </w:p>
        </w:tc>
        <w:tc>
          <w:tcPr>
            <w:tcW w:w="455" w:type="dxa"/>
            <w:shd w:val="clear" w:color="auto" w:fill="FFFFFF"/>
            <w:vAlign w:val="center"/>
          </w:tcPr>
          <w:p w14:paraId="6584F042"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11</w:t>
            </w:r>
          </w:p>
        </w:tc>
      </w:tr>
      <w:tr w:rsidR="00E22AC0" w14:paraId="4194C6A8" w14:textId="77777777">
        <w:tc>
          <w:tcPr>
            <w:tcW w:w="447" w:type="dxa"/>
            <w:shd w:val="clear" w:color="auto" w:fill="CCEEFF"/>
            <w:vAlign w:val="center"/>
          </w:tcPr>
          <w:p w14:paraId="3E4F2E1D"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4.6</w:t>
            </w:r>
          </w:p>
        </w:tc>
        <w:tc>
          <w:tcPr>
            <w:tcW w:w="7357" w:type="dxa"/>
            <w:shd w:val="clear" w:color="auto" w:fill="CCEEFF"/>
            <w:vAlign w:val="center"/>
          </w:tcPr>
          <w:p w14:paraId="7EA8E6B9"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Taxes.</w:t>
            </w:r>
          </w:p>
        </w:tc>
        <w:tc>
          <w:tcPr>
            <w:tcW w:w="455" w:type="dxa"/>
            <w:shd w:val="clear" w:color="auto" w:fill="CCEEFF"/>
            <w:vAlign w:val="center"/>
          </w:tcPr>
          <w:p w14:paraId="30A83F65"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11</w:t>
            </w:r>
          </w:p>
        </w:tc>
      </w:tr>
      <w:tr w:rsidR="00E22AC0" w14:paraId="6D373638" w14:textId="77777777">
        <w:tc>
          <w:tcPr>
            <w:tcW w:w="447" w:type="dxa"/>
            <w:shd w:val="clear" w:color="auto" w:fill="FFFFFF"/>
            <w:vAlign w:val="center"/>
          </w:tcPr>
          <w:p w14:paraId="0395E10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4.7</w:t>
            </w:r>
          </w:p>
        </w:tc>
        <w:tc>
          <w:tcPr>
            <w:tcW w:w="7357" w:type="dxa"/>
            <w:shd w:val="clear" w:color="auto" w:fill="FFFFFF"/>
            <w:vAlign w:val="center"/>
          </w:tcPr>
          <w:p w14:paraId="27E622F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Compliance with Laws and Orders; Permits.</w:t>
            </w:r>
          </w:p>
        </w:tc>
        <w:tc>
          <w:tcPr>
            <w:tcW w:w="455" w:type="dxa"/>
            <w:shd w:val="clear" w:color="auto" w:fill="FFFFFF"/>
            <w:vAlign w:val="center"/>
          </w:tcPr>
          <w:p w14:paraId="42D7D5F0"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12</w:t>
            </w:r>
          </w:p>
        </w:tc>
      </w:tr>
      <w:tr w:rsidR="00E22AC0" w14:paraId="3BA3C7CE" w14:textId="77777777">
        <w:tc>
          <w:tcPr>
            <w:tcW w:w="447" w:type="dxa"/>
            <w:shd w:val="clear" w:color="auto" w:fill="CCEEFF"/>
            <w:vAlign w:val="center"/>
          </w:tcPr>
          <w:p w14:paraId="7A2800F8"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4.9</w:t>
            </w:r>
          </w:p>
        </w:tc>
        <w:tc>
          <w:tcPr>
            <w:tcW w:w="7357" w:type="dxa"/>
            <w:shd w:val="clear" w:color="auto" w:fill="CCEEFF"/>
            <w:vAlign w:val="center"/>
          </w:tcPr>
          <w:p w14:paraId="6BBA296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Tangible Personal Assets.</w:t>
            </w:r>
          </w:p>
        </w:tc>
        <w:tc>
          <w:tcPr>
            <w:tcW w:w="455" w:type="dxa"/>
            <w:shd w:val="clear" w:color="auto" w:fill="CCEEFF"/>
            <w:vAlign w:val="center"/>
          </w:tcPr>
          <w:p w14:paraId="5FD2F8E8"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12</w:t>
            </w:r>
          </w:p>
        </w:tc>
      </w:tr>
      <w:tr w:rsidR="00E22AC0" w14:paraId="06E90218" w14:textId="77777777">
        <w:tc>
          <w:tcPr>
            <w:tcW w:w="447" w:type="dxa"/>
            <w:shd w:val="clear" w:color="auto" w:fill="FFFFFF"/>
            <w:vAlign w:val="center"/>
          </w:tcPr>
          <w:p w14:paraId="1534F66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4.10</w:t>
            </w:r>
          </w:p>
        </w:tc>
        <w:tc>
          <w:tcPr>
            <w:tcW w:w="7357" w:type="dxa"/>
            <w:shd w:val="clear" w:color="auto" w:fill="FFFFFF"/>
            <w:vAlign w:val="center"/>
          </w:tcPr>
          <w:p w14:paraId="2BDE0C69"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Real Property.</w:t>
            </w:r>
          </w:p>
        </w:tc>
        <w:tc>
          <w:tcPr>
            <w:tcW w:w="455" w:type="dxa"/>
            <w:shd w:val="clear" w:color="auto" w:fill="FFFFFF"/>
            <w:vAlign w:val="center"/>
          </w:tcPr>
          <w:p w14:paraId="008EF210"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13</w:t>
            </w:r>
          </w:p>
        </w:tc>
      </w:tr>
      <w:tr w:rsidR="00E22AC0" w14:paraId="384DCC63" w14:textId="77777777">
        <w:tc>
          <w:tcPr>
            <w:tcW w:w="447" w:type="dxa"/>
            <w:shd w:val="clear" w:color="auto" w:fill="CCEEFF"/>
            <w:vAlign w:val="center"/>
          </w:tcPr>
          <w:p w14:paraId="340201A0"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4.11</w:t>
            </w:r>
          </w:p>
        </w:tc>
        <w:tc>
          <w:tcPr>
            <w:tcW w:w="7357" w:type="dxa"/>
            <w:shd w:val="clear" w:color="auto" w:fill="CCEEFF"/>
            <w:vAlign w:val="center"/>
          </w:tcPr>
          <w:p w14:paraId="4C05313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Intellectual Property.</w:t>
            </w:r>
          </w:p>
        </w:tc>
        <w:tc>
          <w:tcPr>
            <w:tcW w:w="455" w:type="dxa"/>
            <w:shd w:val="clear" w:color="auto" w:fill="CCEEFF"/>
            <w:vAlign w:val="center"/>
          </w:tcPr>
          <w:p w14:paraId="7E3E54F2"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14</w:t>
            </w:r>
          </w:p>
        </w:tc>
      </w:tr>
      <w:tr w:rsidR="00E22AC0" w14:paraId="3FE8B539" w14:textId="77777777">
        <w:tc>
          <w:tcPr>
            <w:tcW w:w="447" w:type="dxa"/>
            <w:shd w:val="clear" w:color="auto" w:fill="FFFFFF"/>
            <w:vAlign w:val="center"/>
          </w:tcPr>
          <w:p w14:paraId="1BA6D134"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4.12</w:t>
            </w:r>
          </w:p>
        </w:tc>
        <w:tc>
          <w:tcPr>
            <w:tcW w:w="7357" w:type="dxa"/>
            <w:shd w:val="clear" w:color="auto" w:fill="FFFFFF"/>
            <w:vAlign w:val="center"/>
          </w:tcPr>
          <w:p w14:paraId="69B46632"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Absence of Certain Changes or Events.</w:t>
            </w:r>
          </w:p>
        </w:tc>
        <w:tc>
          <w:tcPr>
            <w:tcW w:w="455" w:type="dxa"/>
            <w:shd w:val="clear" w:color="auto" w:fill="FFFFFF"/>
            <w:vAlign w:val="center"/>
          </w:tcPr>
          <w:p w14:paraId="48C16FBE"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15</w:t>
            </w:r>
          </w:p>
        </w:tc>
      </w:tr>
      <w:tr w:rsidR="00E22AC0" w14:paraId="18EC19C5" w14:textId="77777777">
        <w:tc>
          <w:tcPr>
            <w:tcW w:w="447" w:type="dxa"/>
            <w:shd w:val="clear" w:color="auto" w:fill="CCEEFF"/>
            <w:vAlign w:val="center"/>
          </w:tcPr>
          <w:p w14:paraId="5D7D2672"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4.13</w:t>
            </w:r>
          </w:p>
        </w:tc>
        <w:tc>
          <w:tcPr>
            <w:tcW w:w="7357" w:type="dxa"/>
            <w:shd w:val="clear" w:color="auto" w:fill="CCEEFF"/>
            <w:vAlign w:val="center"/>
          </w:tcPr>
          <w:p w14:paraId="2538BBF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Contracts.</w:t>
            </w:r>
          </w:p>
        </w:tc>
        <w:tc>
          <w:tcPr>
            <w:tcW w:w="455" w:type="dxa"/>
            <w:shd w:val="clear" w:color="auto" w:fill="CCEEFF"/>
            <w:vAlign w:val="center"/>
          </w:tcPr>
          <w:p w14:paraId="0C905A7D"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16</w:t>
            </w:r>
          </w:p>
        </w:tc>
      </w:tr>
      <w:tr w:rsidR="00E22AC0" w14:paraId="5A8690F7" w14:textId="77777777">
        <w:tc>
          <w:tcPr>
            <w:tcW w:w="447" w:type="dxa"/>
            <w:shd w:val="clear" w:color="auto" w:fill="FFFFFF"/>
            <w:vAlign w:val="center"/>
          </w:tcPr>
          <w:p w14:paraId="34A5626C"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4.14</w:t>
            </w:r>
          </w:p>
        </w:tc>
        <w:tc>
          <w:tcPr>
            <w:tcW w:w="7357" w:type="dxa"/>
            <w:shd w:val="clear" w:color="auto" w:fill="FFFFFF"/>
            <w:vAlign w:val="center"/>
          </w:tcPr>
          <w:p w14:paraId="47BDAA7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Litigation.</w:t>
            </w:r>
          </w:p>
        </w:tc>
        <w:tc>
          <w:tcPr>
            <w:tcW w:w="455" w:type="dxa"/>
            <w:shd w:val="clear" w:color="auto" w:fill="FFFFFF"/>
            <w:vAlign w:val="center"/>
          </w:tcPr>
          <w:p w14:paraId="524274C5"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16</w:t>
            </w:r>
          </w:p>
        </w:tc>
      </w:tr>
      <w:tr w:rsidR="00E22AC0" w14:paraId="37C27422" w14:textId="77777777">
        <w:tc>
          <w:tcPr>
            <w:tcW w:w="447" w:type="dxa"/>
            <w:shd w:val="clear" w:color="auto" w:fill="CCEEFF"/>
            <w:vAlign w:val="center"/>
          </w:tcPr>
          <w:p w14:paraId="7774470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4.15</w:t>
            </w:r>
          </w:p>
        </w:tc>
        <w:tc>
          <w:tcPr>
            <w:tcW w:w="7357" w:type="dxa"/>
            <w:shd w:val="clear" w:color="auto" w:fill="CCEEFF"/>
            <w:vAlign w:val="center"/>
          </w:tcPr>
          <w:p w14:paraId="42D65FB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Employee Benefits.</w:t>
            </w:r>
          </w:p>
        </w:tc>
        <w:tc>
          <w:tcPr>
            <w:tcW w:w="455" w:type="dxa"/>
            <w:shd w:val="clear" w:color="auto" w:fill="CCEEFF"/>
            <w:vAlign w:val="center"/>
          </w:tcPr>
          <w:p w14:paraId="3523C17C"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17</w:t>
            </w:r>
          </w:p>
        </w:tc>
      </w:tr>
      <w:tr w:rsidR="00E22AC0" w14:paraId="6D26281F" w14:textId="77777777">
        <w:tc>
          <w:tcPr>
            <w:tcW w:w="447" w:type="dxa"/>
            <w:shd w:val="clear" w:color="auto" w:fill="FFFFFF"/>
            <w:vAlign w:val="center"/>
          </w:tcPr>
          <w:p w14:paraId="39EE1E22"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4.16</w:t>
            </w:r>
          </w:p>
        </w:tc>
        <w:tc>
          <w:tcPr>
            <w:tcW w:w="7357" w:type="dxa"/>
            <w:shd w:val="clear" w:color="auto" w:fill="FFFFFF"/>
            <w:vAlign w:val="center"/>
          </w:tcPr>
          <w:p w14:paraId="7F06D9C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Labor and Employment Matters.</w:t>
            </w:r>
          </w:p>
        </w:tc>
        <w:tc>
          <w:tcPr>
            <w:tcW w:w="455" w:type="dxa"/>
            <w:shd w:val="clear" w:color="auto" w:fill="FFFFFF"/>
            <w:vAlign w:val="center"/>
          </w:tcPr>
          <w:p w14:paraId="44DCFEC2"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17</w:t>
            </w:r>
          </w:p>
        </w:tc>
      </w:tr>
      <w:tr w:rsidR="00E22AC0" w14:paraId="7C7F434B" w14:textId="77777777">
        <w:tc>
          <w:tcPr>
            <w:tcW w:w="447" w:type="dxa"/>
            <w:shd w:val="clear" w:color="auto" w:fill="CCEEFF"/>
            <w:vAlign w:val="center"/>
          </w:tcPr>
          <w:p w14:paraId="6BDE30AF"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4.17</w:t>
            </w:r>
          </w:p>
        </w:tc>
        <w:tc>
          <w:tcPr>
            <w:tcW w:w="7357" w:type="dxa"/>
            <w:shd w:val="clear" w:color="auto" w:fill="CCEEFF"/>
            <w:vAlign w:val="center"/>
          </w:tcPr>
          <w:p w14:paraId="45FE9A7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Environmental.</w:t>
            </w:r>
          </w:p>
        </w:tc>
        <w:tc>
          <w:tcPr>
            <w:tcW w:w="455" w:type="dxa"/>
            <w:shd w:val="clear" w:color="auto" w:fill="CCEEFF"/>
            <w:vAlign w:val="center"/>
          </w:tcPr>
          <w:p w14:paraId="5379A36C"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17</w:t>
            </w:r>
          </w:p>
        </w:tc>
      </w:tr>
      <w:tr w:rsidR="00E22AC0" w14:paraId="5629D9F7" w14:textId="77777777">
        <w:tc>
          <w:tcPr>
            <w:tcW w:w="447" w:type="dxa"/>
            <w:shd w:val="clear" w:color="auto" w:fill="FFFFFF"/>
            <w:vAlign w:val="center"/>
          </w:tcPr>
          <w:p w14:paraId="39458504"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4.18</w:t>
            </w:r>
          </w:p>
        </w:tc>
        <w:tc>
          <w:tcPr>
            <w:tcW w:w="7357" w:type="dxa"/>
            <w:shd w:val="clear" w:color="auto" w:fill="FFFFFF"/>
            <w:vAlign w:val="center"/>
          </w:tcPr>
          <w:p w14:paraId="3B0CAC2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Insurance.</w:t>
            </w:r>
          </w:p>
        </w:tc>
        <w:tc>
          <w:tcPr>
            <w:tcW w:w="455" w:type="dxa"/>
            <w:shd w:val="clear" w:color="auto" w:fill="FFFFFF"/>
            <w:vAlign w:val="center"/>
          </w:tcPr>
          <w:p w14:paraId="7035AC8F"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18</w:t>
            </w:r>
          </w:p>
        </w:tc>
      </w:tr>
      <w:tr w:rsidR="00E22AC0" w14:paraId="41B8C20A" w14:textId="77777777">
        <w:tc>
          <w:tcPr>
            <w:tcW w:w="447" w:type="dxa"/>
            <w:shd w:val="clear" w:color="auto" w:fill="CCEEFF"/>
            <w:vAlign w:val="center"/>
          </w:tcPr>
          <w:p w14:paraId="1E9BC7D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4.19</w:t>
            </w:r>
          </w:p>
        </w:tc>
        <w:tc>
          <w:tcPr>
            <w:tcW w:w="7357" w:type="dxa"/>
            <w:shd w:val="clear" w:color="auto" w:fill="CCEEFF"/>
            <w:vAlign w:val="center"/>
          </w:tcPr>
          <w:p w14:paraId="594EB7F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Inventory.</w:t>
            </w:r>
          </w:p>
        </w:tc>
        <w:tc>
          <w:tcPr>
            <w:tcW w:w="455" w:type="dxa"/>
            <w:shd w:val="clear" w:color="auto" w:fill="CCEEFF"/>
            <w:vAlign w:val="center"/>
          </w:tcPr>
          <w:p w14:paraId="3BF50475"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18</w:t>
            </w:r>
          </w:p>
        </w:tc>
      </w:tr>
      <w:tr w:rsidR="00E22AC0" w14:paraId="5934B78B" w14:textId="77777777">
        <w:tc>
          <w:tcPr>
            <w:tcW w:w="447" w:type="dxa"/>
            <w:shd w:val="clear" w:color="auto" w:fill="FFFFFF"/>
            <w:vAlign w:val="center"/>
          </w:tcPr>
          <w:p w14:paraId="67F8C2B0"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4.20</w:t>
            </w:r>
          </w:p>
        </w:tc>
        <w:tc>
          <w:tcPr>
            <w:tcW w:w="7357" w:type="dxa"/>
            <w:shd w:val="clear" w:color="auto" w:fill="FFFFFF"/>
            <w:vAlign w:val="center"/>
          </w:tcPr>
          <w:p w14:paraId="4D51B799"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Notes and Accounts Receivable.</w:t>
            </w:r>
          </w:p>
        </w:tc>
        <w:tc>
          <w:tcPr>
            <w:tcW w:w="455" w:type="dxa"/>
            <w:shd w:val="clear" w:color="auto" w:fill="FFFFFF"/>
            <w:vAlign w:val="center"/>
          </w:tcPr>
          <w:p w14:paraId="52FD445E"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18</w:t>
            </w:r>
          </w:p>
        </w:tc>
      </w:tr>
      <w:tr w:rsidR="00E22AC0" w14:paraId="1A648EA2" w14:textId="77777777">
        <w:tc>
          <w:tcPr>
            <w:tcW w:w="447" w:type="dxa"/>
            <w:shd w:val="clear" w:color="auto" w:fill="CCEEFF"/>
            <w:vAlign w:val="center"/>
          </w:tcPr>
          <w:p w14:paraId="567230D4"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4.21</w:t>
            </w:r>
          </w:p>
        </w:tc>
        <w:tc>
          <w:tcPr>
            <w:tcW w:w="7357" w:type="dxa"/>
            <w:shd w:val="clear" w:color="auto" w:fill="CCEEFF"/>
            <w:vAlign w:val="center"/>
          </w:tcPr>
          <w:p w14:paraId="75C80CF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Powers of Attorney.</w:t>
            </w:r>
          </w:p>
        </w:tc>
        <w:tc>
          <w:tcPr>
            <w:tcW w:w="455" w:type="dxa"/>
            <w:shd w:val="clear" w:color="auto" w:fill="CCEEFF"/>
            <w:vAlign w:val="center"/>
          </w:tcPr>
          <w:p w14:paraId="16A6DC77"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18</w:t>
            </w:r>
          </w:p>
        </w:tc>
      </w:tr>
      <w:tr w:rsidR="00E22AC0" w14:paraId="75CF7F23" w14:textId="77777777">
        <w:tc>
          <w:tcPr>
            <w:tcW w:w="447" w:type="dxa"/>
            <w:shd w:val="clear" w:color="auto" w:fill="FFFFFF"/>
            <w:vAlign w:val="center"/>
          </w:tcPr>
          <w:p w14:paraId="1EC0A8A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4.22</w:t>
            </w:r>
          </w:p>
        </w:tc>
        <w:tc>
          <w:tcPr>
            <w:tcW w:w="7357" w:type="dxa"/>
            <w:shd w:val="clear" w:color="auto" w:fill="FFFFFF"/>
            <w:vAlign w:val="center"/>
          </w:tcPr>
          <w:p w14:paraId="6013EE28"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Product Warranty.</w:t>
            </w:r>
          </w:p>
        </w:tc>
        <w:tc>
          <w:tcPr>
            <w:tcW w:w="455" w:type="dxa"/>
            <w:shd w:val="clear" w:color="auto" w:fill="FFFFFF"/>
            <w:vAlign w:val="center"/>
          </w:tcPr>
          <w:p w14:paraId="77A4514A"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18</w:t>
            </w:r>
          </w:p>
        </w:tc>
      </w:tr>
      <w:tr w:rsidR="00E22AC0" w14:paraId="26BF3266" w14:textId="77777777">
        <w:tc>
          <w:tcPr>
            <w:tcW w:w="447" w:type="dxa"/>
            <w:shd w:val="clear" w:color="auto" w:fill="CCEEFF"/>
            <w:vAlign w:val="center"/>
          </w:tcPr>
          <w:p w14:paraId="344D5A47"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4.23</w:t>
            </w:r>
          </w:p>
        </w:tc>
        <w:tc>
          <w:tcPr>
            <w:tcW w:w="7357" w:type="dxa"/>
            <w:shd w:val="clear" w:color="auto" w:fill="CCEEFF"/>
            <w:vAlign w:val="center"/>
          </w:tcPr>
          <w:p w14:paraId="168D1350"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Product Liability.</w:t>
            </w:r>
          </w:p>
        </w:tc>
        <w:tc>
          <w:tcPr>
            <w:tcW w:w="455" w:type="dxa"/>
            <w:shd w:val="clear" w:color="auto" w:fill="CCEEFF"/>
            <w:vAlign w:val="center"/>
          </w:tcPr>
          <w:p w14:paraId="3D2A9C69"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18</w:t>
            </w:r>
          </w:p>
        </w:tc>
      </w:tr>
      <w:tr w:rsidR="00E22AC0" w14:paraId="30D694AF" w14:textId="77777777">
        <w:tc>
          <w:tcPr>
            <w:tcW w:w="447" w:type="dxa"/>
            <w:shd w:val="clear" w:color="auto" w:fill="FFFFFF"/>
            <w:vAlign w:val="center"/>
          </w:tcPr>
          <w:p w14:paraId="0FFD4D1F"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lastRenderedPageBreak/>
              <w:t>4.24</w:t>
            </w:r>
          </w:p>
        </w:tc>
        <w:tc>
          <w:tcPr>
            <w:tcW w:w="7357" w:type="dxa"/>
            <w:shd w:val="clear" w:color="auto" w:fill="FFFFFF"/>
            <w:vAlign w:val="center"/>
          </w:tcPr>
          <w:p w14:paraId="03845E7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Brokers’ Fees.</w:t>
            </w:r>
          </w:p>
        </w:tc>
        <w:tc>
          <w:tcPr>
            <w:tcW w:w="455" w:type="dxa"/>
            <w:shd w:val="clear" w:color="auto" w:fill="FFFFFF"/>
            <w:vAlign w:val="center"/>
          </w:tcPr>
          <w:p w14:paraId="08293B5A"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18</w:t>
            </w:r>
          </w:p>
        </w:tc>
      </w:tr>
      <w:tr w:rsidR="00E22AC0" w14:paraId="55212DF6" w14:textId="77777777">
        <w:tc>
          <w:tcPr>
            <w:tcW w:w="447" w:type="dxa"/>
            <w:shd w:val="clear" w:color="auto" w:fill="CCEEFF"/>
            <w:vAlign w:val="center"/>
          </w:tcPr>
          <w:p w14:paraId="3312BEC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4.25</w:t>
            </w:r>
          </w:p>
        </w:tc>
        <w:tc>
          <w:tcPr>
            <w:tcW w:w="7357" w:type="dxa"/>
            <w:shd w:val="clear" w:color="auto" w:fill="CCEEFF"/>
            <w:vAlign w:val="center"/>
          </w:tcPr>
          <w:p w14:paraId="712D19B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 xml:space="preserve">Certain Business Relationships with the </w:t>
            </w:r>
            <w:r>
              <w:rPr>
                <w:rFonts w:ascii="Times New Roman;Times;Serif" w:hAnsi="Times New Roman;Times;Serif"/>
                <w:sz w:val="20"/>
              </w:rPr>
              <w:t>Company.</w:t>
            </w:r>
          </w:p>
        </w:tc>
        <w:tc>
          <w:tcPr>
            <w:tcW w:w="455" w:type="dxa"/>
            <w:shd w:val="clear" w:color="auto" w:fill="CCEEFF"/>
            <w:vAlign w:val="center"/>
          </w:tcPr>
          <w:p w14:paraId="6A40DB12"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19</w:t>
            </w:r>
          </w:p>
        </w:tc>
      </w:tr>
      <w:tr w:rsidR="00E22AC0" w14:paraId="12D33346" w14:textId="77777777">
        <w:tc>
          <w:tcPr>
            <w:tcW w:w="447" w:type="dxa"/>
            <w:shd w:val="clear" w:color="auto" w:fill="FFFFFF"/>
            <w:vAlign w:val="center"/>
          </w:tcPr>
          <w:p w14:paraId="74ED09D6"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4.26</w:t>
            </w:r>
          </w:p>
        </w:tc>
        <w:tc>
          <w:tcPr>
            <w:tcW w:w="7357" w:type="dxa"/>
            <w:shd w:val="clear" w:color="auto" w:fill="FFFFFF"/>
            <w:vAlign w:val="center"/>
          </w:tcPr>
          <w:p w14:paraId="449F3DE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Disclosure.</w:t>
            </w:r>
          </w:p>
        </w:tc>
        <w:tc>
          <w:tcPr>
            <w:tcW w:w="455" w:type="dxa"/>
            <w:shd w:val="clear" w:color="auto" w:fill="FFFFFF"/>
            <w:vAlign w:val="center"/>
          </w:tcPr>
          <w:p w14:paraId="2C173EDB"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19</w:t>
            </w:r>
          </w:p>
        </w:tc>
      </w:tr>
      <w:tr w:rsidR="00E22AC0" w14:paraId="046AB7AA" w14:textId="77777777">
        <w:tc>
          <w:tcPr>
            <w:tcW w:w="7804" w:type="dxa"/>
            <w:gridSpan w:val="2"/>
            <w:shd w:val="clear" w:color="auto" w:fill="CCEEFF"/>
            <w:vAlign w:val="center"/>
          </w:tcPr>
          <w:p w14:paraId="4B62C47E" w14:textId="77777777" w:rsidR="00E22AC0" w:rsidRDefault="00FC56F3">
            <w:pPr>
              <w:pStyle w:val="TableContents"/>
              <w:rPr>
                <w:rFonts w:ascii="Times New Roman;Times;Serif" w:hAnsi="Times New Roman;Times;Serif"/>
                <w:b/>
                <w:caps/>
                <w:sz w:val="20"/>
              </w:rPr>
            </w:pPr>
            <w:r>
              <w:rPr>
                <w:rFonts w:ascii="Times New Roman;Times;Serif" w:hAnsi="Times New Roman;Times;Serif"/>
                <w:b/>
                <w:caps/>
                <w:sz w:val="20"/>
              </w:rPr>
              <w:t>ARTICLE V REPRESENTATIONS AND WARRANTIES OF THE BUYER</w:t>
            </w:r>
          </w:p>
        </w:tc>
        <w:tc>
          <w:tcPr>
            <w:tcW w:w="455" w:type="dxa"/>
            <w:shd w:val="clear" w:color="auto" w:fill="CCEEFF"/>
            <w:vAlign w:val="center"/>
          </w:tcPr>
          <w:p w14:paraId="2718FB3A" w14:textId="77777777" w:rsidR="00E22AC0" w:rsidRDefault="00FC56F3">
            <w:pPr>
              <w:pStyle w:val="TableContents"/>
              <w:jc w:val="right"/>
              <w:rPr>
                <w:rFonts w:ascii="Times New Roman;Times;Serif" w:hAnsi="Times New Roman;Times;Serif"/>
                <w:b/>
                <w:caps/>
                <w:sz w:val="20"/>
              </w:rPr>
            </w:pPr>
            <w:r>
              <w:rPr>
                <w:rFonts w:ascii="Times New Roman;Times;Serif" w:hAnsi="Times New Roman;Times;Serif"/>
                <w:b/>
                <w:caps/>
                <w:sz w:val="20"/>
              </w:rPr>
              <w:t>19</w:t>
            </w:r>
          </w:p>
        </w:tc>
      </w:tr>
      <w:tr w:rsidR="00E22AC0" w14:paraId="6F0997FF" w14:textId="77777777">
        <w:tc>
          <w:tcPr>
            <w:tcW w:w="447" w:type="dxa"/>
            <w:shd w:val="clear" w:color="auto" w:fill="FFFFFF"/>
            <w:vAlign w:val="center"/>
          </w:tcPr>
          <w:p w14:paraId="0D14B53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5.1</w:t>
            </w:r>
          </w:p>
        </w:tc>
        <w:tc>
          <w:tcPr>
            <w:tcW w:w="7357" w:type="dxa"/>
            <w:shd w:val="clear" w:color="auto" w:fill="FFFFFF"/>
            <w:vAlign w:val="center"/>
          </w:tcPr>
          <w:p w14:paraId="6E782118"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Organization.</w:t>
            </w:r>
          </w:p>
        </w:tc>
        <w:tc>
          <w:tcPr>
            <w:tcW w:w="455" w:type="dxa"/>
            <w:shd w:val="clear" w:color="auto" w:fill="FFFFFF"/>
            <w:vAlign w:val="center"/>
          </w:tcPr>
          <w:p w14:paraId="119A7F12"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19</w:t>
            </w:r>
          </w:p>
        </w:tc>
      </w:tr>
      <w:tr w:rsidR="00E22AC0" w14:paraId="29F2DC8C" w14:textId="77777777">
        <w:tc>
          <w:tcPr>
            <w:tcW w:w="447" w:type="dxa"/>
            <w:shd w:val="clear" w:color="auto" w:fill="CCEEFF"/>
            <w:vAlign w:val="center"/>
          </w:tcPr>
          <w:p w14:paraId="5E191642"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5.2</w:t>
            </w:r>
          </w:p>
        </w:tc>
        <w:tc>
          <w:tcPr>
            <w:tcW w:w="7357" w:type="dxa"/>
            <w:shd w:val="clear" w:color="auto" w:fill="CCEEFF"/>
            <w:vAlign w:val="center"/>
          </w:tcPr>
          <w:p w14:paraId="0377CF4D"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Authorization.</w:t>
            </w:r>
          </w:p>
        </w:tc>
        <w:tc>
          <w:tcPr>
            <w:tcW w:w="455" w:type="dxa"/>
            <w:shd w:val="clear" w:color="auto" w:fill="CCEEFF"/>
            <w:vAlign w:val="center"/>
          </w:tcPr>
          <w:p w14:paraId="265870FA"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19</w:t>
            </w:r>
          </w:p>
        </w:tc>
      </w:tr>
      <w:tr w:rsidR="00E22AC0" w14:paraId="6BC657D0" w14:textId="77777777">
        <w:tc>
          <w:tcPr>
            <w:tcW w:w="447" w:type="dxa"/>
            <w:shd w:val="clear" w:color="auto" w:fill="FFFFFF"/>
            <w:vAlign w:val="center"/>
          </w:tcPr>
          <w:p w14:paraId="6503A366"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5.3</w:t>
            </w:r>
          </w:p>
        </w:tc>
        <w:tc>
          <w:tcPr>
            <w:tcW w:w="7357" w:type="dxa"/>
            <w:shd w:val="clear" w:color="auto" w:fill="FFFFFF"/>
            <w:vAlign w:val="center"/>
          </w:tcPr>
          <w:p w14:paraId="57A07744" w14:textId="77777777" w:rsidR="00E22AC0" w:rsidRDefault="00FC56F3">
            <w:pPr>
              <w:pStyle w:val="TableContents"/>
              <w:rPr>
                <w:rFonts w:ascii="Times New Roman;Times;Serif" w:hAnsi="Times New Roman;Times;Serif"/>
                <w:sz w:val="20"/>
              </w:rPr>
            </w:pPr>
            <w:proofErr w:type="spellStart"/>
            <w:r>
              <w:rPr>
                <w:rFonts w:ascii="Times New Roman;Times;Serif" w:hAnsi="Times New Roman;Times;Serif"/>
                <w:sz w:val="20"/>
              </w:rPr>
              <w:t>Noncontravention</w:t>
            </w:r>
            <w:proofErr w:type="spellEnd"/>
            <w:r>
              <w:rPr>
                <w:rFonts w:ascii="Times New Roman;Times;Serif" w:hAnsi="Times New Roman;Times;Serif"/>
                <w:sz w:val="20"/>
              </w:rPr>
              <w:t>.</w:t>
            </w:r>
          </w:p>
        </w:tc>
        <w:tc>
          <w:tcPr>
            <w:tcW w:w="455" w:type="dxa"/>
            <w:shd w:val="clear" w:color="auto" w:fill="FFFFFF"/>
            <w:vAlign w:val="center"/>
          </w:tcPr>
          <w:p w14:paraId="420C452B"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19</w:t>
            </w:r>
          </w:p>
        </w:tc>
      </w:tr>
    </w:tbl>
    <w:p w14:paraId="3323B48F" w14:textId="77777777" w:rsidR="00E22AC0" w:rsidRDefault="00FC56F3">
      <w:pPr>
        <w:pStyle w:val="a3"/>
      </w:pPr>
      <w:r>
        <w:t> </w:t>
      </w:r>
    </w:p>
    <w:p w14:paraId="7BD29E4C" w14:textId="77777777" w:rsidR="00E22AC0" w:rsidRDefault="00FC56F3">
      <w:pPr>
        <w:pStyle w:val="a3"/>
        <w:spacing w:after="0"/>
        <w:jc w:val="center"/>
        <w:rPr>
          <w:rFonts w:ascii="Times New Roman;Times;Serif" w:hAnsi="Times New Roman;Times;Serif"/>
          <w:sz w:val="20"/>
          <w:bdr w:val="single" w:sz="12" w:space="1" w:color="000000"/>
        </w:rPr>
      </w:pPr>
      <w:proofErr w:type="spellStart"/>
      <w:r>
        <w:rPr>
          <w:rFonts w:ascii="Times New Roman;Times;Serif" w:hAnsi="Times New Roman;Times;Serif"/>
          <w:sz w:val="20"/>
          <w:bdr w:val="single" w:sz="12" w:space="1" w:color="000000"/>
        </w:rPr>
        <w:t>i</w:t>
      </w:r>
      <w:proofErr w:type="spellEnd"/>
    </w:p>
    <w:p w14:paraId="5A0FCD55" w14:textId="77777777" w:rsidR="00E22AC0" w:rsidRDefault="00FC56F3">
      <w:pPr>
        <w:pStyle w:val="a3"/>
        <w:spacing w:after="0"/>
      </w:pPr>
      <w:r>
        <w:t> </w:t>
      </w:r>
    </w:p>
    <w:p w14:paraId="2B451C4F" w14:textId="77777777" w:rsidR="00E22AC0" w:rsidRDefault="00FC56F3">
      <w:pPr>
        <w:pStyle w:val="a3"/>
      </w:pPr>
      <w:r>
        <w:t> </w:t>
      </w:r>
    </w:p>
    <w:p w14:paraId="155BC1CB" w14:textId="77777777" w:rsidR="00E22AC0" w:rsidRDefault="00FC56F3">
      <w:pPr>
        <w:pStyle w:val="a3"/>
        <w:spacing w:after="0"/>
        <w:ind w:left="115" w:right="115"/>
        <w:jc w:val="center"/>
        <w:rPr>
          <w:rFonts w:ascii="Times New Roman;Times;Serif" w:hAnsi="Times New Roman;Times;Serif"/>
          <w:b/>
          <w:caps/>
          <w:sz w:val="20"/>
        </w:rPr>
      </w:pPr>
      <w:r>
        <w:rPr>
          <w:rFonts w:ascii="Times New Roman;Times;Serif" w:hAnsi="Times New Roman;Times;Serif"/>
          <w:b/>
          <w:caps/>
          <w:sz w:val="20"/>
        </w:rPr>
        <w:t>TABLE OF CONTENTS</w:t>
      </w:r>
    </w:p>
    <w:p w14:paraId="7C2639F8" w14:textId="77777777" w:rsidR="00E22AC0" w:rsidRDefault="00FC56F3">
      <w:pPr>
        <w:pStyle w:val="a3"/>
      </w:pPr>
      <w:r>
        <w:t> </w:t>
      </w:r>
    </w:p>
    <w:tbl>
      <w:tblPr>
        <w:tblW w:w="7734" w:type="dxa"/>
        <w:tblCellMar>
          <w:left w:w="0" w:type="dxa"/>
          <w:right w:w="0" w:type="dxa"/>
        </w:tblCellMar>
        <w:tblLook w:val="0000" w:firstRow="0" w:lastRow="0" w:firstColumn="0" w:lastColumn="0" w:noHBand="0" w:noVBand="0"/>
      </w:tblPr>
      <w:tblGrid>
        <w:gridCol w:w="627"/>
        <w:gridCol w:w="6652"/>
        <w:gridCol w:w="455"/>
      </w:tblGrid>
      <w:tr w:rsidR="00E22AC0" w14:paraId="128D2B2B" w14:textId="77777777">
        <w:tc>
          <w:tcPr>
            <w:tcW w:w="627" w:type="dxa"/>
            <w:vAlign w:val="center"/>
          </w:tcPr>
          <w:p w14:paraId="618AEC42" w14:textId="77777777" w:rsidR="00E22AC0" w:rsidRDefault="00FC56F3">
            <w:pPr>
              <w:pStyle w:val="TableContents"/>
            </w:pPr>
            <w:r>
              <w:t> </w:t>
            </w:r>
          </w:p>
        </w:tc>
        <w:tc>
          <w:tcPr>
            <w:tcW w:w="6652" w:type="dxa"/>
            <w:vAlign w:val="center"/>
          </w:tcPr>
          <w:p w14:paraId="299681E9" w14:textId="77777777" w:rsidR="00E22AC0" w:rsidRDefault="00FC56F3">
            <w:pPr>
              <w:pStyle w:val="TableContents"/>
            </w:pPr>
            <w:r>
              <w:t> </w:t>
            </w:r>
          </w:p>
        </w:tc>
        <w:tc>
          <w:tcPr>
            <w:tcW w:w="455" w:type="dxa"/>
            <w:tcBorders>
              <w:bottom w:val="single" w:sz="12" w:space="0" w:color="000000"/>
            </w:tcBorders>
            <w:tcMar>
              <w:bottom w:w="28" w:type="dxa"/>
            </w:tcMar>
            <w:vAlign w:val="center"/>
          </w:tcPr>
          <w:p w14:paraId="0E028AA2" w14:textId="77777777" w:rsidR="00E22AC0" w:rsidRDefault="00FC56F3">
            <w:pPr>
              <w:pStyle w:val="TableContents"/>
              <w:jc w:val="center"/>
              <w:rPr>
                <w:rFonts w:ascii="Times New Roman;Times;Serif" w:hAnsi="Times New Roman;Times;Serif"/>
                <w:b/>
                <w:sz w:val="20"/>
              </w:rPr>
            </w:pPr>
            <w:r>
              <w:rPr>
                <w:rFonts w:ascii="Times New Roman;Times;Serif" w:hAnsi="Times New Roman;Times;Serif"/>
                <w:b/>
                <w:sz w:val="20"/>
              </w:rPr>
              <w:t>Page</w:t>
            </w:r>
          </w:p>
        </w:tc>
      </w:tr>
      <w:tr w:rsidR="00E22AC0" w14:paraId="40D4CE56" w14:textId="77777777">
        <w:tc>
          <w:tcPr>
            <w:tcW w:w="627" w:type="dxa"/>
            <w:vAlign w:val="center"/>
          </w:tcPr>
          <w:p w14:paraId="4CBDBA95" w14:textId="77777777" w:rsidR="00E22AC0" w:rsidRDefault="00FC56F3">
            <w:pPr>
              <w:pStyle w:val="TableContents"/>
            </w:pPr>
            <w:r>
              <w:t> </w:t>
            </w:r>
          </w:p>
        </w:tc>
        <w:tc>
          <w:tcPr>
            <w:tcW w:w="6652" w:type="dxa"/>
            <w:vAlign w:val="center"/>
          </w:tcPr>
          <w:p w14:paraId="25ABB52E" w14:textId="77777777" w:rsidR="00E22AC0" w:rsidRDefault="00FC56F3">
            <w:pPr>
              <w:pStyle w:val="TableContents"/>
            </w:pPr>
            <w:r>
              <w:t> </w:t>
            </w:r>
          </w:p>
        </w:tc>
        <w:tc>
          <w:tcPr>
            <w:tcW w:w="455" w:type="dxa"/>
            <w:vAlign w:val="center"/>
          </w:tcPr>
          <w:p w14:paraId="47527163" w14:textId="77777777" w:rsidR="00E22AC0" w:rsidRDefault="00FC56F3">
            <w:pPr>
              <w:pStyle w:val="TableContents"/>
              <w:jc w:val="center"/>
            </w:pPr>
            <w:r>
              <w:t> </w:t>
            </w:r>
          </w:p>
        </w:tc>
      </w:tr>
      <w:tr w:rsidR="00E22AC0" w14:paraId="17612B13" w14:textId="77777777">
        <w:tc>
          <w:tcPr>
            <w:tcW w:w="7279" w:type="dxa"/>
            <w:gridSpan w:val="2"/>
            <w:shd w:val="clear" w:color="auto" w:fill="CCEEFF"/>
            <w:vAlign w:val="center"/>
          </w:tcPr>
          <w:p w14:paraId="3EFC9E3F" w14:textId="77777777" w:rsidR="00E22AC0" w:rsidRDefault="00FC56F3">
            <w:pPr>
              <w:pStyle w:val="TableContents"/>
              <w:rPr>
                <w:rFonts w:ascii="Times New Roman;Times;Serif" w:hAnsi="Times New Roman;Times;Serif"/>
                <w:b/>
                <w:caps/>
                <w:sz w:val="20"/>
              </w:rPr>
            </w:pPr>
            <w:r>
              <w:rPr>
                <w:rFonts w:ascii="Times New Roman;Times;Serif" w:hAnsi="Times New Roman;Times;Serif"/>
                <w:b/>
                <w:caps/>
                <w:sz w:val="20"/>
              </w:rPr>
              <w:t xml:space="preserve">ARTICLE VI REPRESENTATIONS AND </w:t>
            </w:r>
            <w:r>
              <w:rPr>
                <w:rFonts w:ascii="Times New Roman;Times;Serif" w:hAnsi="Times New Roman;Times;Serif"/>
                <w:b/>
                <w:caps/>
                <w:sz w:val="20"/>
              </w:rPr>
              <w:t>WARRANTIES OF THE BUYER PARENT</w:t>
            </w:r>
          </w:p>
        </w:tc>
        <w:tc>
          <w:tcPr>
            <w:tcW w:w="455" w:type="dxa"/>
            <w:shd w:val="clear" w:color="auto" w:fill="CCEEFF"/>
            <w:vAlign w:val="center"/>
          </w:tcPr>
          <w:p w14:paraId="7C4FAB07" w14:textId="77777777" w:rsidR="00E22AC0" w:rsidRDefault="00FC56F3">
            <w:pPr>
              <w:pStyle w:val="TableContents"/>
              <w:jc w:val="right"/>
              <w:rPr>
                <w:rFonts w:ascii="Times New Roman;Times;Serif" w:hAnsi="Times New Roman;Times;Serif"/>
                <w:b/>
                <w:caps/>
                <w:sz w:val="20"/>
              </w:rPr>
            </w:pPr>
            <w:r>
              <w:rPr>
                <w:rFonts w:ascii="Times New Roman;Times;Serif" w:hAnsi="Times New Roman;Times;Serif"/>
                <w:b/>
                <w:caps/>
                <w:sz w:val="20"/>
              </w:rPr>
              <w:t>20</w:t>
            </w:r>
          </w:p>
        </w:tc>
      </w:tr>
      <w:tr w:rsidR="00E22AC0" w14:paraId="5993ECCA" w14:textId="77777777">
        <w:tc>
          <w:tcPr>
            <w:tcW w:w="627" w:type="dxa"/>
            <w:shd w:val="clear" w:color="auto" w:fill="FFFFFF"/>
            <w:vAlign w:val="center"/>
          </w:tcPr>
          <w:p w14:paraId="05BE3160"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6.1</w:t>
            </w:r>
          </w:p>
        </w:tc>
        <w:tc>
          <w:tcPr>
            <w:tcW w:w="6652" w:type="dxa"/>
            <w:shd w:val="clear" w:color="auto" w:fill="FFFFFF"/>
            <w:vAlign w:val="center"/>
          </w:tcPr>
          <w:p w14:paraId="6C78EF90"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Organization.</w:t>
            </w:r>
          </w:p>
        </w:tc>
        <w:tc>
          <w:tcPr>
            <w:tcW w:w="455" w:type="dxa"/>
            <w:shd w:val="clear" w:color="auto" w:fill="FFFFFF"/>
            <w:vAlign w:val="center"/>
          </w:tcPr>
          <w:p w14:paraId="768B5049"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20</w:t>
            </w:r>
          </w:p>
        </w:tc>
      </w:tr>
      <w:tr w:rsidR="00E22AC0" w14:paraId="3A3FDCC9" w14:textId="77777777">
        <w:tc>
          <w:tcPr>
            <w:tcW w:w="627" w:type="dxa"/>
            <w:shd w:val="clear" w:color="auto" w:fill="CCEEFF"/>
            <w:vAlign w:val="center"/>
          </w:tcPr>
          <w:p w14:paraId="1AEFED5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6.2</w:t>
            </w:r>
          </w:p>
        </w:tc>
        <w:tc>
          <w:tcPr>
            <w:tcW w:w="6652" w:type="dxa"/>
            <w:shd w:val="clear" w:color="auto" w:fill="CCEEFF"/>
            <w:vAlign w:val="center"/>
          </w:tcPr>
          <w:p w14:paraId="01718C16"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Authorization.</w:t>
            </w:r>
          </w:p>
        </w:tc>
        <w:tc>
          <w:tcPr>
            <w:tcW w:w="455" w:type="dxa"/>
            <w:shd w:val="clear" w:color="auto" w:fill="CCEEFF"/>
            <w:vAlign w:val="center"/>
          </w:tcPr>
          <w:p w14:paraId="7C17DB2A"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20</w:t>
            </w:r>
          </w:p>
        </w:tc>
      </w:tr>
      <w:tr w:rsidR="00E22AC0" w14:paraId="427D76B3" w14:textId="77777777">
        <w:tc>
          <w:tcPr>
            <w:tcW w:w="627" w:type="dxa"/>
            <w:shd w:val="clear" w:color="auto" w:fill="FFFFFF"/>
            <w:vAlign w:val="center"/>
          </w:tcPr>
          <w:p w14:paraId="3F05DA12"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6.3</w:t>
            </w:r>
          </w:p>
        </w:tc>
        <w:tc>
          <w:tcPr>
            <w:tcW w:w="6652" w:type="dxa"/>
            <w:shd w:val="clear" w:color="auto" w:fill="FFFFFF"/>
            <w:vAlign w:val="center"/>
          </w:tcPr>
          <w:p w14:paraId="5E8BB037" w14:textId="77777777" w:rsidR="00E22AC0" w:rsidRDefault="00FC56F3">
            <w:pPr>
              <w:pStyle w:val="TableContents"/>
              <w:rPr>
                <w:rFonts w:ascii="Times New Roman;Times;Serif" w:hAnsi="Times New Roman;Times;Serif"/>
                <w:sz w:val="20"/>
              </w:rPr>
            </w:pPr>
            <w:proofErr w:type="spellStart"/>
            <w:r>
              <w:rPr>
                <w:rFonts w:ascii="Times New Roman;Times;Serif" w:hAnsi="Times New Roman;Times;Serif"/>
                <w:sz w:val="20"/>
              </w:rPr>
              <w:t>Noncontravention</w:t>
            </w:r>
            <w:proofErr w:type="spellEnd"/>
          </w:p>
        </w:tc>
        <w:tc>
          <w:tcPr>
            <w:tcW w:w="455" w:type="dxa"/>
            <w:shd w:val="clear" w:color="auto" w:fill="FFFFFF"/>
            <w:vAlign w:val="center"/>
          </w:tcPr>
          <w:p w14:paraId="2FF4195B"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20</w:t>
            </w:r>
          </w:p>
        </w:tc>
      </w:tr>
      <w:tr w:rsidR="00E22AC0" w14:paraId="483A9287" w14:textId="77777777">
        <w:tc>
          <w:tcPr>
            <w:tcW w:w="627" w:type="dxa"/>
            <w:shd w:val="clear" w:color="auto" w:fill="CCEEFF"/>
            <w:vAlign w:val="center"/>
          </w:tcPr>
          <w:p w14:paraId="623F852C"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6.4</w:t>
            </w:r>
          </w:p>
        </w:tc>
        <w:tc>
          <w:tcPr>
            <w:tcW w:w="6652" w:type="dxa"/>
            <w:shd w:val="clear" w:color="auto" w:fill="CCEEFF"/>
            <w:vAlign w:val="center"/>
          </w:tcPr>
          <w:p w14:paraId="39E4C226"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Capitalization.</w:t>
            </w:r>
          </w:p>
        </w:tc>
        <w:tc>
          <w:tcPr>
            <w:tcW w:w="455" w:type="dxa"/>
            <w:shd w:val="clear" w:color="auto" w:fill="CCEEFF"/>
            <w:vAlign w:val="center"/>
          </w:tcPr>
          <w:p w14:paraId="17F90B7E"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21</w:t>
            </w:r>
          </w:p>
        </w:tc>
      </w:tr>
      <w:tr w:rsidR="00E22AC0" w14:paraId="3959BD76" w14:textId="77777777">
        <w:tc>
          <w:tcPr>
            <w:tcW w:w="627" w:type="dxa"/>
            <w:shd w:val="clear" w:color="auto" w:fill="FFFFFF"/>
            <w:vAlign w:val="center"/>
          </w:tcPr>
          <w:p w14:paraId="0A140FE6"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6.5</w:t>
            </w:r>
          </w:p>
        </w:tc>
        <w:tc>
          <w:tcPr>
            <w:tcW w:w="6652" w:type="dxa"/>
            <w:shd w:val="clear" w:color="auto" w:fill="FFFFFF"/>
            <w:vAlign w:val="center"/>
          </w:tcPr>
          <w:p w14:paraId="3EB2AFA4"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Brokers’ Fees.</w:t>
            </w:r>
          </w:p>
        </w:tc>
        <w:tc>
          <w:tcPr>
            <w:tcW w:w="455" w:type="dxa"/>
            <w:shd w:val="clear" w:color="auto" w:fill="FFFFFF"/>
            <w:vAlign w:val="center"/>
          </w:tcPr>
          <w:p w14:paraId="6808EC2F"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21</w:t>
            </w:r>
          </w:p>
        </w:tc>
      </w:tr>
      <w:tr w:rsidR="00E22AC0" w14:paraId="7C158D6C" w14:textId="77777777">
        <w:tc>
          <w:tcPr>
            <w:tcW w:w="7279" w:type="dxa"/>
            <w:gridSpan w:val="2"/>
            <w:shd w:val="clear" w:color="auto" w:fill="CCEEFF"/>
            <w:vAlign w:val="center"/>
          </w:tcPr>
          <w:p w14:paraId="42C63168" w14:textId="77777777" w:rsidR="00E22AC0" w:rsidRDefault="00FC56F3">
            <w:pPr>
              <w:pStyle w:val="TableContents"/>
              <w:rPr>
                <w:rFonts w:ascii="Times New Roman;Times;Serif" w:hAnsi="Times New Roman;Times;Serif"/>
                <w:b/>
                <w:caps/>
                <w:sz w:val="20"/>
              </w:rPr>
            </w:pPr>
            <w:r>
              <w:rPr>
                <w:rFonts w:ascii="Times New Roman;Times;Serif" w:hAnsi="Times New Roman;Times;Serif"/>
                <w:b/>
                <w:caps/>
                <w:sz w:val="20"/>
              </w:rPr>
              <w:t>ARTICLE VII COVENANTS</w:t>
            </w:r>
          </w:p>
        </w:tc>
        <w:tc>
          <w:tcPr>
            <w:tcW w:w="455" w:type="dxa"/>
            <w:shd w:val="clear" w:color="auto" w:fill="CCEEFF"/>
            <w:vAlign w:val="center"/>
          </w:tcPr>
          <w:p w14:paraId="48623EF1" w14:textId="77777777" w:rsidR="00E22AC0" w:rsidRDefault="00FC56F3">
            <w:pPr>
              <w:pStyle w:val="TableContents"/>
              <w:jc w:val="right"/>
              <w:rPr>
                <w:rFonts w:ascii="Times New Roman;Times;Serif" w:hAnsi="Times New Roman;Times;Serif"/>
                <w:b/>
                <w:caps/>
                <w:sz w:val="20"/>
              </w:rPr>
            </w:pPr>
            <w:r>
              <w:rPr>
                <w:rFonts w:ascii="Times New Roman;Times;Serif" w:hAnsi="Times New Roman;Times;Serif"/>
                <w:b/>
                <w:caps/>
                <w:sz w:val="20"/>
              </w:rPr>
              <w:t>21</w:t>
            </w:r>
          </w:p>
        </w:tc>
      </w:tr>
      <w:tr w:rsidR="00E22AC0" w14:paraId="5C46F24D" w14:textId="77777777">
        <w:tc>
          <w:tcPr>
            <w:tcW w:w="627" w:type="dxa"/>
            <w:shd w:val="clear" w:color="auto" w:fill="FFFFFF"/>
            <w:vAlign w:val="center"/>
          </w:tcPr>
          <w:p w14:paraId="61DF5B5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7.1</w:t>
            </w:r>
          </w:p>
        </w:tc>
        <w:tc>
          <w:tcPr>
            <w:tcW w:w="6652" w:type="dxa"/>
            <w:shd w:val="clear" w:color="auto" w:fill="FFFFFF"/>
            <w:vAlign w:val="center"/>
          </w:tcPr>
          <w:p w14:paraId="50BF58F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Consents.</w:t>
            </w:r>
          </w:p>
        </w:tc>
        <w:tc>
          <w:tcPr>
            <w:tcW w:w="455" w:type="dxa"/>
            <w:shd w:val="clear" w:color="auto" w:fill="FFFFFF"/>
            <w:vAlign w:val="center"/>
          </w:tcPr>
          <w:p w14:paraId="57C5D9F2"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21</w:t>
            </w:r>
          </w:p>
        </w:tc>
      </w:tr>
      <w:tr w:rsidR="00E22AC0" w14:paraId="2AC71934" w14:textId="77777777">
        <w:tc>
          <w:tcPr>
            <w:tcW w:w="627" w:type="dxa"/>
            <w:shd w:val="clear" w:color="auto" w:fill="CCEEFF"/>
            <w:vAlign w:val="center"/>
          </w:tcPr>
          <w:p w14:paraId="28CA6890"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7.2</w:t>
            </w:r>
          </w:p>
        </w:tc>
        <w:tc>
          <w:tcPr>
            <w:tcW w:w="6652" w:type="dxa"/>
            <w:shd w:val="clear" w:color="auto" w:fill="CCEEFF"/>
            <w:vAlign w:val="center"/>
          </w:tcPr>
          <w:p w14:paraId="781A2810"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Operation of the Company’s Business.</w:t>
            </w:r>
          </w:p>
        </w:tc>
        <w:tc>
          <w:tcPr>
            <w:tcW w:w="455" w:type="dxa"/>
            <w:shd w:val="clear" w:color="auto" w:fill="CCEEFF"/>
            <w:vAlign w:val="center"/>
          </w:tcPr>
          <w:p w14:paraId="1E7FE028"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21</w:t>
            </w:r>
          </w:p>
        </w:tc>
      </w:tr>
      <w:tr w:rsidR="00E22AC0" w14:paraId="12A993C2" w14:textId="77777777">
        <w:tc>
          <w:tcPr>
            <w:tcW w:w="627" w:type="dxa"/>
            <w:shd w:val="clear" w:color="auto" w:fill="FFFFFF"/>
            <w:vAlign w:val="center"/>
          </w:tcPr>
          <w:p w14:paraId="331E9BFC"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7.3</w:t>
            </w:r>
          </w:p>
        </w:tc>
        <w:tc>
          <w:tcPr>
            <w:tcW w:w="6652" w:type="dxa"/>
            <w:shd w:val="clear" w:color="auto" w:fill="FFFFFF"/>
            <w:vAlign w:val="center"/>
          </w:tcPr>
          <w:p w14:paraId="3852DFF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Access.</w:t>
            </w:r>
          </w:p>
        </w:tc>
        <w:tc>
          <w:tcPr>
            <w:tcW w:w="455" w:type="dxa"/>
            <w:shd w:val="clear" w:color="auto" w:fill="FFFFFF"/>
            <w:vAlign w:val="center"/>
          </w:tcPr>
          <w:p w14:paraId="5E66391A"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22</w:t>
            </w:r>
          </w:p>
        </w:tc>
      </w:tr>
      <w:tr w:rsidR="00E22AC0" w14:paraId="6FF6F445" w14:textId="77777777">
        <w:tc>
          <w:tcPr>
            <w:tcW w:w="627" w:type="dxa"/>
            <w:shd w:val="clear" w:color="auto" w:fill="CCEEFF"/>
            <w:vAlign w:val="center"/>
          </w:tcPr>
          <w:p w14:paraId="0E962FE1"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7.4</w:t>
            </w:r>
          </w:p>
        </w:tc>
        <w:tc>
          <w:tcPr>
            <w:tcW w:w="6652" w:type="dxa"/>
            <w:shd w:val="clear" w:color="auto" w:fill="CCEEFF"/>
            <w:vAlign w:val="center"/>
          </w:tcPr>
          <w:p w14:paraId="32B7794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Transfer of Cash and Cash Equivalents.</w:t>
            </w:r>
          </w:p>
        </w:tc>
        <w:tc>
          <w:tcPr>
            <w:tcW w:w="455" w:type="dxa"/>
            <w:shd w:val="clear" w:color="auto" w:fill="CCEEFF"/>
            <w:vAlign w:val="center"/>
          </w:tcPr>
          <w:p w14:paraId="43B41E30"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22</w:t>
            </w:r>
          </w:p>
        </w:tc>
      </w:tr>
      <w:tr w:rsidR="00E22AC0" w14:paraId="3E143513" w14:textId="77777777">
        <w:tc>
          <w:tcPr>
            <w:tcW w:w="627" w:type="dxa"/>
            <w:shd w:val="clear" w:color="auto" w:fill="FFFFFF"/>
            <w:vAlign w:val="center"/>
          </w:tcPr>
          <w:p w14:paraId="7005FD4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7.5</w:t>
            </w:r>
          </w:p>
        </w:tc>
        <w:tc>
          <w:tcPr>
            <w:tcW w:w="6652" w:type="dxa"/>
            <w:shd w:val="clear" w:color="auto" w:fill="FFFFFF"/>
            <w:vAlign w:val="center"/>
          </w:tcPr>
          <w:p w14:paraId="30D2F466"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Notice of Developments.</w:t>
            </w:r>
          </w:p>
        </w:tc>
        <w:tc>
          <w:tcPr>
            <w:tcW w:w="455" w:type="dxa"/>
            <w:shd w:val="clear" w:color="auto" w:fill="FFFFFF"/>
            <w:vAlign w:val="center"/>
          </w:tcPr>
          <w:p w14:paraId="27F6B1EA"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23</w:t>
            </w:r>
          </w:p>
        </w:tc>
      </w:tr>
      <w:tr w:rsidR="00E22AC0" w14:paraId="3BAF1548" w14:textId="77777777">
        <w:tc>
          <w:tcPr>
            <w:tcW w:w="627" w:type="dxa"/>
            <w:shd w:val="clear" w:color="auto" w:fill="CCEEFF"/>
            <w:vAlign w:val="center"/>
          </w:tcPr>
          <w:p w14:paraId="2844F64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7.6</w:t>
            </w:r>
          </w:p>
        </w:tc>
        <w:tc>
          <w:tcPr>
            <w:tcW w:w="6652" w:type="dxa"/>
            <w:shd w:val="clear" w:color="auto" w:fill="CCEEFF"/>
            <w:vAlign w:val="center"/>
          </w:tcPr>
          <w:p w14:paraId="78A94D4C"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No Solicitation.</w:t>
            </w:r>
          </w:p>
        </w:tc>
        <w:tc>
          <w:tcPr>
            <w:tcW w:w="455" w:type="dxa"/>
            <w:shd w:val="clear" w:color="auto" w:fill="CCEEFF"/>
            <w:vAlign w:val="center"/>
          </w:tcPr>
          <w:p w14:paraId="12074357"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23</w:t>
            </w:r>
          </w:p>
        </w:tc>
      </w:tr>
      <w:tr w:rsidR="00E22AC0" w14:paraId="3A859CBF" w14:textId="77777777">
        <w:tc>
          <w:tcPr>
            <w:tcW w:w="627" w:type="dxa"/>
            <w:shd w:val="clear" w:color="auto" w:fill="FFFFFF"/>
            <w:vAlign w:val="center"/>
          </w:tcPr>
          <w:p w14:paraId="46D0393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7.7</w:t>
            </w:r>
          </w:p>
        </w:tc>
        <w:tc>
          <w:tcPr>
            <w:tcW w:w="6652" w:type="dxa"/>
            <w:shd w:val="clear" w:color="auto" w:fill="FFFFFF"/>
            <w:vAlign w:val="center"/>
          </w:tcPr>
          <w:p w14:paraId="3D30709D"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Confidentiality</w:t>
            </w:r>
          </w:p>
        </w:tc>
        <w:tc>
          <w:tcPr>
            <w:tcW w:w="455" w:type="dxa"/>
            <w:shd w:val="clear" w:color="auto" w:fill="FFFFFF"/>
            <w:vAlign w:val="center"/>
          </w:tcPr>
          <w:p w14:paraId="065D0B42"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23</w:t>
            </w:r>
          </w:p>
        </w:tc>
      </w:tr>
      <w:tr w:rsidR="00E22AC0" w14:paraId="3C337A66" w14:textId="77777777">
        <w:tc>
          <w:tcPr>
            <w:tcW w:w="627" w:type="dxa"/>
            <w:shd w:val="clear" w:color="auto" w:fill="CCEEFF"/>
            <w:vAlign w:val="center"/>
          </w:tcPr>
          <w:p w14:paraId="32DB26F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7.8</w:t>
            </w:r>
          </w:p>
        </w:tc>
        <w:tc>
          <w:tcPr>
            <w:tcW w:w="6652" w:type="dxa"/>
            <w:shd w:val="clear" w:color="auto" w:fill="CCEEFF"/>
            <w:vAlign w:val="center"/>
          </w:tcPr>
          <w:p w14:paraId="1C7210C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Taking of Necessary Action; Further Action; Taxes.</w:t>
            </w:r>
          </w:p>
        </w:tc>
        <w:tc>
          <w:tcPr>
            <w:tcW w:w="455" w:type="dxa"/>
            <w:shd w:val="clear" w:color="auto" w:fill="CCEEFF"/>
            <w:vAlign w:val="center"/>
          </w:tcPr>
          <w:p w14:paraId="5EFA1CE6"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23</w:t>
            </w:r>
          </w:p>
        </w:tc>
      </w:tr>
      <w:tr w:rsidR="00E22AC0" w14:paraId="4BCFAA65" w14:textId="77777777">
        <w:tc>
          <w:tcPr>
            <w:tcW w:w="627" w:type="dxa"/>
            <w:shd w:val="clear" w:color="auto" w:fill="FFFFFF"/>
            <w:vAlign w:val="center"/>
          </w:tcPr>
          <w:p w14:paraId="1DEB628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7.9</w:t>
            </w:r>
          </w:p>
        </w:tc>
        <w:tc>
          <w:tcPr>
            <w:tcW w:w="6652" w:type="dxa"/>
            <w:shd w:val="clear" w:color="auto" w:fill="FFFFFF"/>
            <w:vAlign w:val="center"/>
          </w:tcPr>
          <w:p w14:paraId="6A30068C"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Payroll Protection Plan Loan.</w:t>
            </w:r>
          </w:p>
        </w:tc>
        <w:tc>
          <w:tcPr>
            <w:tcW w:w="455" w:type="dxa"/>
            <w:shd w:val="clear" w:color="auto" w:fill="FFFFFF"/>
            <w:vAlign w:val="center"/>
          </w:tcPr>
          <w:p w14:paraId="4F780E76"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24</w:t>
            </w:r>
          </w:p>
        </w:tc>
      </w:tr>
      <w:tr w:rsidR="00E22AC0" w14:paraId="40D5D0E7" w14:textId="77777777">
        <w:tc>
          <w:tcPr>
            <w:tcW w:w="627" w:type="dxa"/>
            <w:shd w:val="clear" w:color="auto" w:fill="CCEEFF"/>
            <w:vAlign w:val="center"/>
          </w:tcPr>
          <w:p w14:paraId="78C8C33F"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7.10</w:t>
            </w:r>
          </w:p>
        </w:tc>
        <w:tc>
          <w:tcPr>
            <w:tcW w:w="6652" w:type="dxa"/>
            <w:shd w:val="clear" w:color="auto" w:fill="CCEEFF"/>
            <w:vAlign w:val="center"/>
          </w:tcPr>
          <w:p w14:paraId="48F750E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Covenant not to Compete.</w:t>
            </w:r>
          </w:p>
        </w:tc>
        <w:tc>
          <w:tcPr>
            <w:tcW w:w="455" w:type="dxa"/>
            <w:shd w:val="clear" w:color="auto" w:fill="CCEEFF"/>
            <w:vAlign w:val="center"/>
          </w:tcPr>
          <w:p w14:paraId="52E89CD7"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24</w:t>
            </w:r>
          </w:p>
        </w:tc>
      </w:tr>
      <w:tr w:rsidR="00E22AC0" w14:paraId="027597B4" w14:textId="77777777">
        <w:tc>
          <w:tcPr>
            <w:tcW w:w="627" w:type="dxa"/>
            <w:shd w:val="clear" w:color="auto" w:fill="FFFFFF"/>
            <w:vAlign w:val="center"/>
          </w:tcPr>
          <w:p w14:paraId="65BBFDDD"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7.12</w:t>
            </w:r>
          </w:p>
        </w:tc>
        <w:tc>
          <w:tcPr>
            <w:tcW w:w="6652" w:type="dxa"/>
            <w:shd w:val="clear" w:color="auto" w:fill="FFFFFF"/>
            <w:vAlign w:val="center"/>
          </w:tcPr>
          <w:p w14:paraId="78070037"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Financial Information.</w:t>
            </w:r>
          </w:p>
        </w:tc>
        <w:tc>
          <w:tcPr>
            <w:tcW w:w="455" w:type="dxa"/>
            <w:shd w:val="clear" w:color="auto" w:fill="FFFFFF"/>
            <w:vAlign w:val="center"/>
          </w:tcPr>
          <w:p w14:paraId="3FA044A1"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25</w:t>
            </w:r>
          </w:p>
        </w:tc>
      </w:tr>
      <w:tr w:rsidR="00E22AC0" w14:paraId="01BFD424" w14:textId="77777777">
        <w:tc>
          <w:tcPr>
            <w:tcW w:w="627" w:type="dxa"/>
            <w:shd w:val="clear" w:color="auto" w:fill="CCEEFF"/>
            <w:vAlign w:val="center"/>
          </w:tcPr>
          <w:p w14:paraId="7449853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7.13</w:t>
            </w:r>
          </w:p>
        </w:tc>
        <w:tc>
          <w:tcPr>
            <w:tcW w:w="6652" w:type="dxa"/>
            <w:shd w:val="clear" w:color="auto" w:fill="CCEEFF"/>
            <w:vAlign w:val="center"/>
          </w:tcPr>
          <w:p w14:paraId="438985D9"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Disclosure Schedule.</w:t>
            </w:r>
          </w:p>
        </w:tc>
        <w:tc>
          <w:tcPr>
            <w:tcW w:w="455" w:type="dxa"/>
            <w:shd w:val="clear" w:color="auto" w:fill="CCEEFF"/>
            <w:vAlign w:val="center"/>
          </w:tcPr>
          <w:p w14:paraId="0DE0BD03"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25</w:t>
            </w:r>
          </w:p>
        </w:tc>
      </w:tr>
      <w:tr w:rsidR="00E22AC0" w14:paraId="62C7C4CD" w14:textId="77777777">
        <w:tc>
          <w:tcPr>
            <w:tcW w:w="7279" w:type="dxa"/>
            <w:gridSpan w:val="2"/>
            <w:shd w:val="clear" w:color="auto" w:fill="FFFFFF"/>
            <w:vAlign w:val="center"/>
          </w:tcPr>
          <w:p w14:paraId="373A1776" w14:textId="77777777" w:rsidR="00E22AC0" w:rsidRDefault="00FC56F3">
            <w:pPr>
              <w:pStyle w:val="TableContents"/>
              <w:rPr>
                <w:rFonts w:ascii="Times New Roman;Times;Serif" w:hAnsi="Times New Roman;Times;Serif"/>
                <w:b/>
                <w:caps/>
                <w:sz w:val="20"/>
              </w:rPr>
            </w:pPr>
            <w:r>
              <w:rPr>
                <w:rFonts w:ascii="Times New Roman;Times;Serif" w:hAnsi="Times New Roman;Times;Serif"/>
                <w:b/>
                <w:caps/>
                <w:sz w:val="20"/>
              </w:rPr>
              <w:t>ARTICLE VIII CONDITIONS TO OBLIGATIONS TO CLOSE</w:t>
            </w:r>
          </w:p>
        </w:tc>
        <w:tc>
          <w:tcPr>
            <w:tcW w:w="455" w:type="dxa"/>
            <w:shd w:val="clear" w:color="auto" w:fill="FFFFFF"/>
            <w:vAlign w:val="center"/>
          </w:tcPr>
          <w:p w14:paraId="4AA2CE0E" w14:textId="77777777" w:rsidR="00E22AC0" w:rsidRDefault="00FC56F3">
            <w:pPr>
              <w:pStyle w:val="TableContents"/>
              <w:jc w:val="right"/>
              <w:rPr>
                <w:rFonts w:ascii="Times New Roman;Times;Serif" w:hAnsi="Times New Roman;Times;Serif"/>
                <w:b/>
                <w:caps/>
                <w:sz w:val="20"/>
              </w:rPr>
            </w:pPr>
            <w:r>
              <w:rPr>
                <w:rFonts w:ascii="Times New Roman;Times;Serif" w:hAnsi="Times New Roman;Times;Serif"/>
                <w:b/>
                <w:caps/>
                <w:sz w:val="20"/>
              </w:rPr>
              <w:t>25</w:t>
            </w:r>
          </w:p>
        </w:tc>
      </w:tr>
      <w:tr w:rsidR="00E22AC0" w14:paraId="06D86DE5" w14:textId="77777777">
        <w:tc>
          <w:tcPr>
            <w:tcW w:w="627" w:type="dxa"/>
            <w:shd w:val="clear" w:color="auto" w:fill="CCEEFF"/>
            <w:vAlign w:val="center"/>
          </w:tcPr>
          <w:p w14:paraId="24D5E4E2"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8.1</w:t>
            </w:r>
          </w:p>
        </w:tc>
        <w:tc>
          <w:tcPr>
            <w:tcW w:w="6652" w:type="dxa"/>
            <w:shd w:val="clear" w:color="auto" w:fill="CCEEFF"/>
            <w:vAlign w:val="center"/>
          </w:tcPr>
          <w:p w14:paraId="3CBA87F8"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Conditions to Obligation of the Buyer.</w:t>
            </w:r>
          </w:p>
        </w:tc>
        <w:tc>
          <w:tcPr>
            <w:tcW w:w="455" w:type="dxa"/>
            <w:shd w:val="clear" w:color="auto" w:fill="CCEEFF"/>
            <w:vAlign w:val="center"/>
          </w:tcPr>
          <w:p w14:paraId="5AFF1513"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25</w:t>
            </w:r>
          </w:p>
        </w:tc>
      </w:tr>
      <w:tr w:rsidR="00E22AC0" w14:paraId="70A7BAAB" w14:textId="77777777">
        <w:tc>
          <w:tcPr>
            <w:tcW w:w="627" w:type="dxa"/>
            <w:shd w:val="clear" w:color="auto" w:fill="FFFFFF"/>
            <w:vAlign w:val="center"/>
          </w:tcPr>
          <w:p w14:paraId="37FCA490"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8.2</w:t>
            </w:r>
          </w:p>
        </w:tc>
        <w:tc>
          <w:tcPr>
            <w:tcW w:w="6652" w:type="dxa"/>
            <w:shd w:val="clear" w:color="auto" w:fill="FFFFFF"/>
            <w:vAlign w:val="center"/>
          </w:tcPr>
          <w:p w14:paraId="7241EEE4"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Conditions to Obligation of the Sellers.</w:t>
            </w:r>
          </w:p>
        </w:tc>
        <w:tc>
          <w:tcPr>
            <w:tcW w:w="455" w:type="dxa"/>
            <w:shd w:val="clear" w:color="auto" w:fill="FFFFFF"/>
            <w:vAlign w:val="center"/>
          </w:tcPr>
          <w:p w14:paraId="6676A513"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27</w:t>
            </w:r>
          </w:p>
        </w:tc>
      </w:tr>
      <w:tr w:rsidR="00E22AC0" w14:paraId="5031BC6F" w14:textId="77777777">
        <w:tc>
          <w:tcPr>
            <w:tcW w:w="7279" w:type="dxa"/>
            <w:gridSpan w:val="2"/>
            <w:shd w:val="clear" w:color="auto" w:fill="CCEEFF"/>
            <w:vAlign w:val="center"/>
          </w:tcPr>
          <w:p w14:paraId="6DB11A1E" w14:textId="77777777" w:rsidR="00E22AC0" w:rsidRDefault="00FC56F3">
            <w:pPr>
              <w:pStyle w:val="TableContents"/>
              <w:rPr>
                <w:rFonts w:ascii="Times New Roman;Times;Serif" w:hAnsi="Times New Roman;Times;Serif"/>
                <w:b/>
                <w:caps/>
                <w:sz w:val="20"/>
              </w:rPr>
            </w:pPr>
            <w:r>
              <w:rPr>
                <w:rFonts w:ascii="Times New Roman;Times;Serif" w:hAnsi="Times New Roman;Times;Serif"/>
                <w:b/>
                <w:caps/>
                <w:sz w:val="20"/>
              </w:rPr>
              <w:t xml:space="preserve">ARTICLE IX </w:t>
            </w:r>
            <w:r>
              <w:rPr>
                <w:rFonts w:ascii="Times New Roman;Times;Serif" w:hAnsi="Times New Roman;Times;Serif"/>
                <w:b/>
                <w:caps/>
                <w:sz w:val="20"/>
              </w:rPr>
              <w:t>TERMINATION; AMENDMENT; WAIVER</w:t>
            </w:r>
          </w:p>
        </w:tc>
        <w:tc>
          <w:tcPr>
            <w:tcW w:w="455" w:type="dxa"/>
            <w:shd w:val="clear" w:color="auto" w:fill="CCEEFF"/>
            <w:vAlign w:val="center"/>
          </w:tcPr>
          <w:p w14:paraId="3E43F599" w14:textId="77777777" w:rsidR="00E22AC0" w:rsidRDefault="00FC56F3">
            <w:pPr>
              <w:pStyle w:val="TableContents"/>
              <w:jc w:val="right"/>
              <w:rPr>
                <w:rFonts w:ascii="Times New Roman;Times;Serif" w:hAnsi="Times New Roman;Times;Serif"/>
                <w:b/>
                <w:caps/>
                <w:sz w:val="20"/>
              </w:rPr>
            </w:pPr>
            <w:r>
              <w:rPr>
                <w:rFonts w:ascii="Times New Roman;Times;Serif" w:hAnsi="Times New Roman;Times;Serif"/>
                <w:b/>
                <w:caps/>
                <w:sz w:val="20"/>
              </w:rPr>
              <w:t>28</w:t>
            </w:r>
          </w:p>
        </w:tc>
      </w:tr>
      <w:tr w:rsidR="00E22AC0" w14:paraId="5F95C7D4" w14:textId="77777777">
        <w:tc>
          <w:tcPr>
            <w:tcW w:w="627" w:type="dxa"/>
            <w:shd w:val="clear" w:color="auto" w:fill="FFFFFF"/>
            <w:vAlign w:val="center"/>
          </w:tcPr>
          <w:p w14:paraId="1F16BD9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9.1</w:t>
            </w:r>
          </w:p>
        </w:tc>
        <w:tc>
          <w:tcPr>
            <w:tcW w:w="6652" w:type="dxa"/>
            <w:shd w:val="clear" w:color="auto" w:fill="FFFFFF"/>
            <w:vAlign w:val="center"/>
          </w:tcPr>
          <w:p w14:paraId="4674772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Termination of Agreement.</w:t>
            </w:r>
          </w:p>
        </w:tc>
        <w:tc>
          <w:tcPr>
            <w:tcW w:w="455" w:type="dxa"/>
            <w:shd w:val="clear" w:color="auto" w:fill="FFFFFF"/>
            <w:vAlign w:val="center"/>
          </w:tcPr>
          <w:p w14:paraId="7D0C6543"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28</w:t>
            </w:r>
          </w:p>
        </w:tc>
      </w:tr>
      <w:tr w:rsidR="00E22AC0" w14:paraId="693DA0E5" w14:textId="77777777">
        <w:tc>
          <w:tcPr>
            <w:tcW w:w="627" w:type="dxa"/>
            <w:shd w:val="clear" w:color="auto" w:fill="CCEEFF"/>
            <w:vAlign w:val="center"/>
          </w:tcPr>
          <w:p w14:paraId="10200009"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9.2</w:t>
            </w:r>
          </w:p>
        </w:tc>
        <w:tc>
          <w:tcPr>
            <w:tcW w:w="6652" w:type="dxa"/>
            <w:shd w:val="clear" w:color="auto" w:fill="CCEEFF"/>
            <w:vAlign w:val="center"/>
          </w:tcPr>
          <w:p w14:paraId="36AE21F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Effect of Termination.</w:t>
            </w:r>
          </w:p>
        </w:tc>
        <w:tc>
          <w:tcPr>
            <w:tcW w:w="455" w:type="dxa"/>
            <w:shd w:val="clear" w:color="auto" w:fill="CCEEFF"/>
            <w:vAlign w:val="center"/>
          </w:tcPr>
          <w:p w14:paraId="51594875"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28</w:t>
            </w:r>
          </w:p>
        </w:tc>
      </w:tr>
      <w:tr w:rsidR="00E22AC0" w14:paraId="505EA26D" w14:textId="77777777">
        <w:tc>
          <w:tcPr>
            <w:tcW w:w="627" w:type="dxa"/>
            <w:shd w:val="clear" w:color="auto" w:fill="FFFFFF"/>
            <w:vAlign w:val="center"/>
          </w:tcPr>
          <w:p w14:paraId="7C525CB6"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9.3</w:t>
            </w:r>
          </w:p>
        </w:tc>
        <w:tc>
          <w:tcPr>
            <w:tcW w:w="6652" w:type="dxa"/>
            <w:shd w:val="clear" w:color="auto" w:fill="FFFFFF"/>
            <w:vAlign w:val="center"/>
          </w:tcPr>
          <w:p w14:paraId="7EBBA50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Amendments.</w:t>
            </w:r>
          </w:p>
        </w:tc>
        <w:tc>
          <w:tcPr>
            <w:tcW w:w="455" w:type="dxa"/>
            <w:shd w:val="clear" w:color="auto" w:fill="FFFFFF"/>
            <w:vAlign w:val="center"/>
          </w:tcPr>
          <w:p w14:paraId="7FB7FC7F"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28</w:t>
            </w:r>
          </w:p>
        </w:tc>
      </w:tr>
      <w:tr w:rsidR="00E22AC0" w14:paraId="0B04E44D" w14:textId="77777777">
        <w:tc>
          <w:tcPr>
            <w:tcW w:w="627" w:type="dxa"/>
            <w:shd w:val="clear" w:color="auto" w:fill="CCEEFF"/>
            <w:vAlign w:val="center"/>
          </w:tcPr>
          <w:p w14:paraId="598A070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9.4</w:t>
            </w:r>
          </w:p>
        </w:tc>
        <w:tc>
          <w:tcPr>
            <w:tcW w:w="6652" w:type="dxa"/>
            <w:shd w:val="clear" w:color="auto" w:fill="CCEEFF"/>
            <w:vAlign w:val="center"/>
          </w:tcPr>
          <w:p w14:paraId="1F3CE380"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Waiver.</w:t>
            </w:r>
          </w:p>
        </w:tc>
        <w:tc>
          <w:tcPr>
            <w:tcW w:w="455" w:type="dxa"/>
            <w:shd w:val="clear" w:color="auto" w:fill="CCEEFF"/>
            <w:vAlign w:val="center"/>
          </w:tcPr>
          <w:p w14:paraId="7DF0694F"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28</w:t>
            </w:r>
          </w:p>
        </w:tc>
      </w:tr>
      <w:tr w:rsidR="00E22AC0" w14:paraId="5690EF3D" w14:textId="77777777">
        <w:tc>
          <w:tcPr>
            <w:tcW w:w="7279" w:type="dxa"/>
            <w:gridSpan w:val="2"/>
            <w:shd w:val="clear" w:color="auto" w:fill="FFFFFF"/>
            <w:vAlign w:val="center"/>
          </w:tcPr>
          <w:p w14:paraId="55B72754" w14:textId="77777777" w:rsidR="00E22AC0" w:rsidRDefault="00FC56F3">
            <w:pPr>
              <w:pStyle w:val="TableContents"/>
              <w:rPr>
                <w:rFonts w:ascii="Times New Roman;Times;Serif" w:hAnsi="Times New Roman;Times;Serif"/>
                <w:b/>
                <w:caps/>
                <w:sz w:val="20"/>
              </w:rPr>
            </w:pPr>
            <w:r>
              <w:rPr>
                <w:rFonts w:ascii="Times New Roman;Times;Serif" w:hAnsi="Times New Roman;Times;Serif"/>
                <w:b/>
                <w:caps/>
                <w:sz w:val="20"/>
              </w:rPr>
              <w:t>ARTICLE X INDEMNIFICATION</w:t>
            </w:r>
          </w:p>
        </w:tc>
        <w:tc>
          <w:tcPr>
            <w:tcW w:w="455" w:type="dxa"/>
            <w:shd w:val="clear" w:color="auto" w:fill="FFFFFF"/>
            <w:vAlign w:val="center"/>
          </w:tcPr>
          <w:p w14:paraId="6E6C94AF" w14:textId="77777777" w:rsidR="00E22AC0" w:rsidRDefault="00FC56F3">
            <w:pPr>
              <w:pStyle w:val="TableContents"/>
              <w:jc w:val="right"/>
              <w:rPr>
                <w:rFonts w:ascii="Times New Roman;Times;Serif" w:hAnsi="Times New Roman;Times;Serif"/>
                <w:b/>
                <w:caps/>
                <w:sz w:val="20"/>
              </w:rPr>
            </w:pPr>
            <w:r>
              <w:rPr>
                <w:rFonts w:ascii="Times New Roman;Times;Serif" w:hAnsi="Times New Roman;Times;Serif"/>
                <w:b/>
                <w:caps/>
                <w:sz w:val="20"/>
              </w:rPr>
              <w:t>29</w:t>
            </w:r>
          </w:p>
        </w:tc>
      </w:tr>
      <w:tr w:rsidR="00E22AC0" w14:paraId="6497A9C8" w14:textId="77777777">
        <w:tc>
          <w:tcPr>
            <w:tcW w:w="627" w:type="dxa"/>
            <w:shd w:val="clear" w:color="auto" w:fill="CCEEFF"/>
            <w:vAlign w:val="center"/>
          </w:tcPr>
          <w:p w14:paraId="1136E622"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10.1</w:t>
            </w:r>
          </w:p>
        </w:tc>
        <w:tc>
          <w:tcPr>
            <w:tcW w:w="6652" w:type="dxa"/>
            <w:shd w:val="clear" w:color="auto" w:fill="CCEEFF"/>
            <w:vAlign w:val="center"/>
          </w:tcPr>
          <w:p w14:paraId="02275A3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Survival.</w:t>
            </w:r>
          </w:p>
        </w:tc>
        <w:tc>
          <w:tcPr>
            <w:tcW w:w="455" w:type="dxa"/>
            <w:shd w:val="clear" w:color="auto" w:fill="CCEEFF"/>
            <w:vAlign w:val="center"/>
          </w:tcPr>
          <w:p w14:paraId="3ABC4B0B"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29</w:t>
            </w:r>
          </w:p>
        </w:tc>
      </w:tr>
      <w:tr w:rsidR="00E22AC0" w14:paraId="51B6FCF8" w14:textId="77777777">
        <w:tc>
          <w:tcPr>
            <w:tcW w:w="627" w:type="dxa"/>
            <w:shd w:val="clear" w:color="auto" w:fill="FFFFFF"/>
            <w:vAlign w:val="center"/>
          </w:tcPr>
          <w:p w14:paraId="295944C2"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10.2</w:t>
            </w:r>
          </w:p>
        </w:tc>
        <w:tc>
          <w:tcPr>
            <w:tcW w:w="6652" w:type="dxa"/>
            <w:shd w:val="clear" w:color="auto" w:fill="FFFFFF"/>
            <w:vAlign w:val="center"/>
          </w:tcPr>
          <w:p w14:paraId="60AF9DE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Indemnification by Sellers.</w:t>
            </w:r>
          </w:p>
        </w:tc>
        <w:tc>
          <w:tcPr>
            <w:tcW w:w="455" w:type="dxa"/>
            <w:shd w:val="clear" w:color="auto" w:fill="FFFFFF"/>
            <w:vAlign w:val="center"/>
          </w:tcPr>
          <w:p w14:paraId="4C4A193C"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29</w:t>
            </w:r>
          </w:p>
        </w:tc>
      </w:tr>
      <w:tr w:rsidR="00E22AC0" w14:paraId="42BB5B15" w14:textId="77777777">
        <w:tc>
          <w:tcPr>
            <w:tcW w:w="627" w:type="dxa"/>
            <w:shd w:val="clear" w:color="auto" w:fill="CCEEFF"/>
            <w:vAlign w:val="center"/>
          </w:tcPr>
          <w:p w14:paraId="74139EB1"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10.3</w:t>
            </w:r>
          </w:p>
        </w:tc>
        <w:tc>
          <w:tcPr>
            <w:tcW w:w="6652" w:type="dxa"/>
            <w:shd w:val="clear" w:color="auto" w:fill="CCEEFF"/>
            <w:vAlign w:val="center"/>
          </w:tcPr>
          <w:p w14:paraId="2FBBDC0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Indemnification by Buyer.</w:t>
            </w:r>
          </w:p>
        </w:tc>
        <w:tc>
          <w:tcPr>
            <w:tcW w:w="455" w:type="dxa"/>
            <w:shd w:val="clear" w:color="auto" w:fill="CCEEFF"/>
            <w:vAlign w:val="center"/>
          </w:tcPr>
          <w:p w14:paraId="54F47F10"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29</w:t>
            </w:r>
          </w:p>
        </w:tc>
      </w:tr>
      <w:tr w:rsidR="00E22AC0" w14:paraId="32EC11D8" w14:textId="77777777">
        <w:tc>
          <w:tcPr>
            <w:tcW w:w="627" w:type="dxa"/>
            <w:shd w:val="clear" w:color="auto" w:fill="FFFFFF"/>
            <w:vAlign w:val="center"/>
          </w:tcPr>
          <w:p w14:paraId="28A21F67"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10.4</w:t>
            </w:r>
          </w:p>
        </w:tc>
        <w:tc>
          <w:tcPr>
            <w:tcW w:w="6652" w:type="dxa"/>
            <w:shd w:val="clear" w:color="auto" w:fill="FFFFFF"/>
            <w:vAlign w:val="center"/>
          </w:tcPr>
          <w:p w14:paraId="6E9B8609"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Indemnification Procedure.</w:t>
            </w:r>
          </w:p>
        </w:tc>
        <w:tc>
          <w:tcPr>
            <w:tcW w:w="455" w:type="dxa"/>
            <w:shd w:val="clear" w:color="auto" w:fill="FFFFFF"/>
            <w:vAlign w:val="center"/>
          </w:tcPr>
          <w:p w14:paraId="5F71FC62"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30</w:t>
            </w:r>
          </w:p>
        </w:tc>
      </w:tr>
      <w:tr w:rsidR="00E22AC0" w14:paraId="7029E53D" w14:textId="77777777">
        <w:tc>
          <w:tcPr>
            <w:tcW w:w="627" w:type="dxa"/>
            <w:shd w:val="clear" w:color="auto" w:fill="CCEEFF"/>
            <w:vAlign w:val="center"/>
          </w:tcPr>
          <w:p w14:paraId="257567EF"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10.5</w:t>
            </w:r>
          </w:p>
        </w:tc>
        <w:tc>
          <w:tcPr>
            <w:tcW w:w="6652" w:type="dxa"/>
            <w:shd w:val="clear" w:color="auto" w:fill="CCEEFF"/>
            <w:vAlign w:val="center"/>
          </w:tcPr>
          <w:p w14:paraId="2420F4D9"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Failure to Give Timely Notice.</w:t>
            </w:r>
          </w:p>
        </w:tc>
        <w:tc>
          <w:tcPr>
            <w:tcW w:w="455" w:type="dxa"/>
            <w:shd w:val="clear" w:color="auto" w:fill="CCEEFF"/>
            <w:vAlign w:val="center"/>
          </w:tcPr>
          <w:p w14:paraId="1F5DE514"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30</w:t>
            </w:r>
          </w:p>
        </w:tc>
      </w:tr>
      <w:tr w:rsidR="00E22AC0" w14:paraId="150655FB" w14:textId="77777777">
        <w:tc>
          <w:tcPr>
            <w:tcW w:w="627" w:type="dxa"/>
            <w:shd w:val="clear" w:color="auto" w:fill="FFFFFF"/>
            <w:vAlign w:val="center"/>
          </w:tcPr>
          <w:p w14:paraId="124C3F1D"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10.6</w:t>
            </w:r>
          </w:p>
        </w:tc>
        <w:tc>
          <w:tcPr>
            <w:tcW w:w="6652" w:type="dxa"/>
            <w:shd w:val="clear" w:color="auto" w:fill="FFFFFF"/>
            <w:vAlign w:val="center"/>
          </w:tcPr>
          <w:p w14:paraId="121DE90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Limited on Indemnification Obligation.</w:t>
            </w:r>
          </w:p>
        </w:tc>
        <w:tc>
          <w:tcPr>
            <w:tcW w:w="455" w:type="dxa"/>
            <w:shd w:val="clear" w:color="auto" w:fill="FFFFFF"/>
            <w:vAlign w:val="center"/>
          </w:tcPr>
          <w:p w14:paraId="2081221C"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31</w:t>
            </w:r>
          </w:p>
        </w:tc>
      </w:tr>
      <w:tr w:rsidR="00E22AC0" w14:paraId="5D04C32E" w14:textId="77777777">
        <w:tc>
          <w:tcPr>
            <w:tcW w:w="627" w:type="dxa"/>
            <w:shd w:val="clear" w:color="auto" w:fill="CCEEFF"/>
            <w:vAlign w:val="center"/>
          </w:tcPr>
          <w:p w14:paraId="2F1D2E70"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10.7</w:t>
            </w:r>
          </w:p>
        </w:tc>
        <w:tc>
          <w:tcPr>
            <w:tcW w:w="6652" w:type="dxa"/>
            <w:shd w:val="clear" w:color="auto" w:fill="CCEEFF"/>
            <w:vAlign w:val="center"/>
          </w:tcPr>
          <w:p w14:paraId="0D8B57A1"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Payments.</w:t>
            </w:r>
          </w:p>
        </w:tc>
        <w:tc>
          <w:tcPr>
            <w:tcW w:w="455" w:type="dxa"/>
            <w:shd w:val="clear" w:color="auto" w:fill="CCEEFF"/>
            <w:vAlign w:val="center"/>
          </w:tcPr>
          <w:p w14:paraId="35AD8645"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31</w:t>
            </w:r>
          </w:p>
        </w:tc>
      </w:tr>
      <w:tr w:rsidR="00E22AC0" w14:paraId="4A56EB1C" w14:textId="77777777">
        <w:tc>
          <w:tcPr>
            <w:tcW w:w="7279" w:type="dxa"/>
            <w:gridSpan w:val="2"/>
            <w:shd w:val="clear" w:color="auto" w:fill="FFFFFF"/>
            <w:vAlign w:val="center"/>
          </w:tcPr>
          <w:p w14:paraId="1AC0ABCE" w14:textId="77777777" w:rsidR="00E22AC0" w:rsidRDefault="00FC56F3">
            <w:pPr>
              <w:pStyle w:val="TableContents"/>
            </w:pPr>
            <w:r>
              <w:rPr>
                <w:rFonts w:ascii="Times New Roman;Times;Serif" w:hAnsi="Times New Roman;Times;Serif"/>
                <w:b/>
                <w:caps/>
                <w:sz w:val="20"/>
              </w:rPr>
              <w:t>ARTICLE XI MISCELLANEOUS</w:t>
            </w:r>
            <w:r>
              <w:t xml:space="preserve"> </w:t>
            </w:r>
          </w:p>
        </w:tc>
        <w:tc>
          <w:tcPr>
            <w:tcW w:w="455" w:type="dxa"/>
            <w:shd w:val="clear" w:color="auto" w:fill="FFFFFF"/>
            <w:vAlign w:val="center"/>
          </w:tcPr>
          <w:p w14:paraId="6C8BCD7B" w14:textId="77777777" w:rsidR="00E22AC0" w:rsidRDefault="00FC56F3">
            <w:pPr>
              <w:pStyle w:val="TableContents"/>
              <w:jc w:val="right"/>
              <w:rPr>
                <w:rFonts w:ascii="Times New Roman;Times;Serif" w:hAnsi="Times New Roman;Times;Serif"/>
                <w:b/>
                <w:caps/>
                <w:sz w:val="20"/>
              </w:rPr>
            </w:pPr>
            <w:r>
              <w:rPr>
                <w:rFonts w:ascii="Times New Roman;Times;Serif" w:hAnsi="Times New Roman;Times;Serif"/>
                <w:b/>
                <w:caps/>
                <w:sz w:val="20"/>
              </w:rPr>
              <w:t>31</w:t>
            </w:r>
          </w:p>
        </w:tc>
      </w:tr>
      <w:tr w:rsidR="00E22AC0" w14:paraId="2210C14C" w14:textId="77777777">
        <w:tc>
          <w:tcPr>
            <w:tcW w:w="627" w:type="dxa"/>
            <w:shd w:val="clear" w:color="auto" w:fill="CCEEFF"/>
            <w:vAlign w:val="center"/>
          </w:tcPr>
          <w:p w14:paraId="03865BB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11.1</w:t>
            </w:r>
          </w:p>
        </w:tc>
        <w:tc>
          <w:tcPr>
            <w:tcW w:w="6652" w:type="dxa"/>
            <w:shd w:val="clear" w:color="auto" w:fill="CCEEFF"/>
            <w:vAlign w:val="center"/>
          </w:tcPr>
          <w:p w14:paraId="5479BE2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 xml:space="preserve">Press Releases and Public </w:t>
            </w:r>
            <w:r>
              <w:rPr>
                <w:rFonts w:ascii="Times New Roman;Times;Serif" w:hAnsi="Times New Roman;Times;Serif"/>
                <w:sz w:val="20"/>
              </w:rPr>
              <w:t>Announcement.</w:t>
            </w:r>
          </w:p>
        </w:tc>
        <w:tc>
          <w:tcPr>
            <w:tcW w:w="455" w:type="dxa"/>
            <w:shd w:val="clear" w:color="auto" w:fill="CCEEFF"/>
            <w:vAlign w:val="center"/>
          </w:tcPr>
          <w:p w14:paraId="5D806788"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31</w:t>
            </w:r>
          </w:p>
        </w:tc>
      </w:tr>
      <w:tr w:rsidR="00E22AC0" w14:paraId="4B04D514" w14:textId="77777777">
        <w:tc>
          <w:tcPr>
            <w:tcW w:w="627" w:type="dxa"/>
            <w:shd w:val="clear" w:color="auto" w:fill="FFFFFF"/>
            <w:vAlign w:val="center"/>
          </w:tcPr>
          <w:p w14:paraId="77D441D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11.2</w:t>
            </w:r>
          </w:p>
        </w:tc>
        <w:tc>
          <w:tcPr>
            <w:tcW w:w="6652" w:type="dxa"/>
            <w:shd w:val="clear" w:color="auto" w:fill="FFFFFF"/>
            <w:vAlign w:val="center"/>
          </w:tcPr>
          <w:p w14:paraId="24EFE9DF"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No Third-Party Beneficiaries.</w:t>
            </w:r>
          </w:p>
        </w:tc>
        <w:tc>
          <w:tcPr>
            <w:tcW w:w="455" w:type="dxa"/>
            <w:shd w:val="clear" w:color="auto" w:fill="FFFFFF"/>
            <w:vAlign w:val="center"/>
          </w:tcPr>
          <w:p w14:paraId="22EBCC2E"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31</w:t>
            </w:r>
          </w:p>
        </w:tc>
      </w:tr>
      <w:tr w:rsidR="00E22AC0" w14:paraId="3F7C0CE0" w14:textId="77777777">
        <w:tc>
          <w:tcPr>
            <w:tcW w:w="627" w:type="dxa"/>
            <w:shd w:val="clear" w:color="auto" w:fill="CCEEFF"/>
            <w:vAlign w:val="center"/>
          </w:tcPr>
          <w:p w14:paraId="136F4E57"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11.3</w:t>
            </w:r>
          </w:p>
        </w:tc>
        <w:tc>
          <w:tcPr>
            <w:tcW w:w="6652" w:type="dxa"/>
            <w:shd w:val="clear" w:color="auto" w:fill="CCEEFF"/>
            <w:vAlign w:val="center"/>
          </w:tcPr>
          <w:p w14:paraId="301D0C90"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Entire Agreement.</w:t>
            </w:r>
          </w:p>
        </w:tc>
        <w:tc>
          <w:tcPr>
            <w:tcW w:w="455" w:type="dxa"/>
            <w:shd w:val="clear" w:color="auto" w:fill="CCEEFF"/>
            <w:vAlign w:val="center"/>
          </w:tcPr>
          <w:p w14:paraId="6577C98D"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31</w:t>
            </w:r>
          </w:p>
        </w:tc>
      </w:tr>
      <w:tr w:rsidR="00E22AC0" w14:paraId="5006A7DC" w14:textId="77777777">
        <w:tc>
          <w:tcPr>
            <w:tcW w:w="627" w:type="dxa"/>
            <w:shd w:val="clear" w:color="auto" w:fill="FFFFFF"/>
            <w:vAlign w:val="center"/>
          </w:tcPr>
          <w:p w14:paraId="1506C15F"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11.4</w:t>
            </w:r>
          </w:p>
        </w:tc>
        <w:tc>
          <w:tcPr>
            <w:tcW w:w="6652" w:type="dxa"/>
            <w:shd w:val="clear" w:color="auto" w:fill="FFFFFF"/>
            <w:vAlign w:val="center"/>
          </w:tcPr>
          <w:p w14:paraId="3F3524BD"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Succession and Assignment.</w:t>
            </w:r>
          </w:p>
        </w:tc>
        <w:tc>
          <w:tcPr>
            <w:tcW w:w="455" w:type="dxa"/>
            <w:shd w:val="clear" w:color="auto" w:fill="FFFFFF"/>
            <w:vAlign w:val="center"/>
          </w:tcPr>
          <w:p w14:paraId="74CF4E95"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31</w:t>
            </w:r>
          </w:p>
        </w:tc>
      </w:tr>
      <w:tr w:rsidR="00E22AC0" w14:paraId="3D4A6E52" w14:textId="77777777">
        <w:tc>
          <w:tcPr>
            <w:tcW w:w="627" w:type="dxa"/>
            <w:shd w:val="clear" w:color="auto" w:fill="CCEEFF"/>
            <w:vAlign w:val="center"/>
          </w:tcPr>
          <w:p w14:paraId="2A6274F8"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11.5</w:t>
            </w:r>
          </w:p>
        </w:tc>
        <w:tc>
          <w:tcPr>
            <w:tcW w:w="6652" w:type="dxa"/>
            <w:shd w:val="clear" w:color="auto" w:fill="CCEEFF"/>
            <w:vAlign w:val="center"/>
          </w:tcPr>
          <w:p w14:paraId="1E2E23F7"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Construction.</w:t>
            </w:r>
          </w:p>
        </w:tc>
        <w:tc>
          <w:tcPr>
            <w:tcW w:w="455" w:type="dxa"/>
            <w:shd w:val="clear" w:color="auto" w:fill="CCEEFF"/>
            <w:vAlign w:val="center"/>
          </w:tcPr>
          <w:p w14:paraId="6B267459"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32</w:t>
            </w:r>
          </w:p>
        </w:tc>
      </w:tr>
      <w:tr w:rsidR="00E22AC0" w14:paraId="56AC1624" w14:textId="77777777">
        <w:tc>
          <w:tcPr>
            <w:tcW w:w="627" w:type="dxa"/>
            <w:shd w:val="clear" w:color="auto" w:fill="FFFFFF"/>
            <w:vAlign w:val="center"/>
          </w:tcPr>
          <w:p w14:paraId="6B77208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11.6</w:t>
            </w:r>
          </w:p>
        </w:tc>
        <w:tc>
          <w:tcPr>
            <w:tcW w:w="6652" w:type="dxa"/>
            <w:shd w:val="clear" w:color="auto" w:fill="FFFFFF"/>
            <w:vAlign w:val="center"/>
          </w:tcPr>
          <w:p w14:paraId="54277B4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Notices.</w:t>
            </w:r>
          </w:p>
        </w:tc>
        <w:tc>
          <w:tcPr>
            <w:tcW w:w="455" w:type="dxa"/>
            <w:shd w:val="clear" w:color="auto" w:fill="FFFFFF"/>
            <w:vAlign w:val="center"/>
          </w:tcPr>
          <w:p w14:paraId="09B09761"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32</w:t>
            </w:r>
          </w:p>
        </w:tc>
      </w:tr>
      <w:tr w:rsidR="00E22AC0" w14:paraId="0F8CA15B" w14:textId="77777777">
        <w:tc>
          <w:tcPr>
            <w:tcW w:w="627" w:type="dxa"/>
            <w:shd w:val="clear" w:color="auto" w:fill="CCEEFF"/>
            <w:vAlign w:val="center"/>
          </w:tcPr>
          <w:p w14:paraId="22DA3BDF"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11.7</w:t>
            </w:r>
          </w:p>
        </w:tc>
        <w:tc>
          <w:tcPr>
            <w:tcW w:w="6652" w:type="dxa"/>
            <w:shd w:val="clear" w:color="auto" w:fill="CCEEFF"/>
            <w:vAlign w:val="center"/>
          </w:tcPr>
          <w:p w14:paraId="293796D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Governing Law.</w:t>
            </w:r>
          </w:p>
        </w:tc>
        <w:tc>
          <w:tcPr>
            <w:tcW w:w="455" w:type="dxa"/>
            <w:shd w:val="clear" w:color="auto" w:fill="CCEEFF"/>
            <w:vAlign w:val="center"/>
          </w:tcPr>
          <w:p w14:paraId="54A315EA"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33</w:t>
            </w:r>
          </w:p>
        </w:tc>
      </w:tr>
    </w:tbl>
    <w:p w14:paraId="2116D064" w14:textId="77777777" w:rsidR="00E22AC0" w:rsidRDefault="00FC56F3">
      <w:pPr>
        <w:pStyle w:val="a3"/>
      </w:pPr>
      <w:r>
        <w:t> </w:t>
      </w:r>
    </w:p>
    <w:p w14:paraId="034545E1" w14:textId="77777777" w:rsidR="00E22AC0" w:rsidRDefault="00FC56F3">
      <w:pPr>
        <w:pStyle w:val="a3"/>
        <w:spacing w:after="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ii</w:t>
      </w:r>
    </w:p>
    <w:p w14:paraId="13966909" w14:textId="77777777" w:rsidR="00E22AC0" w:rsidRDefault="00FC56F3">
      <w:pPr>
        <w:pStyle w:val="a3"/>
        <w:spacing w:after="0"/>
      </w:pPr>
      <w:r>
        <w:lastRenderedPageBreak/>
        <w:t> </w:t>
      </w:r>
    </w:p>
    <w:p w14:paraId="0C483CC4" w14:textId="77777777" w:rsidR="00E22AC0" w:rsidRDefault="00FC56F3">
      <w:pPr>
        <w:pStyle w:val="a3"/>
      </w:pPr>
      <w:r>
        <w:t> </w:t>
      </w:r>
    </w:p>
    <w:p w14:paraId="4A4FE20D" w14:textId="77777777" w:rsidR="00E22AC0" w:rsidRDefault="00FC56F3">
      <w:pPr>
        <w:pStyle w:val="a3"/>
        <w:spacing w:after="0"/>
        <w:ind w:left="115" w:right="115"/>
        <w:jc w:val="center"/>
        <w:rPr>
          <w:rFonts w:ascii="Times New Roman;Times;Serif" w:hAnsi="Times New Roman;Times;Serif"/>
          <w:b/>
          <w:caps/>
          <w:sz w:val="20"/>
        </w:rPr>
      </w:pPr>
      <w:r>
        <w:rPr>
          <w:rFonts w:ascii="Times New Roman;Times;Serif" w:hAnsi="Times New Roman;Times;Serif"/>
          <w:b/>
          <w:caps/>
          <w:sz w:val="20"/>
        </w:rPr>
        <w:t>TABLE OF CONTENTS</w:t>
      </w:r>
    </w:p>
    <w:p w14:paraId="759FE50F" w14:textId="77777777" w:rsidR="00E22AC0" w:rsidRDefault="00FC56F3">
      <w:pPr>
        <w:pStyle w:val="a3"/>
      </w:pPr>
      <w:r>
        <w:t> </w:t>
      </w:r>
    </w:p>
    <w:tbl>
      <w:tblPr>
        <w:tblW w:w="4755" w:type="dxa"/>
        <w:tblCellMar>
          <w:left w:w="0" w:type="dxa"/>
          <w:right w:w="0" w:type="dxa"/>
        </w:tblCellMar>
        <w:tblLook w:val="0000" w:firstRow="0" w:lastRow="0" w:firstColumn="0" w:lastColumn="0" w:noHBand="0" w:noVBand="0"/>
      </w:tblPr>
      <w:tblGrid>
        <w:gridCol w:w="500"/>
        <w:gridCol w:w="3800"/>
        <w:gridCol w:w="455"/>
      </w:tblGrid>
      <w:tr w:rsidR="00E22AC0" w14:paraId="6F9F7ACF" w14:textId="77777777">
        <w:tc>
          <w:tcPr>
            <w:tcW w:w="500" w:type="dxa"/>
            <w:vAlign w:val="center"/>
          </w:tcPr>
          <w:p w14:paraId="12237693" w14:textId="77777777" w:rsidR="00E22AC0" w:rsidRDefault="00FC56F3">
            <w:pPr>
              <w:pStyle w:val="TableContents"/>
            </w:pPr>
            <w:r>
              <w:t> </w:t>
            </w:r>
          </w:p>
        </w:tc>
        <w:tc>
          <w:tcPr>
            <w:tcW w:w="3800" w:type="dxa"/>
            <w:vAlign w:val="center"/>
          </w:tcPr>
          <w:p w14:paraId="75889E45" w14:textId="77777777" w:rsidR="00E22AC0" w:rsidRDefault="00FC56F3">
            <w:pPr>
              <w:pStyle w:val="TableContents"/>
            </w:pPr>
            <w:r>
              <w:t> </w:t>
            </w:r>
          </w:p>
        </w:tc>
        <w:tc>
          <w:tcPr>
            <w:tcW w:w="455" w:type="dxa"/>
            <w:tcBorders>
              <w:bottom w:val="single" w:sz="12" w:space="0" w:color="000000"/>
            </w:tcBorders>
            <w:tcMar>
              <w:bottom w:w="28" w:type="dxa"/>
            </w:tcMar>
            <w:vAlign w:val="center"/>
          </w:tcPr>
          <w:p w14:paraId="152CB81A" w14:textId="77777777" w:rsidR="00E22AC0" w:rsidRDefault="00FC56F3">
            <w:pPr>
              <w:pStyle w:val="TableContents"/>
              <w:jc w:val="center"/>
              <w:rPr>
                <w:rFonts w:ascii="Times New Roman;Times;Serif" w:hAnsi="Times New Roman;Times;Serif"/>
                <w:b/>
                <w:sz w:val="20"/>
              </w:rPr>
            </w:pPr>
            <w:r>
              <w:rPr>
                <w:rFonts w:ascii="Times New Roman;Times;Serif" w:hAnsi="Times New Roman;Times;Serif"/>
                <w:b/>
                <w:sz w:val="20"/>
              </w:rPr>
              <w:t>Page</w:t>
            </w:r>
          </w:p>
        </w:tc>
      </w:tr>
      <w:tr w:rsidR="00E22AC0" w14:paraId="62EA53DB" w14:textId="77777777">
        <w:tc>
          <w:tcPr>
            <w:tcW w:w="500" w:type="dxa"/>
            <w:vAlign w:val="center"/>
          </w:tcPr>
          <w:p w14:paraId="54374E56" w14:textId="77777777" w:rsidR="00E22AC0" w:rsidRDefault="00FC56F3">
            <w:pPr>
              <w:pStyle w:val="TableContents"/>
            </w:pPr>
            <w:r>
              <w:t> </w:t>
            </w:r>
          </w:p>
        </w:tc>
        <w:tc>
          <w:tcPr>
            <w:tcW w:w="3800" w:type="dxa"/>
            <w:vAlign w:val="center"/>
          </w:tcPr>
          <w:p w14:paraId="68C50BE3" w14:textId="77777777" w:rsidR="00E22AC0" w:rsidRDefault="00FC56F3">
            <w:pPr>
              <w:pStyle w:val="TableContents"/>
            </w:pPr>
            <w:r>
              <w:t> </w:t>
            </w:r>
          </w:p>
        </w:tc>
        <w:tc>
          <w:tcPr>
            <w:tcW w:w="455" w:type="dxa"/>
            <w:vAlign w:val="center"/>
          </w:tcPr>
          <w:p w14:paraId="6A65EAB7" w14:textId="77777777" w:rsidR="00E22AC0" w:rsidRDefault="00FC56F3">
            <w:pPr>
              <w:pStyle w:val="TableContents"/>
              <w:jc w:val="center"/>
            </w:pPr>
            <w:r>
              <w:t> </w:t>
            </w:r>
          </w:p>
        </w:tc>
      </w:tr>
      <w:tr w:rsidR="00E22AC0" w14:paraId="04B3E679" w14:textId="77777777">
        <w:tc>
          <w:tcPr>
            <w:tcW w:w="500" w:type="dxa"/>
            <w:shd w:val="clear" w:color="auto" w:fill="CCEEFF"/>
            <w:vAlign w:val="center"/>
          </w:tcPr>
          <w:p w14:paraId="529FEF8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11.8</w:t>
            </w:r>
          </w:p>
        </w:tc>
        <w:tc>
          <w:tcPr>
            <w:tcW w:w="3800" w:type="dxa"/>
            <w:shd w:val="clear" w:color="auto" w:fill="CCEEFF"/>
            <w:vAlign w:val="center"/>
          </w:tcPr>
          <w:p w14:paraId="5CB5926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 xml:space="preserve">Consent to </w:t>
            </w:r>
            <w:r>
              <w:rPr>
                <w:rFonts w:ascii="Times New Roman;Times;Serif" w:hAnsi="Times New Roman;Times;Serif"/>
                <w:sz w:val="20"/>
              </w:rPr>
              <w:t>Jurisdiction and Service of Process.</w:t>
            </w:r>
          </w:p>
        </w:tc>
        <w:tc>
          <w:tcPr>
            <w:tcW w:w="455" w:type="dxa"/>
            <w:shd w:val="clear" w:color="auto" w:fill="CCEEFF"/>
            <w:vAlign w:val="center"/>
          </w:tcPr>
          <w:p w14:paraId="3CBEF46E"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33</w:t>
            </w:r>
          </w:p>
        </w:tc>
      </w:tr>
      <w:tr w:rsidR="00E22AC0" w14:paraId="0ACBACDD" w14:textId="77777777">
        <w:tc>
          <w:tcPr>
            <w:tcW w:w="500" w:type="dxa"/>
            <w:shd w:val="clear" w:color="auto" w:fill="FFFFFF"/>
            <w:vAlign w:val="center"/>
          </w:tcPr>
          <w:p w14:paraId="049D6084"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11.9</w:t>
            </w:r>
          </w:p>
        </w:tc>
        <w:tc>
          <w:tcPr>
            <w:tcW w:w="3800" w:type="dxa"/>
            <w:shd w:val="clear" w:color="auto" w:fill="FFFFFF"/>
            <w:vAlign w:val="center"/>
          </w:tcPr>
          <w:p w14:paraId="248C500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Headings.</w:t>
            </w:r>
          </w:p>
        </w:tc>
        <w:tc>
          <w:tcPr>
            <w:tcW w:w="455" w:type="dxa"/>
            <w:shd w:val="clear" w:color="auto" w:fill="FFFFFF"/>
            <w:vAlign w:val="center"/>
          </w:tcPr>
          <w:p w14:paraId="35E7704B"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34</w:t>
            </w:r>
          </w:p>
        </w:tc>
      </w:tr>
      <w:tr w:rsidR="00E22AC0" w14:paraId="5BA53EA9" w14:textId="77777777">
        <w:tc>
          <w:tcPr>
            <w:tcW w:w="500" w:type="dxa"/>
            <w:shd w:val="clear" w:color="auto" w:fill="CCEEFF"/>
            <w:vAlign w:val="center"/>
          </w:tcPr>
          <w:p w14:paraId="42B355E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11.10</w:t>
            </w:r>
          </w:p>
        </w:tc>
        <w:tc>
          <w:tcPr>
            <w:tcW w:w="3800" w:type="dxa"/>
            <w:shd w:val="clear" w:color="auto" w:fill="CCEEFF"/>
            <w:vAlign w:val="center"/>
          </w:tcPr>
          <w:p w14:paraId="74F4556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Severability.</w:t>
            </w:r>
          </w:p>
        </w:tc>
        <w:tc>
          <w:tcPr>
            <w:tcW w:w="455" w:type="dxa"/>
            <w:shd w:val="clear" w:color="auto" w:fill="CCEEFF"/>
            <w:vAlign w:val="center"/>
          </w:tcPr>
          <w:p w14:paraId="5C7DA80F"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34</w:t>
            </w:r>
          </w:p>
        </w:tc>
      </w:tr>
      <w:tr w:rsidR="00E22AC0" w14:paraId="4715EAA1" w14:textId="77777777">
        <w:tc>
          <w:tcPr>
            <w:tcW w:w="500" w:type="dxa"/>
            <w:shd w:val="clear" w:color="auto" w:fill="FFFFFF"/>
            <w:vAlign w:val="center"/>
          </w:tcPr>
          <w:p w14:paraId="6D61B2D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11.11</w:t>
            </w:r>
          </w:p>
        </w:tc>
        <w:tc>
          <w:tcPr>
            <w:tcW w:w="3800" w:type="dxa"/>
            <w:shd w:val="clear" w:color="auto" w:fill="FFFFFF"/>
            <w:vAlign w:val="center"/>
          </w:tcPr>
          <w:p w14:paraId="5817771D"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Expenses.</w:t>
            </w:r>
          </w:p>
        </w:tc>
        <w:tc>
          <w:tcPr>
            <w:tcW w:w="455" w:type="dxa"/>
            <w:shd w:val="clear" w:color="auto" w:fill="FFFFFF"/>
            <w:vAlign w:val="center"/>
          </w:tcPr>
          <w:p w14:paraId="1741819C"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34</w:t>
            </w:r>
          </w:p>
        </w:tc>
      </w:tr>
      <w:tr w:rsidR="00E22AC0" w14:paraId="045B479F" w14:textId="77777777">
        <w:tc>
          <w:tcPr>
            <w:tcW w:w="500" w:type="dxa"/>
            <w:shd w:val="clear" w:color="auto" w:fill="CCEEFF"/>
            <w:vAlign w:val="center"/>
          </w:tcPr>
          <w:p w14:paraId="2ED6FBBB"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11.12</w:t>
            </w:r>
          </w:p>
        </w:tc>
        <w:tc>
          <w:tcPr>
            <w:tcW w:w="3800" w:type="dxa"/>
            <w:shd w:val="clear" w:color="auto" w:fill="CCEEFF"/>
            <w:vAlign w:val="center"/>
          </w:tcPr>
          <w:p w14:paraId="0883F53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Incorporation of Exhibits and Schedules.</w:t>
            </w:r>
          </w:p>
        </w:tc>
        <w:tc>
          <w:tcPr>
            <w:tcW w:w="455" w:type="dxa"/>
            <w:shd w:val="clear" w:color="auto" w:fill="CCEEFF"/>
            <w:vAlign w:val="center"/>
          </w:tcPr>
          <w:p w14:paraId="49635FB4"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34</w:t>
            </w:r>
          </w:p>
        </w:tc>
      </w:tr>
      <w:tr w:rsidR="00E22AC0" w14:paraId="4EF364E9" w14:textId="77777777">
        <w:tc>
          <w:tcPr>
            <w:tcW w:w="500" w:type="dxa"/>
            <w:shd w:val="clear" w:color="auto" w:fill="FFFFFF"/>
            <w:vAlign w:val="center"/>
          </w:tcPr>
          <w:p w14:paraId="3CD7605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11.13</w:t>
            </w:r>
          </w:p>
        </w:tc>
        <w:tc>
          <w:tcPr>
            <w:tcW w:w="3800" w:type="dxa"/>
            <w:shd w:val="clear" w:color="auto" w:fill="FFFFFF"/>
            <w:vAlign w:val="center"/>
          </w:tcPr>
          <w:p w14:paraId="2D97278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Specific Performance.</w:t>
            </w:r>
          </w:p>
        </w:tc>
        <w:tc>
          <w:tcPr>
            <w:tcW w:w="455" w:type="dxa"/>
            <w:shd w:val="clear" w:color="auto" w:fill="FFFFFF"/>
            <w:vAlign w:val="center"/>
          </w:tcPr>
          <w:p w14:paraId="1AD3EB37"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34</w:t>
            </w:r>
          </w:p>
        </w:tc>
      </w:tr>
      <w:tr w:rsidR="00E22AC0" w14:paraId="4CFDBCF4" w14:textId="77777777">
        <w:tc>
          <w:tcPr>
            <w:tcW w:w="500" w:type="dxa"/>
            <w:shd w:val="clear" w:color="auto" w:fill="CCEEFF"/>
            <w:vAlign w:val="center"/>
          </w:tcPr>
          <w:p w14:paraId="6A7326D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11.14</w:t>
            </w:r>
          </w:p>
        </w:tc>
        <w:tc>
          <w:tcPr>
            <w:tcW w:w="3800" w:type="dxa"/>
            <w:shd w:val="clear" w:color="auto" w:fill="CCEEFF"/>
            <w:vAlign w:val="center"/>
          </w:tcPr>
          <w:p w14:paraId="5EA705E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Counterparts.</w:t>
            </w:r>
          </w:p>
        </w:tc>
        <w:tc>
          <w:tcPr>
            <w:tcW w:w="455" w:type="dxa"/>
            <w:shd w:val="clear" w:color="auto" w:fill="CCEEFF"/>
            <w:vAlign w:val="center"/>
          </w:tcPr>
          <w:p w14:paraId="4899BD3E" w14:textId="77777777" w:rsidR="00E22AC0" w:rsidRDefault="00FC56F3">
            <w:pPr>
              <w:pStyle w:val="TableContents"/>
              <w:jc w:val="right"/>
              <w:rPr>
                <w:rFonts w:ascii="Times New Roman;Times;Serif" w:hAnsi="Times New Roman;Times;Serif"/>
                <w:sz w:val="20"/>
              </w:rPr>
            </w:pPr>
            <w:r>
              <w:rPr>
                <w:rFonts w:ascii="Times New Roman;Times;Serif" w:hAnsi="Times New Roman;Times;Serif"/>
                <w:sz w:val="20"/>
              </w:rPr>
              <w:t>34</w:t>
            </w:r>
          </w:p>
        </w:tc>
      </w:tr>
    </w:tbl>
    <w:p w14:paraId="3D46B6C8" w14:textId="77777777" w:rsidR="00E22AC0" w:rsidRDefault="00FC56F3">
      <w:pPr>
        <w:pStyle w:val="a3"/>
        <w:spacing w:after="0"/>
        <w:ind w:left="115" w:right="115"/>
      </w:pPr>
      <w:r>
        <w:t> </w:t>
      </w:r>
    </w:p>
    <w:tbl>
      <w:tblPr>
        <w:tblW w:w="4670" w:type="dxa"/>
        <w:tblCellMar>
          <w:left w:w="0" w:type="dxa"/>
          <w:right w:w="0" w:type="dxa"/>
        </w:tblCellMar>
        <w:tblLook w:val="0000" w:firstRow="0" w:lastRow="0" w:firstColumn="0" w:lastColumn="0" w:noHBand="0" w:noVBand="0"/>
      </w:tblPr>
      <w:tblGrid>
        <w:gridCol w:w="4670"/>
      </w:tblGrid>
      <w:tr w:rsidR="00E22AC0" w14:paraId="6CF14A02" w14:textId="77777777">
        <w:tc>
          <w:tcPr>
            <w:tcW w:w="4670" w:type="dxa"/>
            <w:shd w:val="clear" w:color="auto" w:fill="CCEEFF"/>
            <w:vAlign w:val="center"/>
          </w:tcPr>
          <w:p w14:paraId="5CDEDDD6" w14:textId="77777777" w:rsidR="00E22AC0" w:rsidRDefault="00FC56F3">
            <w:pPr>
              <w:pStyle w:val="TableContents"/>
              <w:jc w:val="both"/>
              <w:rPr>
                <w:sz w:val="20"/>
              </w:rPr>
            </w:pPr>
            <w:r>
              <w:rPr>
                <w:sz w:val="20"/>
              </w:rPr>
              <w:t>Exhibit A – List of Sellers</w:t>
            </w:r>
          </w:p>
        </w:tc>
      </w:tr>
      <w:tr w:rsidR="00E22AC0" w14:paraId="49DE2397" w14:textId="77777777">
        <w:tc>
          <w:tcPr>
            <w:tcW w:w="4670" w:type="dxa"/>
            <w:shd w:val="clear" w:color="auto" w:fill="FFFFFF"/>
            <w:vAlign w:val="center"/>
          </w:tcPr>
          <w:p w14:paraId="7FB124CF" w14:textId="77777777" w:rsidR="00E22AC0" w:rsidRDefault="00FC56F3">
            <w:pPr>
              <w:pStyle w:val="TableContents"/>
              <w:jc w:val="both"/>
              <w:rPr>
                <w:sz w:val="20"/>
              </w:rPr>
            </w:pPr>
            <w:r>
              <w:rPr>
                <w:sz w:val="20"/>
              </w:rPr>
              <w:t xml:space="preserve">Exhibit B - </w:t>
            </w:r>
            <w:r>
              <w:rPr>
                <w:sz w:val="20"/>
              </w:rPr>
              <w:t>Example of Net Working Capital Calculation</w:t>
            </w:r>
          </w:p>
        </w:tc>
      </w:tr>
      <w:tr w:rsidR="00E22AC0" w14:paraId="5A3BAABF" w14:textId="77777777">
        <w:tc>
          <w:tcPr>
            <w:tcW w:w="4670" w:type="dxa"/>
            <w:shd w:val="clear" w:color="auto" w:fill="CCEEFF"/>
            <w:vAlign w:val="center"/>
          </w:tcPr>
          <w:p w14:paraId="6A084493" w14:textId="77777777" w:rsidR="00E22AC0" w:rsidRDefault="00FC56F3">
            <w:pPr>
              <w:pStyle w:val="TableContents"/>
              <w:jc w:val="both"/>
              <w:rPr>
                <w:sz w:val="20"/>
              </w:rPr>
            </w:pPr>
            <w:r>
              <w:rPr>
                <w:sz w:val="20"/>
              </w:rPr>
              <w:t>Exhibit C – Form of Seller Note</w:t>
            </w:r>
          </w:p>
        </w:tc>
      </w:tr>
      <w:tr w:rsidR="00E22AC0" w14:paraId="5BFE372C" w14:textId="77777777">
        <w:tc>
          <w:tcPr>
            <w:tcW w:w="4670" w:type="dxa"/>
            <w:shd w:val="clear" w:color="auto" w:fill="FFFFFF"/>
            <w:vAlign w:val="center"/>
          </w:tcPr>
          <w:p w14:paraId="3E123814" w14:textId="77777777" w:rsidR="00E22AC0" w:rsidRDefault="00FC56F3">
            <w:pPr>
              <w:pStyle w:val="TableContents"/>
              <w:jc w:val="both"/>
              <w:rPr>
                <w:sz w:val="20"/>
              </w:rPr>
            </w:pPr>
            <w:r>
              <w:rPr>
                <w:sz w:val="20"/>
              </w:rPr>
              <w:t>Exhibit D – Employment Agreement Terms</w:t>
            </w:r>
          </w:p>
        </w:tc>
      </w:tr>
      <w:tr w:rsidR="00E22AC0" w14:paraId="49168B37" w14:textId="77777777">
        <w:tc>
          <w:tcPr>
            <w:tcW w:w="4670" w:type="dxa"/>
            <w:shd w:val="clear" w:color="auto" w:fill="CCEEFF"/>
            <w:vAlign w:val="center"/>
          </w:tcPr>
          <w:p w14:paraId="42978001" w14:textId="77777777" w:rsidR="00E22AC0" w:rsidRDefault="00FC56F3">
            <w:pPr>
              <w:pStyle w:val="TableContents"/>
              <w:jc w:val="both"/>
              <w:rPr>
                <w:sz w:val="20"/>
              </w:rPr>
            </w:pPr>
            <w:r>
              <w:rPr>
                <w:sz w:val="20"/>
              </w:rPr>
              <w:t>Disclosure Schedule</w:t>
            </w:r>
          </w:p>
        </w:tc>
      </w:tr>
    </w:tbl>
    <w:p w14:paraId="00E7A98E" w14:textId="77777777" w:rsidR="00E22AC0" w:rsidRDefault="00FC56F3">
      <w:pPr>
        <w:pStyle w:val="a3"/>
        <w:spacing w:after="0"/>
        <w:jc w:val="both"/>
      </w:pPr>
      <w:r>
        <w:t> </w:t>
      </w:r>
    </w:p>
    <w:p w14:paraId="526067A1" w14:textId="77777777" w:rsidR="00E22AC0" w:rsidRDefault="00FC56F3">
      <w:pPr>
        <w:pStyle w:val="a3"/>
        <w:spacing w:after="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iii</w:t>
      </w:r>
    </w:p>
    <w:p w14:paraId="57746A6C" w14:textId="77777777" w:rsidR="00E22AC0" w:rsidRDefault="00FC56F3">
      <w:pPr>
        <w:pStyle w:val="a3"/>
        <w:spacing w:after="0"/>
      </w:pPr>
      <w:r>
        <w:t> </w:t>
      </w:r>
    </w:p>
    <w:p w14:paraId="28239BDC" w14:textId="77777777" w:rsidR="00E22AC0" w:rsidRDefault="00FC56F3">
      <w:pPr>
        <w:pStyle w:val="a3"/>
        <w:spacing w:after="0"/>
        <w:jc w:val="center"/>
      </w:pPr>
      <w:r>
        <w:t> </w:t>
      </w:r>
    </w:p>
    <w:p w14:paraId="791F0C9A"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STOCK PURCHASE AGREEMENT</w:t>
      </w:r>
    </w:p>
    <w:p w14:paraId="37336D4D" w14:textId="77777777" w:rsidR="00E22AC0" w:rsidRDefault="00FC56F3">
      <w:pPr>
        <w:pStyle w:val="a3"/>
        <w:spacing w:after="0"/>
        <w:ind w:firstLine="720"/>
        <w:jc w:val="both"/>
      </w:pPr>
      <w:r>
        <w:t> </w:t>
      </w:r>
    </w:p>
    <w:p w14:paraId="4AF4F877"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STOCK PURCHASE AGREEMENT, dated as of August 27, 2020 (the “</w:t>
      </w:r>
      <w:r>
        <w:rPr>
          <w:rFonts w:ascii="Times New Roman;Times;Serif" w:hAnsi="Times New Roman;Times;Serif"/>
          <w:b/>
          <w:sz w:val="20"/>
        </w:rPr>
        <w:t>Agreement</w:t>
      </w:r>
      <w:r>
        <w:rPr>
          <w:rFonts w:ascii="Times New Roman;Times;Serif" w:hAnsi="Times New Roman;Times;Serif"/>
          <w:sz w:val="20"/>
        </w:rPr>
        <w:t xml:space="preserve">”), </w:t>
      </w:r>
      <w:r>
        <w:rPr>
          <w:rFonts w:ascii="Times New Roman;Times;Serif" w:hAnsi="Times New Roman;Times;Serif"/>
          <w:sz w:val="20"/>
        </w:rPr>
        <w:t>among 1847 Cabinets Inc., a Delaware corporation (the “</w:t>
      </w:r>
      <w:r>
        <w:rPr>
          <w:rFonts w:ascii="Times New Roman;Times;Serif" w:hAnsi="Times New Roman;Times;Serif"/>
          <w:b/>
          <w:sz w:val="20"/>
        </w:rPr>
        <w:t>Buyer</w:t>
      </w:r>
      <w:r>
        <w:rPr>
          <w:rFonts w:ascii="Times New Roman;Times;Serif" w:hAnsi="Times New Roman;Times;Serif"/>
          <w:sz w:val="20"/>
        </w:rPr>
        <w:t>”), Kyle’s Custom Wood Shop, Inc., an Idaho corporation (the “</w:t>
      </w:r>
      <w:r>
        <w:rPr>
          <w:rFonts w:ascii="Times New Roman;Times;Serif" w:hAnsi="Times New Roman;Times;Serif"/>
          <w:b/>
          <w:sz w:val="20"/>
        </w:rPr>
        <w:t>Company</w:t>
      </w:r>
      <w:r>
        <w:rPr>
          <w:rFonts w:ascii="Times New Roman;Times;Serif" w:hAnsi="Times New Roman;Times;Serif"/>
          <w:sz w:val="20"/>
        </w:rPr>
        <w:t xml:space="preserve">”), Stephen </w:t>
      </w:r>
      <w:proofErr w:type="spellStart"/>
      <w:r>
        <w:rPr>
          <w:rFonts w:ascii="Times New Roman;Times;Serif" w:hAnsi="Times New Roman;Times;Serif"/>
          <w:sz w:val="20"/>
        </w:rPr>
        <w:t>Mallatt</w:t>
      </w:r>
      <w:proofErr w:type="spellEnd"/>
      <w:r>
        <w:rPr>
          <w:rFonts w:ascii="Times New Roman;Times;Serif" w:hAnsi="Times New Roman;Times;Serif"/>
          <w:sz w:val="20"/>
        </w:rPr>
        <w:t xml:space="preserve">, Jr., an individual, and Rita </w:t>
      </w:r>
      <w:proofErr w:type="spellStart"/>
      <w:r>
        <w:rPr>
          <w:rFonts w:ascii="Times New Roman;Times;Serif" w:hAnsi="Times New Roman;Times;Serif"/>
          <w:sz w:val="20"/>
        </w:rPr>
        <w:t>Mallatt</w:t>
      </w:r>
      <w:proofErr w:type="spellEnd"/>
      <w:r>
        <w:rPr>
          <w:rFonts w:ascii="Times New Roman;Times;Serif" w:hAnsi="Times New Roman;Times;Serif"/>
          <w:sz w:val="20"/>
        </w:rPr>
        <w:t>, an individual (each, a “</w:t>
      </w:r>
      <w:r>
        <w:rPr>
          <w:rFonts w:ascii="Times New Roman;Times;Serif" w:hAnsi="Times New Roman;Times;Serif"/>
          <w:b/>
          <w:sz w:val="20"/>
        </w:rPr>
        <w:t>Seller</w:t>
      </w:r>
      <w:r>
        <w:rPr>
          <w:rFonts w:ascii="Times New Roman;Times;Serif" w:hAnsi="Times New Roman;Times;Serif"/>
          <w:sz w:val="20"/>
        </w:rPr>
        <w:t>,” and collectively, the “</w:t>
      </w:r>
      <w:r>
        <w:rPr>
          <w:rFonts w:ascii="Times New Roman;Times;Serif" w:hAnsi="Times New Roman;Times;Serif"/>
          <w:b/>
          <w:sz w:val="20"/>
        </w:rPr>
        <w:t>Sellers</w:t>
      </w:r>
      <w:r>
        <w:rPr>
          <w:rFonts w:ascii="Times New Roman;Times;Serif" w:hAnsi="Times New Roman;Times;Serif"/>
          <w:sz w:val="20"/>
        </w:rPr>
        <w:t>”), a</w:t>
      </w:r>
      <w:r>
        <w:rPr>
          <w:rFonts w:ascii="Times New Roman;Times;Serif" w:hAnsi="Times New Roman;Times;Serif"/>
          <w:sz w:val="20"/>
        </w:rPr>
        <w:t>nd 1847 Holdings LLC, a Delaware limited liability company (“</w:t>
      </w:r>
      <w:r>
        <w:rPr>
          <w:rFonts w:ascii="Times New Roman;Times;Serif" w:hAnsi="Times New Roman;Times;Serif"/>
          <w:b/>
          <w:sz w:val="20"/>
        </w:rPr>
        <w:t>Buyer Parent</w:t>
      </w:r>
      <w:r>
        <w:rPr>
          <w:rFonts w:ascii="Times New Roman;Times;Serif" w:hAnsi="Times New Roman;Times;Serif"/>
          <w:sz w:val="20"/>
        </w:rPr>
        <w:t>”).</w:t>
      </w:r>
    </w:p>
    <w:p w14:paraId="32ECD0BD" w14:textId="77777777" w:rsidR="00E22AC0" w:rsidRDefault="00FC56F3">
      <w:pPr>
        <w:pStyle w:val="a3"/>
        <w:spacing w:after="0"/>
        <w:jc w:val="center"/>
      </w:pPr>
      <w:r>
        <w:t> </w:t>
      </w:r>
    </w:p>
    <w:p w14:paraId="42109E87"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BACKGROUND</w:t>
      </w:r>
    </w:p>
    <w:p w14:paraId="129E7FE8" w14:textId="77777777" w:rsidR="00E22AC0" w:rsidRDefault="00FC56F3">
      <w:pPr>
        <w:pStyle w:val="a3"/>
        <w:spacing w:after="0"/>
        <w:ind w:firstLine="720"/>
        <w:jc w:val="both"/>
      </w:pPr>
      <w:r>
        <w:t> </w:t>
      </w:r>
    </w:p>
    <w:p w14:paraId="659D991B"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Each Seller is the record and beneficial owner of the number of shares (the “</w:t>
      </w:r>
      <w:r>
        <w:rPr>
          <w:rFonts w:ascii="Times New Roman;Times;Serif" w:hAnsi="Times New Roman;Times;Serif"/>
          <w:b/>
          <w:sz w:val="20"/>
        </w:rPr>
        <w:t>Shares</w:t>
      </w:r>
      <w:r>
        <w:rPr>
          <w:rFonts w:ascii="Times New Roman;Times;Serif" w:hAnsi="Times New Roman;Times;Serif"/>
          <w:sz w:val="20"/>
        </w:rPr>
        <w:t>”) of Common Stock, no par value, of the Company (the “</w:t>
      </w:r>
      <w:r>
        <w:rPr>
          <w:rFonts w:ascii="Times New Roman;Times;Serif" w:hAnsi="Times New Roman;Times;Serif"/>
          <w:b/>
          <w:sz w:val="20"/>
        </w:rPr>
        <w:t>Common Stock</w:t>
      </w:r>
      <w:r>
        <w:rPr>
          <w:rFonts w:ascii="Times New Roman;Times;Serif" w:hAnsi="Times New Roman;Times;Serif"/>
          <w:sz w:val="20"/>
        </w:rPr>
        <w:t xml:space="preserve">”), set forth </w:t>
      </w:r>
      <w:r>
        <w:rPr>
          <w:rFonts w:ascii="Times New Roman;Times;Serif" w:hAnsi="Times New Roman;Times;Serif"/>
          <w:sz w:val="20"/>
        </w:rPr>
        <w:t xml:space="preserve">opposite each Seller’s name on </w:t>
      </w:r>
      <w:r>
        <w:rPr>
          <w:rFonts w:ascii="Times New Roman;Times;Serif" w:hAnsi="Times New Roman;Times;Serif"/>
          <w:sz w:val="20"/>
          <w:u w:val="single"/>
        </w:rPr>
        <w:t>Exhibit A</w:t>
      </w:r>
      <w:r>
        <w:rPr>
          <w:rFonts w:ascii="Times New Roman;Times;Serif" w:hAnsi="Times New Roman;Times;Serif"/>
          <w:sz w:val="20"/>
        </w:rPr>
        <w:t>. The Sellers collectively own 100% of the issued and outstanding shares of Common Stock. The Sellers desire to sell all of the Shares to the Buyer, and the Buyer desires to purchase all of the Shares from the Seller</w:t>
      </w:r>
      <w:r>
        <w:rPr>
          <w:rFonts w:ascii="Times New Roman;Times;Serif" w:hAnsi="Times New Roman;Times;Serif"/>
          <w:sz w:val="20"/>
        </w:rPr>
        <w:t>s, upon the terms and subject to the conditions set forth in this Agreement (such sale and purchase of the Shares, the “</w:t>
      </w:r>
      <w:r>
        <w:rPr>
          <w:rFonts w:ascii="Times New Roman;Times;Serif" w:hAnsi="Times New Roman;Times;Serif"/>
          <w:b/>
          <w:sz w:val="20"/>
        </w:rPr>
        <w:t>Acquisition</w:t>
      </w:r>
      <w:r>
        <w:rPr>
          <w:rFonts w:ascii="Times New Roman;Times;Serif" w:hAnsi="Times New Roman;Times;Serif"/>
          <w:sz w:val="20"/>
        </w:rPr>
        <w:t>”).</w:t>
      </w:r>
    </w:p>
    <w:p w14:paraId="6A0798FE" w14:textId="77777777" w:rsidR="00E22AC0" w:rsidRDefault="00FC56F3">
      <w:pPr>
        <w:pStyle w:val="a3"/>
        <w:spacing w:after="0"/>
        <w:jc w:val="center"/>
      </w:pPr>
      <w:r>
        <w:t> </w:t>
      </w:r>
    </w:p>
    <w:p w14:paraId="40852F9A"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AGREEMENT</w:t>
      </w:r>
    </w:p>
    <w:p w14:paraId="507FECED" w14:textId="77777777" w:rsidR="00E22AC0" w:rsidRDefault="00FC56F3">
      <w:pPr>
        <w:pStyle w:val="a3"/>
        <w:spacing w:after="0"/>
        <w:ind w:firstLine="720"/>
        <w:jc w:val="both"/>
      </w:pPr>
      <w:r>
        <w:t> </w:t>
      </w:r>
    </w:p>
    <w:p w14:paraId="56B132F6"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NOW, THEREFORE, in consideration of the foregoing premises and the respective representations and warrantie</w:t>
      </w:r>
      <w:r>
        <w:rPr>
          <w:rFonts w:ascii="Times New Roman;Times;Serif" w:hAnsi="Times New Roman;Times;Serif"/>
          <w:sz w:val="20"/>
        </w:rPr>
        <w:t>s, covenants and agreements contained herein, the parties hereto agree as follows:</w:t>
      </w:r>
    </w:p>
    <w:p w14:paraId="66FCF2AA" w14:textId="77777777" w:rsidR="00E22AC0" w:rsidRDefault="00FC56F3">
      <w:pPr>
        <w:pStyle w:val="a3"/>
        <w:spacing w:after="0"/>
        <w:jc w:val="center"/>
      </w:pPr>
      <w:r>
        <w:t> </w:t>
      </w:r>
    </w:p>
    <w:p w14:paraId="10F641CC" w14:textId="77777777" w:rsidR="00E22AC0" w:rsidRDefault="00FC56F3">
      <w:pPr>
        <w:pStyle w:val="a3"/>
        <w:spacing w:after="0"/>
        <w:jc w:val="center"/>
        <w:rPr>
          <w:rFonts w:ascii="Times New Roman;Times;Serif" w:hAnsi="Times New Roman;Times;Serif"/>
          <w:sz w:val="20"/>
        </w:rPr>
      </w:pPr>
      <w:r>
        <w:rPr>
          <w:rFonts w:ascii="Times New Roman;Times;Serif" w:hAnsi="Times New Roman;Times;Serif"/>
          <w:sz w:val="20"/>
        </w:rPr>
        <w:t>ARTICLE I</w:t>
      </w:r>
      <w:r>
        <w:rPr>
          <w:rFonts w:ascii="Times New Roman;Times;Serif" w:hAnsi="Times New Roman;Times;Serif"/>
          <w:sz w:val="20"/>
        </w:rPr>
        <w:br/>
        <w:t>DEFINITIONS</w:t>
      </w:r>
    </w:p>
    <w:p w14:paraId="5246E103" w14:textId="77777777" w:rsidR="00E22AC0" w:rsidRDefault="00FC56F3">
      <w:pPr>
        <w:pStyle w:val="a3"/>
        <w:spacing w:after="0"/>
        <w:ind w:firstLine="720"/>
        <w:jc w:val="both"/>
      </w:pPr>
      <w:r>
        <w:t> </w:t>
      </w:r>
    </w:p>
    <w:p w14:paraId="043308E2"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 </w:t>
      </w:r>
      <w:r>
        <w:rPr>
          <w:rFonts w:ascii="Times New Roman;Times;Serif" w:hAnsi="Times New Roman;Times;Serif"/>
          <w:sz w:val="20"/>
          <w:u w:val="single"/>
        </w:rPr>
        <w:t>Certain Definitions</w:t>
      </w:r>
      <w:r>
        <w:rPr>
          <w:rFonts w:ascii="Times New Roman;Times;Serif" w:hAnsi="Times New Roman;Times;Serif"/>
          <w:sz w:val="20"/>
        </w:rPr>
        <w:t>.</w:t>
      </w:r>
    </w:p>
    <w:p w14:paraId="34E882F2" w14:textId="77777777" w:rsidR="00E22AC0" w:rsidRDefault="00FC56F3">
      <w:pPr>
        <w:pStyle w:val="a3"/>
        <w:spacing w:after="0"/>
        <w:ind w:firstLine="1440"/>
        <w:jc w:val="both"/>
      </w:pPr>
      <w:r>
        <w:t> </w:t>
      </w:r>
    </w:p>
    <w:p w14:paraId="56F44445"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(a) When used in this Agreement, the following terms will have the meanings assigned to them in this Section 1.1(a):</w:t>
      </w:r>
    </w:p>
    <w:p w14:paraId="73EBFA68" w14:textId="77777777" w:rsidR="00E22AC0" w:rsidRDefault="00FC56F3">
      <w:pPr>
        <w:pStyle w:val="a3"/>
        <w:spacing w:after="0"/>
        <w:ind w:firstLine="1440"/>
        <w:jc w:val="both"/>
      </w:pPr>
      <w:r>
        <w:t> </w:t>
      </w:r>
    </w:p>
    <w:p w14:paraId="3EF264D6" w14:textId="77777777" w:rsidR="00E22AC0" w:rsidRDefault="00FC56F3">
      <w:pPr>
        <w:pStyle w:val="a3"/>
        <w:spacing w:after="0"/>
        <w:ind w:firstLine="1440"/>
        <w:jc w:val="both"/>
      </w:pPr>
      <w:r>
        <w:t>“</w:t>
      </w:r>
      <w:r>
        <w:rPr>
          <w:rFonts w:ascii="Times New Roman;Times;Serif" w:hAnsi="Times New Roman;Times;Serif"/>
          <w:b/>
          <w:sz w:val="20"/>
        </w:rPr>
        <w:t>Action</w:t>
      </w:r>
      <w:r>
        <w:rPr>
          <w:rFonts w:ascii="Times New Roman;Times;Serif" w:hAnsi="Times New Roman;Times;Serif"/>
          <w:sz w:val="20"/>
        </w:rPr>
        <w:t>” means any claim, action, suit, inquiry, hearing, proceeding or other investigation.</w:t>
      </w:r>
    </w:p>
    <w:p w14:paraId="741345B9" w14:textId="77777777" w:rsidR="00E22AC0" w:rsidRDefault="00FC56F3">
      <w:pPr>
        <w:pStyle w:val="a3"/>
        <w:spacing w:after="0"/>
        <w:ind w:firstLine="1440"/>
        <w:jc w:val="both"/>
      </w:pPr>
      <w:r>
        <w:t> </w:t>
      </w:r>
    </w:p>
    <w:p w14:paraId="2266BE33" w14:textId="77777777" w:rsidR="00E22AC0" w:rsidRDefault="00FC56F3">
      <w:pPr>
        <w:pStyle w:val="a3"/>
        <w:spacing w:after="0"/>
        <w:ind w:firstLine="1440"/>
        <w:jc w:val="both"/>
      </w:pPr>
      <w:r>
        <w:t>“</w:t>
      </w:r>
      <w:r>
        <w:rPr>
          <w:rFonts w:ascii="Times New Roman;Times;Serif" w:hAnsi="Times New Roman;Times;Serif"/>
          <w:b/>
          <w:sz w:val="20"/>
        </w:rPr>
        <w:t>Affiliate</w:t>
      </w:r>
      <w:r>
        <w:rPr>
          <w:rFonts w:ascii="Times New Roman;Times;Serif" w:hAnsi="Times New Roman;Times;Serif"/>
          <w:sz w:val="20"/>
        </w:rPr>
        <w:t xml:space="preserve">” means, with respect to a Person, any other Person that, directly or indirectly, through one or more intermediaries, Controls, is Controlled by or is </w:t>
      </w:r>
      <w:r>
        <w:rPr>
          <w:rFonts w:ascii="Times New Roman;Times;Serif" w:hAnsi="Times New Roman;Times;Serif"/>
          <w:sz w:val="20"/>
        </w:rPr>
        <w:t xml:space="preserve">under common Control with, such Person. For purposes of this definition, </w:t>
      </w:r>
      <w:r>
        <w:rPr>
          <w:rFonts w:ascii="Times New Roman;Times;Serif" w:hAnsi="Times New Roman;Times;Serif"/>
          <w:sz w:val="20"/>
        </w:rPr>
        <w:lastRenderedPageBreak/>
        <w:t>“</w:t>
      </w:r>
      <w:r>
        <w:rPr>
          <w:rFonts w:ascii="Times New Roman;Times;Serif" w:hAnsi="Times New Roman;Times;Serif"/>
          <w:b/>
          <w:sz w:val="20"/>
        </w:rPr>
        <w:t>Control</w:t>
      </w:r>
      <w:r>
        <w:rPr>
          <w:rFonts w:ascii="Times New Roman;Times;Serif" w:hAnsi="Times New Roman;Times;Serif"/>
          <w:sz w:val="20"/>
        </w:rPr>
        <w:t>” (including the terms “</w:t>
      </w:r>
      <w:r>
        <w:rPr>
          <w:rFonts w:ascii="Times New Roman;Times;Serif" w:hAnsi="Times New Roman;Times;Serif"/>
          <w:b/>
          <w:sz w:val="20"/>
        </w:rPr>
        <w:t>Controlled by</w:t>
      </w:r>
      <w:r>
        <w:rPr>
          <w:rFonts w:ascii="Times New Roman;Times;Serif" w:hAnsi="Times New Roman;Times;Serif"/>
          <w:sz w:val="20"/>
        </w:rPr>
        <w:t>” and “</w:t>
      </w:r>
      <w:r>
        <w:rPr>
          <w:rFonts w:ascii="Times New Roman;Times;Serif" w:hAnsi="Times New Roman;Times;Serif"/>
          <w:b/>
          <w:sz w:val="20"/>
        </w:rPr>
        <w:t>under common Control with</w:t>
      </w:r>
      <w:r>
        <w:rPr>
          <w:rFonts w:ascii="Times New Roman;Times;Serif" w:hAnsi="Times New Roman;Times;Serif"/>
          <w:sz w:val="20"/>
        </w:rPr>
        <w:t>”) means possession of the power to direct or cause the direction of the management or policies of a Perso</w:t>
      </w:r>
      <w:r>
        <w:rPr>
          <w:rFonts w:ascii="Times New Roman;Times;Serif" w:hAnsi="Times New Roman;Times;Serif"/>
          <w:sz w:val="20"/>
        </w:rPr>
        <w:t>n, whether through the ownership of stock, as trustee or executor, by Contract or otherwise.</w:t>
      </w:r>
    </w:p>
    <w:p w14:paraId="5A9B64E5" w14:textId="77777777" w:rsidR="00E22AC0" w:rsidRDefault="00FC56F3">
      <w:pPr>
        <w:pStyle w:val="a3"/>
        <w:spacing w:after="0"/>
        <w:ind w:firstLine="1440"/>
        <w:jc w:val="both"/>
      </w:pPr>
      <w:r>
        <w:t> </w:t>
      </w:r>
    </w:p>
    <w:p w14:paraId="167A9224" w14:textId="77777777" w:rsidR="00E22AC0" w:rsidRDefault="00FC56F3">
      <w:pPr>
        <w:pStyle w:val="a3"/>
        <w:spacing w:after="0"/>
        <w:ind w:firstLine="1440"/>
        <w:jc w:val="both"/>
      </w:pPr>
      <w:r>
        <w:t>“</w:t>
      </w:r>
      <w:r>
        <w:rPr>
          <w:rFonts w:ascii="Times New Roman;Times;Serif" w:hAnsi="Times New Roman;Times;Serif"/>
          <w:b/>
          <w:sz w:val="20"/>
        </w:rPr>
        <w:t>Benefit Plan</w:t>
      </w:r>
      <w:r>
        <w:rPr>
          <w:rFonts w:ascii="Times New Roman;Times;Serif" w:hAnsi="Times New Roman;Times;Serif"/>
          <w:sz w:val="20"/>
        </w:rPr>
        <w:t>” means any “employee benefit plan” as defined in ERISA Section 3(3), including any (a) nonqualified deferred compensation or retirement plan or arr</w:t>
      </w:r>
      <w:r>
        <w:rPr>
          <w:rFonts w:ascii="Times New Roman;Times;Serif" w:hAnsi="Times New Roman;Times;Serif"/>
          <w:sz w:val="20"/>
        </w:rPr>
        <w:t>angement which is an Employee Pension Benefit Plan (as defined in ERISA Section 3(2)), (b) qualified defined contribution retirement plan or arrangement which is an Employee Pension Benefit Plan, (c) qualified defined benefit retirement plan or arrangement</w:t>
      </w:r>
      <w:r>
        <w:rPr>
          <w:rFonts w:ascii="Times New Roman;Times;Serif" w:hAnsi="Times New Roman;Times;Serif"/>
          <w:sz w:val="20"/>
        </w:rPr>
        <w:t xml:space="preserve"> which is an Employee Pension Benefit Plan (including any Multiemployer Plan (as defined in ERISA Section 3(37)), (d) Employee Welfare Benefit Plan (as defined in ERISA Section 3(1)) or material fringe benefit plan or program, or (e) stock purchase, stock </w:t>
      </w:r>
      <w:r>
        <w:rPr>
          <w:rFonts w:ascii="Times New Roman;Times;Serif" w:hAnsi="Times New Roman;Times;Serif"/>
          <w:sz w:val="20"/>
        </w:rPr>
        <w:t>option, severance pay, employment, change-in-control, vacation pay, company award, salary continuation, sick leave, excess benefit, bonus or other incentive compensation, life insurance, or other employee benefit plan, contract, program, policy or other ar</w:t>
      </w:r>
      <w:r>
        <w:rPr>
          <w:rFonts w:ascii="Times New Roman;Times;Serif" w:hAnsi="Times New Roman;Times;Serif"/>
          <w:sz w:val="20"/>
        </w:rPr>
        <w:t>rangement, whether or not subject to ERISA, under which any present or former employee of the Company has any present or future right to benefits sponsored or maintained by the Company or any ERISA Affiliate.</w:t>
      </w:r>
    </w:p>
    <w:p w14:paraId="77452699" w14:textId="77777777" w:rsidR="00E22AC0" w:rsidRDefault="00FC56F3">
      <w:pPr>
        <w:pStyle w:val="a3"/>
        <w:spacing w:after="0"/>
        <w:ind w:firstLine="1440"/>
        <w:jc w:val="both"/>
      </w:pPr>
      <w:r>
        <w:t> </w:t>
      </w:r>
    </w:p>
    <w:p w14:paraId="32E6AC46" w14:textId="77777777" w:rsidR="00E22AC0" w:rsidRDefault="00FC56F3">
      <w:pPr>
        <w:pStyle w:val="a3"/>
        <w:spacing w:after="0"/>
        <w:rPr>
          <w:bdr w:val="single" w:sz="12" w:space="1" w:color="000000"/>
        </w:rPr>
      </w:pPr>
      <w:r>
        <w:rPr>
          <w:bdr w:val="single" w:sz="12" w:space="1" w:color="000000"/>
        </w:rPr>
        <w:t> </w:t>
      </w:r>
    </w:p>
    <w:p w14:paraId="566BDA76" w14:textId="77777777" w:rsidR="00E22AC0" w:rsidRDefault="00FC56F3">
      <w:pPr>
        <w:pStyle w:val="a3"/>
        <w:spacing w:after="0"/>
      </w:pPr>
      <w:r>
        <w:t> </w:t>
      </w:r>
    </w:p>
    <w:p w14:paraId="02A8C354" w14:textId="77777777" w:rsidR="00E22AC0" w:rsidRDefault="00FC56F3">
      <w:pPr>
        <w:pStyle w:val="a3"/>
        <w:spacing w:after="0"/>
        <w:ind w:firstLine="1440"/>
        <w:jc w:val="both"/>
      </w:pPr>
      <w:r>
        <w:t> </w:t>
      </w:r>
    </w:p>
    <w:p w14:paraId="1F5A148E" w14:textId="77777777" w:rsidR="00E22AC0" w:rsidRDefault="00FC56F3">
      <w:pPr>
        <w:pStyle w:val="a3"/>
        <w:spacing w:after="0"/>
        <w:ind w:firstLine="1440"/>
        <w:jc w:val="both"/>
      </w:pPr>
      <w:r>
        <w:t>“</w:t>
      </w:r>
      <w:r>
        <w:rPr>
          <w:rFonts w:ascii="Times New Roman;Times;Serif" w:hAnsi="Times New Roman;Times;Serif"/>
          <w:b/>
          <w:sz w:val="20"/>
        </w:rPr>
        <w:t>Business Day</w:t>
      </w:r>
      <w:r>
        <w:rPr>
          <w:rFonts w:ascii="Times New Roman;Times;Serif" w:hAnsi="Times New Roman;Times;Serif"/>
          <w:sz w:val="20"/>
        </w:rPr>
        <w:t xml:space="preserve">” means a day other </w:t>
      </w:r>
      <w:r>
        <w:rPr>
          <w:rFonts w:ascii="Times New Roman;Times;Serif" w:hAnsi="Times New Roman;Times;Serif"/>
          <w:sz w:val="20"/>
        </w:rPr>
        <w:t>than a Saturday, Sunday or other day on which banks located in New York, NY are authorized or required by Law to close.</w:t>
      </w:r>
    </w:p>
    <w:p w14:paraId="5DD3576A" w14:textId="77777777" w:rsidR="00E22AC0" w:rsidRDefault="00FC56F3">
      <w:pPr>
        <w:pStyle w:val="a3"/>
        <w:spacing w:after="0"/>
        <w:ind w:firstLine="1440"/>
        <w:jc w:val="both"/>
      </w:pPr>
      <w:r>
        <w:t> </w:t>
      </w:r>
    </w:p>
    <w:p w14:paraId="0FCD6776" w14:textId="77777777" w:rsidR="00E22AC0" w:rsidRDefault="00FC56F3">
      <w:pPr>
        <w:pStyle w:val="a3"/>
        <w:spacing w:after="0"/>
        <w:ind w:firstLine="1440"/>
        <w:jc w:val="both"/>
      </w:pPr>
      <w:r>
        <w:t>“</w:t>
      </w:r>
      <w:r>
        <w:rPr>
          <w:rFonts w:ascii="Times New Roman;Times;Serif" w:hAnsi="Times New Roman;Times;Serif"/>
          <w:b/>
          <w:sz w:val="20"/>
        </w:rPr>
        <w:t>Closing Working Capital</w:t>
      </w:r>
      <w:r>
        <w:rPr>
          <w:rFonts w:ascii="Times New Roman;Times;Serif" w:hAnsi="Times New Roman;Times;Serif"/>
          <w:sz w:val="20"/>
        </w:rPr>
        <w:t>” means the Net Working Capital as reflected on the Closing Date Balance Sheet determined in accordance with G</w:t>
      </w:r>
      <w:r>
        <w:rPr>
          <w:rFonts w:ascii="Times New Roman;Times;Serif" w:hAnsi="Times New Roman;Times;Serif"/>
          <w:sz w:val="20"/>
        </w:rPr>
        <w:t>AAP.</w:t>
      </w:r>
    </w:p>
    <w:p w14:paraId="5606C733" w14:textId="77777777" w:rsidR="00E22AC0" w:rsidRDefault="00FC56F3">
      <w:pPr>
        <w:pStyle w:val="a3"/>
        <w:spacing w:after="0"/>
        <w:ind w:firstLine="1440"/>
        <w:jc w:val="both"/>
      </w:pPr>
      <w:r>
        <w:t> </w:t>
      </w:r>
    </w:p>
    <w:p w14:paraId="5D14C53E" w14:textId="77777777" w:rsidR="00E22AC0" w:rsidRDefault="00FC56F3">
      <w:pPr>
        <w:pStyle w:val="a3"/>
        <w:spacing w:after="0"/>
        <w:ind w:firstLine="1440"/>
        <w:jc w:val="both"/>
      </w:pPr>
      <w:r>
        <w:t>“</w:t>
      </w:r>
      <w:r>
        <w:rPr>
          <w:rFonts w:ascii="Times New Roman;Times;Serif" w:hAnsi="Times New Roman;Times;Serif"/>
          <w:b/>
          <w:sz w:val="20"/>
        </w:rPr>
        <w:t>Code</w:t>
      </w:r>
      <w:r>
        <w:rPr>
          <w:rFonts w:ascii="Times New Roman;Times;Serif" w:hAnsi="Times New Roman;Times;Serif"/>
          <w:sz w:val="20"/>
        </w:rPr>
        <w:t>” means the Internal Revenue Code of 1986, as amended.</w:t>
      </w:r>
    </w:p>
    <w:p w14:paraId="00DFD3F0" w14:textId="77777777" w:rsidR="00E22AC0" w:rsidRDefault="00FC56F3">
      <w:pPr>
        <w:pStyle w:val="a3"/>
        <w:spacing w:after="0"/>
        <w:ind w:firstLine="1440"/>
        <w:jc w:val="both"/>
      </w:pPr>
      <w:r>
        <w:t> </w:t>
      </w:r>
    </w:p>
    <w:p w14:paraId="25D24DB2" w14:textId="77777777" w:rsidR="00E22AC0" w:rsidRDefault="00FC56F3">
      <w:pPr>
        <w:pStyle w:val="a3"/>
        <w:spacing w:after="0"/>
        <w:ind w:firstLine="1440"/>
        <w:jc w:val="both"/>
      </w:pPr>
      <w:r>
        <w:t>“</w:t>
      </w:r>
      <w:r>
        <w:rPr>
          <w:rFonts w:ascii="Times New Roman;Times;Serif" w:hAnsi="Times New Roman;Times;Serif"/>
          <w:b/>
          <w:sz w:val="20"/>
        </w:rPr>
        <w:t>Contract</w:t>
      </w:r>
      <w:r>
        <w:rPr>
          <w:rFonts w:ascii="Times New Roman;Times;Serif" w:hAnsi="Times New Roman;Times;Serif"/>
          <w:sz w:val="20"/>
        </w:rPr>
        <w:t>” means any written agreement, contract, commitment, arrangement or understanding.</w:t>
      </w:r>
    </w:p>
    <w:p w14:paraId="0FFB5F4A" w14:textId="77777777" w:rsidR="00E22AC0" w:rsidRDefault="00FC56F3">
      <w:pPr>
        <w:pStyle w:val="a3"/>
        <w:spacing w:after="0"/>
        <w:ind w:firstLine="1440"/>
        <w:jc w:val="both"/>
      </w:pPr>
      <w:r>
        <w:t> </w:t>
      </w:r>
    </w:p>
    <w:p w14:paraId="39834CA6" w14:textId="77777777" w:rsidR="00E22AC0" w:rsidRDefault="00FC56F3">
      <w:pPr>
        <w:pStyle w:val="a3"/>
        <w:spacing w:after="0"/>
        <w:ind w:firstLine="1440"/>
        <w:jc w:val="both"/>
      </w:pPr>
      <w:r>
        <w:t>“</w:t>
      </w:r>
      <w:r>
        <w:rPr>
          <w:rFonts w:ascii="Times New Roman;Times;Serif" w:hAnsi="Times New Roman;Times;Serif"/>
          <w:b/>
          <w:sz w:val="20"/>
        </w:rPr>
        <w:t>ERISA</w:t>
      </w:r>
      <w:r>
        <w:rPr>
          <w:rFonts w:ascii="Times New Roman;Times;Serif" w:hAnsi="Times New Roman;Times;Serif"/>
          <w:sz w:val="20"/>
        </w:rPr>
        <w:t>” means the Employee Retirement Income Security Act of 1974, as amended.</w:t>
      </w:r>
    </w:p>
    <w:p w14:paraId="7D204552" w14:textId="77777777" w:rsidR="00E22AC0" w:rsidRDefault="00FC56F3">
      <w:pPr>
        <w:pStyle w:val="a3"/>
        <w:spacing w:after="0"/>
        <w:ind w:firstLine="1440"/>
        <w:jc w:val="both"/>
      </w:pPr>
      <w:r>
        <w:t> </w:t>
      </w:r>
    </w:p>
    <w:p w14:paraId="5A10482F" w14:textId="77777777" w:rsidR="00E22AC0" w:rsidRDefault="00FC56F3">
      <w:pPr>
        <w:pStyle w:val="a3"/>
        <w:spacing w:after="0"/>
        <w:ind w:firstLine="1440"/>
        <w:jc w:val="both"/>
      </w:pPr>
      <w:r>
        <w:t>“</w:t>
      </w:r>
      <w:r>
        <w:rPr>
          <w:rFonts w:ascii="Times New Roman;Times;Serif" w:hAnsi="Times New Roman;Times;Serif"/>
          <w:b/>
          <w:sz w:val="20"/>
        </w:rPr>
        <w:t>ERISA Affil</w:t>
      </w:r>
      <w:r>
        <w:rPr>
          <w:rFonts w:ascii="Times New Roman;Times;Serif" w:hAnsi="Times New Roman;Times;Serif"/>
          <w:b/>
          <w:sz w:val="20"/>
        </w:rPr>
        <w:t>iate</w:t>
      </w:r>
      <w:r>
        <w:rPr>
          <w:rFonts w:ascii="Times New Roman;Times;Serif" w:hAnsi="Times New Roman;Times;Serif"/>
          <w:sz w:val="20"/>
        </w:rPr>
        <w:t>” means any Person who is, or at any time was, a member of a “controlled group of corporations” within the meaning of Section 414(b) or (c) of the Code and, for the purpose of Section 302 of ERISA and/or Section 412, 4971, 4977, 4980D, 4980E and/or eac</w:t>
      </w:r>
      <w:r>
        <w:rPr>
          <w:rFonts w:ascii="Times New Roman;Times;Serif" w:hAnsi="Times New Roman;Times;Serif"/>
          <w:sz w:val="20"/>
        </w:rPr>
        <w:t>h “applicable section” under Section 414(f)(2) of the Code, within the meaning of Section 412(n)(6) of the Code that includes, or at any time included, the Company or any Affiliate thereof, or any predecessor of any of the foregoing.</w:t>
      </w:r>
    </w:p>
    <w:p w14:paraId="3DAE1468" w14:textId="77777777" w:rsidR="00E22AC0" w:rsidRDefault="00FC56F3">
      <w:pPr>
        <w:pStyle w:val="a3"/>
        <w:spacing w:after="0"/>
        <w:ind w:firstLine="1440"/>
        <w:jc w:val="both"/>
      </w:pPr>
      <w:r>
        <w:t> </w:t>
      </w:r>
    </w:p>
    <w:p w14:paraId="5A51B1BF" w14:textId="77777777" w:rsidR="00E22AC0" w:rsidRDefault="00FC56F3">
      <w:pPr>
        <w:pStyle w:val="a3"/>
        <w:spacing w:after="0"/>
        <w:ind w:firstLine="1440"/>
        <w:jc w:val="both"/>
      </w:pPr>
      <w:r>
        <w:t>“</w:t>
      </w:r>
      <w:r>
        <w:rPr>
          <w:rFonts w:ascii="Times New Roman;Times;Serif" w:hAnsi="Times New Roman;Times;Serif"/>
          <w:b/>
          <w:sz w:val="20"/>
        </w:rPr>
        <w:t>Exchange Act</w:t>
      </w:r>
      <w:r>
        <w:rPr>
          <w:rFonts w:ascii="Times New Roman;Times;Serif" w:hAnsi="Times New Roman;Times;Serif"/>
          <w:sz w:val="20"/>
        </w:rPr>
        <w:t>” means</w:t>
      </w:r>
      <w:r>
        <w:rPr>
          <w:rFonts w:ascii="Times New Roman;Times;Serif" w:hAnsi="Times New Roman;Times;Serif"/>
          <w:sz w:val="20"/>
        </w:rPr>
        <w:t xml:space="preserve"> the Securities Exchange Act of 1934, as amended.</w:t>
      </w:r>
    </w:p>
    <w:p w14:paraId="0B1CCFAC" w14:textId="77777777" w:rsidR="00E22AC0" w:rsidRDefault="00FC56F3">
      <w:pPr>
        <w:pStyle w:val="a3"/>
        <w:spacing w:after="0"/>
        <w:ind w:firstLine="1440"/>
        <w:jc w:val="both"/>
      </w:pPr>
      <w:r>
        <w:t> </w:t>
      </w:r>
    </w:p>
    <w:p w14:paraId="6B57A072" w14:textId="77777777" w:rsidR="00E22AC0" w:rsidRDefault="00FC56F3">
      <w:pPr>
        <w:pStyle w:val="a3"/>
        <w:spacing w:after="0"/>
        <w:ind w:firstLine="1440"/>
        <w:jc w:val="both"/>
      </w:pPr>
      <w:r>
        <w:t>“</w:t>
      </w:r>
      <w:r>
        <w:rPr>
          <w:rFonts w:ascii="Times New Roman;Times;Serif" w:hAnsi="Times New Roman;Times;Serif"/>
          <w:b/>
          <w:sz w:val="20"/>
        </w:rPr>
        <w:t>GAAP</w:t>
      </w:r>
      <w:r>
        <w:rPr>
          <w:rFonts w:ascii="Times New Roman;Times;Serif" w:hAnsi="Times New Roman;Times;Serif"/>
          <w:sz w:val="20"/>
        </w:rPr>
        <w:t>” means United States generally accepted accounting principles.</w:t>
      </w:r>
    </w:p>
    <w:p w14:paraId="1BB320A4" w14:textId="77777777" w:rsidR="00E22AC0" w:rsidRDefault="00FC56F3">
      <w:pPr>
        <w:pStyle w:val="a3"/>
        <w:spacing w:after="0"/>
        <w:ind w:firstLine="1440"/>
        <w:jc w:val="both"/>
      </w:pPr>
      <w:r>
        <w:t> </w:t>
      </w:r>
    </w:p>
    <w:p w14:paraId="41F7E45B" w14:textId="77777777" w:rsidR="00E22AC0" w:rsidRDefault="00FC56F3">
      <w:pPr>
        <w:pStyle w:val="a3"/>
        <w:spacing w:after="0"/>
        <w:ind w:firstLine="1440"/>
        <w:jc w:val="both"/>
      </w:pPr>
      <w:r>
        <w:t>“</w:t>
      </w:r>
      <w:r>
        <w:rPr>
          <w:rFonts w:ascii="Times New Roman;Times;Serif" w:hAnsi="Times New Roman;Times;Serif"/>
          <w:b/>
          <w:sz w:val="20"/>
        </w:rPr>
        <w:t>Governmental Entity</w:t>
      </w:r>
      <w:r>
        <w:rPr>
          <w:rFonts w:ascii="Times New Roman;Times;Serif" w:hAnsi="Times New Roman;Times;Serif"/>
          <w:sz w:val="20"/>
        </w:rPr>
        <w:t>” means any entity or body exercising executive, legislative, judicial, regulatory or administrative functions of</w:t>
      </w:r>
      <w:r>
        <w:rPr>
          <w:rFonts w:ascii="Times New Roman;Times;Serif" w:hAnsi="Times New Roman;Times;Serif"/>
          <w:sz w:val="20"/>
        </w:rPr>
        <w:t xml:space="preserve"> or pertaining to United States federal, state or local government or foreign, international, multinational or other government, including any department, commission, board, agency, bureau, official or other regulatory, administrative or judicial authority</w:t>
      </w:r>
      <w:r>
        <w:rPr>
          <w:rFonts w:ascii="Times New Roman;Times;Serif" w:hAnsi="Times New Roman;Times;Serif"/>
          <w:sz w:val="20"/>
        </w:rPr>
        <w:t xml:space="preserve"> thereof.</w:t>
      </w:r>
    </w:p>
    <w:p w14:paraId="5E005A69" w14:textId="77777777" w:rsidR="00E22AC0" w:rsidRDefault="00FC56F3">
      <w:pPr>
        <w:pStyle w:val="a3"/>
        <w:spacing w:after="0"/>
        <w:ind w:firstLine="1440"/>
        <w:jc w:val="both"/>
      </w:pPr>
      <w:r>
        <w:t> </w:t>
      </w:r>
    </w:p>
    <w:p w14:paraId="4E9968CD" w14:textId="77777777" w:rsidR="00E22AC0" w:rsidRDefault="00FC56F3">
      <w:pPr>
        <w:pStyle w:val="a3"/>
        <w:spacing w:after="0"/>
        <w:ind w:firstLine="1440"/>
        <w:jc w:val="both"/>
      </w:pPr>
      <w:r>
        <w:t>“</w:t>
      </w:r>
      <w:r>
        <w:rPr>
          <w:rFonts w:ascii="Times New Roman;Times;Serif" w:hAnsi="Times New Roman;Times;Serif"/>
          <w:b/>
          <w:sz w:val="20"/>
        </w:rPr>
        <w:t>Independent Accounting Firm</w:t>
      </w:r>
      <w:r>
        <w:rPr>
          <w:rFonts w:ascii="Times New Roman;Times;Serif" w:hAnsi="Times New Roman;Times;Serif"/>
          <w:sz w:val="20"/>
        </w:rPr>
        <w:t xml:space="preserve">” means any nationally recognized independent registered public accounting firm which has not represented the Company or the Sellers or any of their Affiliates for the past five years as will be agreed by the </w:t>
      </w:r>
      <w:r>
        <w:rPr>
          <w:rFonts w:ascii="Times New Roman;Times;Serif" w:hAnsi="Times New Roman;Times;Serif"/>
          <w:sz w:val="20"/>
        </w:rPr>
        <w:t>Company and the Buyer in writing.</w:t>
      </w:r>
    </w:p>
    <w:p w14:paraId="6E566792" w14:textId="77777777" w:rsidR="00E22AC0" w:rsidRDefault="00FC56F3">
      <w:pPr>
        <w:pStyle w:val="a3"/>
        <w:spacing w:after="0"/>
        <w:ind w:firstLine="1440"/>
        <w:jc w:val="both"/>
      </w:pPr>
      <w:r>
        <w:t> </w:t>
      </w:r>
    </w:p>
    <w:p w14:paraId="03D049D9" w14:textId="77777777" w:rsidR="00E22AC0" w:rsidRDefault="00FC56F3">
      <w:pPr>
        <w:pStyle w:val="a3"/>
        <w:spacing w:after="0"/>
        <w:ind w:firstLine="1440"/>
        <w:jc w:val="both"/>
      </w:pPr>
      <w:r>
        <w:t>“</w:t>
      </w:r>
      <w:r>
        <w:rPr>
          <w:rFonts w:ascii="Times New Roman;Times;Serif" w:hAnsi="Times New Roman;Times;Serif"/>
          <w:b/>
          <w:sz w:val="20"/>
        </w:rPr>
        <w:t>IRS</w:t>
      </w:r>
      <w:r>
        <w:rPr>
          <w:rFonts w:ascii="Times New Roman;Times;Serif" w:hAnsi="Times New Roman;Times;Serif"/>
          <w:sz w:val="20"/>
        </w:rPr>
        <w:t>” means the Internal Revenue Service.</w:t>
      </w:r>
    </w:p>
    <w:p w14:paraId="68ADBC68" w14:textId="77777777" w:rsidR="00E22AC0" w:rsidRDefault="00FC56F3">
      <w:pPr>
        <w:pStyle w:val="a3"/>
        <w:spacing w:after="0"/>
        <w:ind w:firstLine="1440"/>
        <w:jc w:val="both"/>
      </w:pPr>
      <w:r>
        <w:t> </w:t>
      </w:r>
    </w:p>
    <w:p w14:paraId="6C21D2EC" w14:textId="77777777" w:rsidR="00E22AC0" w:rsidRDefault="00FC56F3">
      <w:pPr>
        <w:pStyle w:val="a3"/>
        <w:spacing w:after="0"/>
        <w:ind w:firstLine="1440"/>
        <w:jc w:val="both"/>
      </w:pPr>
      <w:r>
        <w:t>“</w:t>
      </w:r>
      <w:r>
        <w:rPr>
          <w:rFonts w:ascii="Times New Roman;Times;Serif" w:hAnsi="Times New Roman;Times;Serif"/>
          <w:b/>
          <w:sz w:val="20"/>
        </w:rPr>
        <w:t>Knowledge of the Sellers</w:t>
      </w:r>
      <w:r>
        <w:rPr>
          <w:rFonts w:ascii="Times New Roman;Times;Serif" w:hAnsi="Times New Roman;Times;Serif"/>
          <w:sz w:val="20"/>
        </w:rPr>
        <w:t>” or any similar phrase means the actual knowledge of each or either Seller, in each case without obligation of inquiry.</w:t>
      </w:r>
    </w:p>
    <w:p w14:paraId="68A58C36" w14:textId="77777777" w:rsidR="00E22AC0" w:rsidRDefault="00FC56F3">
      <w:pPr>
        <w:pStyle w:val="a3"/>
        <w:spacing w:after="0"/>
        <w:ind w:firstLine="1440"/>
        <w:jc w:val="both"/>
      </w:pPr>
      <w:r>
        <w:lastRenderedPageBreak/>
        <w:t> </w:t>
      </w:r>
    </w:p>
    <w:p w14:paraId="3200E3C9" w14:textId="77777777" w:rsidR="00E22AC0" w:rsidRDefault="00FC56F3">
      <w:pPr>
        <w:pStyle w:val="a3"/>
        <w:spacing w:after="0"/>
        <w:ind w:firstLine="144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2</w:t>
      </w:r>
    </w:p>
    <w:p w14:paraId="672F6CA2" w14:textId="77777777" w:rsidR="00E22AC0" w:rsidRDefault="00FC56F3">
      <w:pPr>
        <w:pStyle w:val="a3"/>
        <w:spacing w:after="0"/>
      </w:pPr>
      <w:r>
        <w:t> </w:t>
      </w:r>
    </w:p>
    <w:p w14:paraId="21678228" w14:textId="77777777" w:rsidR="00E22AC0" w:rsidRDefault="00FC56F3">
      <w:pPr>
        <w:pStyle w:val="a3"/>
        <w:spacing w:after="0"/>
        <w:ind w:firstLine="1440"/>
        <w:jc w:val="both"/>
      </w:pPr>
      <w:r>
        <w:t> </w:t>
      </w:r>
    </w:p>
    <w:p w14:paraId="1AF90350" w14:textId="77777777" w:rsidR="00E22AC0" w:rsidRDefault="00FC56F3">
      <w:pPr>
        <w:pStyle w:val="a3"/>
        <w:spacing w:after="0"/>
        <w:ind w:firstLine="1440"/>
        <w:jc w:val="both"/>
      </w:pPr>
      <w:r>
        <w:t>“</w:t>
      </w:r>
      <w:r>
        <w:rPr>
          <w:rFonts w:ascii="Times New Roman;Times;Serif" w:hAnsi="Times New Roman;Times;Serif"/>
          <w:b/>
          <w:sz w:val="20"/>
        </w:rPr>
        <w:t>Law</w:t>
      </w:r>
      <w:r>
        <w:rPr>
          <w:rFonts w:ascii="Times New Roman;Times;Serif" w:hAnsi="Times New Roman;Times;Serif"/>
          <w:sz w:val="20"/>
        </w:rPr>
        <w:t xml:space="preserve">” means any </w:t>
      </w:r>
      <w:r>
        <w:rPr>
          <w:rFonts w:ascii="Times New Roman;Times;Serif" w:hAnsi="Times New Roman;Times;Serif"/>
          <w:sz w:val="20"/>
        </w:rPr>
        <w:t>statute, law, ordinance, rule, regulation of any Governmental Entity.</w:t>
      </w:r>
    </w:p>
    <w:p w14:paraId="5E00D22D" w14:textId="77777777" w:rsidR="00E22AC0" w:rsidRDefault="00FC56F3">
      <w:pPr>
        <w:pStyle w:val="a3"/>
        <w:spacing w:after="0"/>
        <w:ind w:firstLine="1440"/>
        <w:jc w:val="both"/>
      </w:pPr>
      <w:r>
        <w:t> </w:t>
      </w:r>
    </w:p>
    <w:p w14:paraId="608BF870" w14:textId="77777777" w:rsidR="00E22AC0" w:rsidRDefault="00FC56F3">
      <w:pPr>
        <w:pStyle w:val="a3"/>
        <w:spacing w:after="0"/>
        <w:ind w:firstLine="1440"/>
        <w:jc w:val="both"/>
      </w:pPr>
      <w:r>
        <w:t>“</w:t>
      </w:r>
      <w:r>
        <w:rPr>
          <w:rFonts w:ascii="Times New Roman;Times;Serif" w:hAnsi="Times New Roman;Times;Serif"/>
          <w:b/>
          <w:sz w:val="20"/>
        </w:rPr>
        <w:t>Liability</w:t>
      </w:r>
      <w:r>
        <w:rPr>
          <w:rFonts w:ascii="Times New Roman;Times;Serif" w:hAnsi="Times New Roman;Times;Serif"/>
          <w:sz w:val="20"/>
        </w:rPr>
        <w:t>” means all indebtedness, obligations and other liabilities and contingencies of a Person, whether absolute, accrued, contingent, fixed or otherwise, or whether due or to bec</w:t>
      </w:r>
      <w:r>
        <w:rPr>
          <w:rFonts w:ascii="Times New Roman;Times;Serif" w:hAnsi="Times New Roman;Times;Serif"/>
          <w:sz w:val="20"/>
        </w:rPr>
        <w:t>ome due except for the Payroll Protection Plan Loan.</w:t>
      </w:r>
    </w:p>
    <w:p w14:paraId="74C6D6B2" w14:textId="77777777" w:rsidR="00E22AC0" w:rsidRDefault="00FC56F3">
      <w:pPr>
        <w:pStyle w:val="a3"/>
        <w:spacing w:after="0"/>
        <w:ind w:firstLine="1440"/>
        <w:jc w:val="both"/>
      </w:pPr>
      <w:r>
        <w:t> </w:t>
      </w:r>
    </w:p>
    <w:p w14:paraId="0B276E18" w14:textId="77777777" w:rsidR="00E22AC0" w:rsidRDefault="00FC56F3">
      <w:pPr>
        <w:pStyle w:val="a3"/>
        <w:spacing w:after="0"/>
        <w:ind w:firstLine="1440"/>
        <w:jc w:val="both"/>
      </w:pPr>
      <w:r>
        <w:t>“</w:t>
      </w:r>
      <w:r>
        <w:rPr>
          <w:rFonts w:ascii="Times New Roman;Times;Serif" w:hAnsi="Times New Roman;Times;Serif"/>
          <w:b/>
          <w:sz w:val="20"/>
        </w:rPr>
        <w:t>Lien</w:t>
      </w:r>
      <w:r>
        <w:rPr>
          <w:rFonts w:ascii="Times New Roman;Times;Serif" w:hAnsi="Times New Roman;Times;Serif"/>
          <w:sz w:val="20"/>
        </w:rPr>
        <w:t>” means, with respect to any property or asset, any mortgage, lien, pledge, charge, security interest, hypothecation or other encumbrance in respect of such property or asset.</w:t>
      </w:r>
    </w:p>
    <w:p w14:paraId="02B732EA" w14:textId="77777777" w:rsidR="00E22AC0" w:rsidRDefault="00FC56F3">
      <w:pPr>
        <w:pStyle w:val="a3"/>
        <w:spacing w:after="0"/>
        <w:ind w:firstLine="1440"/>
        <w:jc w:val="both"/>
      </w:pPr>
      <w:r>
        <w:t> </w:t>
      </w:r>
    </w:p>
    <w:p w14:paraId="4928E438" w14:textId="77777777" w:rsidR="00E22AC0" w:rsidRDefault="00FC56F3">
      <w:pPr>
        <w:pStyle w:val="a3"/>
        <w:spacing w:after="0"/>
        <w:ind w:firstLine="1440"/>
        <w:jc w:val="both"/>
      </w:pPr>
      <w:r>
        <w:t>“</w:t>
      </w:r>
      <w:r>
        <w:rPr>
          <w:rFonts w:ascii="Times New Roman;Times;Serif" w:hAnsi="Times New Roman;Times;Serif"/>
          <w:b/>
          <w:sz w:val="20"/>
        </w:rPr>
        <w:t xml:space="preserve">Material Adverse </w:t>
      </w:r>
      <w:r>
        <w:rPr>
          <w:rFonts w:ascii="Times New Roman;Times;Serif" w:hAnsi="Times New Roman;Times;Serif"/>
          <w:b/>
          <w:sz w:val="20"/>
        </w:rPr>
        <w:t>Effect</w:t>
      </w:r>
      <w:r>
        <w:rPr>
          <w:rFonts w:ascii="Times New Roman;Times;Serif" w:hAnsi="Times New Roman;Times;Serif"/>
          <w:sz w:val="20"/>
        </w:rPr>
        <w:t>” means any material adverse effect on the assets, properties, condition (financial or otherwise), operations of the Company and any of its Subsidiaries, taken as a whole.</w:t>
      </w:r>
    </w:p>
    <w:p w14:paraId="40C80E70" w14:textId="77777777" w:rsidR="00E22AC0" w:rsidRDefault="00FC56F3">
      <w:pPr>
        <w:pStyle w:val="a3"/>
        <w:spacing w:after="0"/>
        <w:ind w:firstLine="1440"/>
        <w:jc w:val="both"/>
      </w:pPr>
      <w:r>
        <w:t> </w:t>
      </w:r>
    </w:p>
    <w:p w14:paraId="55DEC437" w14:textId="77777777" w:rsidR="00E22AC0" w:rsidRDefault="00FC56F3">
      <w:pPr>
        <w:pStyle w:val="a3"/>
        <w:spacing w:after="0"/>
        <w:ind w:firstLine="1440"/>
        <w:jc w:val="both"/>
      </w:pPr>
      <w:r>
        <w:t>“</w:t>
      </w:r>
      <w:r>
        <w:rPr>
          <w:rFonts w:ascii="Times New Roman;Times;Serif" w:hAnsi="Times New Roman;Times;Serif"/>
          <w:b/>
          <w:sz w:val="20"/>
        </w:rPr>
        <w:t>Net Working Capital</w:t>
      </w:r>
      <w:r>
        <w:rPr>
          <w:rFonts w:ascii="Times New Roman;Times;Serif" w:hAnsi="Times New Roman;Times;Serif"/>
          <w:sz w:val="20"/>
        </w:rPr>
        <w:t>” means (</w:t>
      </w:r>
      <w:proofErr w:type="spellStart"/>
      <w:r>
        <w:rPr>
          <w:rFonts w:ascii="Times New Roman;Times;Serif" w:hAnsi="Times New Roman;Times;Serif"/>
          <w:sz w:val="20"/>
        </w:rPr>
        <w:t>i</w:t>
      </w:r>
      <w:proofErr w:type="spellEnd"/>
      <w:r>
        <w:rPr>
          <w:rFonts w:ascii="Times New Roman;Times;Serif" w:hAnsi="Times New Roman;Times;Serif"/>
          <w:sz w:val="20"/>
        </w:rPr>
        <w:t>) good and collectible accounts receivable; pl</w:t>
      </w:r>
      <w:r>
        <w:rPr>
          <w:rFonts w:ascii="Times New Roman;Times;Serif" w:hAnsi="Times New Roman;Times;Serif"/>
          <w:sz w:val="20"/>
        </w:rPr>
        <w:t>us (ii) good and merchantable inventory; plus (iii) prepaid expenses and other current assets that have an economic benefit to the Company post-Closing, including the $91,000.00 in cash as provided in Section 7.4; less (iv) current accounts payable, accrue</w:t>
      </w:r>
      <w:r>
        <w:rPr>
          <w:rFonts w:ascii="Times New Roman;Times;Serif" w:hAnsi="Times New Roman;Times;Serif"/>
          <w:sz w:val="20"/>
        </w:rPr>
        <w:t>d Liabilities and outstanding checks and other current Liabilities. For the avoidance of doubt, attached as Exhibit B is an example of the calculation of Net Working Capital.</w:t>
      </w:r>
    </w:p>
    <w:p w14:paraId="5E1A508A" w14:textId="77777777" w:rsidR="00E22AC0" w:rsidRDefault="00FC56F3">
      <w:pPr>
        <w:pStyle w:val="a3"/>
        <w:spacing w:after="0"/>
        <w:ind w:firstLine="1440"/>
        <w:jc w:val="both"/>
      </w:pPr>
      <w:r>
        <w:t> </w:t>
      </w:r>
    </w:p>
    <w:p w14:paraId="3290A0D1" w14:textId="77777777" w:rsidR="00E22AC0" w:rsidRDefault="00FC56F3">
      <w:pPr>
        <w:pStyle w:val="a3"/>
        <w:spacing w:after="0"/>
        <w:ind w:firstLine="1440"/>
        <w:jc w:val="both"/>
      </w:pPr>
      <w:r>
        <w:t>“</w:t>
      </w:r>
      <w:r>
        <w:rPr>
          <w:rFonts w:ascii="Times New Roman;Times;Serif" w:hAnsi="Times New Roman;Times;Serif"/>
          <w:b/>
          <w:sz w:val="20"/>
        </w:rPr>
        <w:t>Net Working Capital Target</w:t>
      </w:r>
      <w:r>
        <w:rPr>
          <w:rFonts w:ascii="Times New Roman;Times;Serif" w:hAnsi="Times New Roman;Times;Serif"/>
          <w:sz w:val="20"/>
        </w:rPr>
        <w:t>” is equal to $154,000.</w:t>
      </w:r>
    </w:p>
    <w:p w14:paraId="71762DDE" w14:textId="77777777" w:rsidR="00E22AC0" w:rsidRDefault="00FC56F3">
      <w:pPr>
        <w:pStyle w:val="a3"/>
        <w:spacing w:after="0"/>
        <w:ind w:firstLine="1440"/>
        <w:jc w:val="both"/>
      </w:pPr>
      <w:r>
        <w:t> </w:t>
      </w:r>
    </w:p>
    <w:p w14:paraId="5DCA8379" w14:textId="77777777" w:rsidR="00E22AC0" w:rsidRDefault="00FC56F3">
      <w:pPr>
        <w:pStyle w:val="a3"/>
        <w:spacing w:after="0"/>
        <w:ind w:firstLine="1440"/>
        <w:jc w:val="both"/>
      </w:pPr>
      <w:r>
        <w:t>“</w:t>
      </w:r>
      <w:r>
        <w:rPr>
          <w:rFonts w:ascii="Times New Roman;Times;Serif" w:hAnsi="Times New Roman;Times;Serif"/>
          <w:b/>
          <w:sz w:val="20"/>
        </w:rPr>
        <w:t>Order</w:t>
      </w:r>
      <w:r>
        <w:rPr>
          <w:rFonts w:ascii="Times New Roman;Times;Serif" w:hAnsi="Times New Roman;Times;Serif"/>
          <w:sz w:val="20"/>
        </w:rPr>
        <w:t>” means any award, i</w:t>
      </w:r>
      <w:r>
        <w:rPr>
          <w:rFonts w:ascii="Times New Roman;Times;Serif" w:hAnsi="Times New Roman;Times;Serif"/>
          <w:sz w:val="20"/>
        </w:rPr>
        <w:t>njunction, judgment, decree, order, ruling, subpoena or verdict or other decision issued, promulgated or entered by or with any Governmental Entity of competent jurisdiction.</w:t>
      </w:r>
    </w:p>
    <w:p w14:paraId="3D22B377" w14:textId="77777777" w:rsidR="00E22AC0" w:rsidRDefault="00FC56F3">
      <w:pPr>
        <w:pStyle w:val="a3"/>
        <w:spacing w:after="0"/>
      </w:pPr>
      <w:r>
        <w:t> </w:t>
      </w:r>
    </w:p>
    <w:p w14:paraId="774BB564" w14:textId="77777777" w:rsidR="00E22AC0" w:rsidRDefault="00FC56F3">
      <w:pPr>
        <w:pStyle w:val="a3"/>
        <w:spacing w:after="0"/>
      </w:pPr>
      <w:r>
        <w:t>“</w:t>
      </w:r>
      <w:r>
        <w:rPr>
          <w:rFonts w:ascii="Times New Roman;Times;Serif" w:hAnsi="Times New Roman;Times;Serif"/>
          <w:b/>
          <w:sz w:val="20"/>
        </w:rPr>
        <w:t xml:space="preserve">Payroll Protection Plan Loan” </w:t>
      </w:r>
      <w:r>
        <w:rPr>
          <w:rFonts w:ascii="Times New Roman;Times;Serif" w:hAnsi="Times New Roman;Times;Serif"/>
          <w:sz w:val="20"/>
        </w:rPr>
        <w:t>means the loan (including principal and any accr</w:t>
      </w:r>
      <w:r>
        <w:rPr>
          <w:rFonts w:ascii="Times New Roman;Times;Serif" w:hAnsi="Times New Roman;Times;Serif"/>
          <w:sz w:val="20"/>
        </w:rPr>
        <w:t>ued interest) obtain by the Company in the principal amount of $281,125.00 funded on or about April 4, 2020, with JP Morgan Chase, as Lender.</w:t>
      </w:r>
    </w:p>
    <w:p w14:paraId="2E7AC360" w14:textId="77777777" w:rsidR="00E22AC0" w:rsidRDefault="00FC56F3">
      <w:pPr>
        <w:pStyle w:val="a3"/>
        <w:spacing w:after="0"/>
        <w:ind w:firstLine="1440"/>
        <w:jc w:val="both"/>
      </w:pPr>
      <w:r>
        <w:t> </w:t>
      </w:r>
    </w:p>
    <w:p w14:paraId="36A61211" w14:textId="77777777" w:rsidR="00E22AC0" w:rsidRDefault="00FC56F3">
      <w:pPr>
        <w:pStyle w:val="a3"/>
        <w:spacing w:after="0"/>
        <w:ind w:firstLine="1440"/>
        <w:jc w:val="both"/>
      </w:pPr>
      <w:r>
        <w:t>“</w:t>
      </w:r>
      <w:r>
        <w:rPr>
          <w:rFonts w:ascii="Times New Roman;Times;Serif" w:hAnsi="Times New Roman;Times;Serif"/>
          <w:b/>
          <w:sz w:val="20"/>
        </w:rPr>
        <w:t>Permit</w:t>
      </w:r>
      <w:r>
        <w:rPr>
          <w:rFonts w:ascii="Times New Roman;Times;Serif" w:hAnsi="Times New Roman;Times;Serif"/>
          <w:sz w:val="20"/>
        </w:rPr>
        <w:t xml:space="preserve">” means any authorization, approval, consent, certificate, license, permit or franchise of or from any </w:t>
      </w:r>
      <w:r>
        <w:rPr>
          <w:rFonts w:ascii="Times New Roman;Times;Serif" w:hAnsi="Times New Roman;Times;Serif"/>
          <w:sz w:val="20"/>
        </w:rPr>
        <w:t>Governmental Entity of competent jurisdiction or pursuant to any Law.</w:t>
      </w:r>
    </w:p>
    <w:p w14:paraId="1C0FE800" w14:textId="77777777" w:rsidR="00E22AC0" w:rsidRDefault="00FC56F3">
      <w:pPr>
        <w:pStyle w:val="a3"/>
        <w:spacing w:after="0"/>
        <w:ind w:firstLine="1440"/>
        <w:jc w:val="both"/>
      </w:pPr>
      <w:r>
        <w:t> </w:t>
      </w:r>
    </w:p>
    <w:p w14:paraId="294408F7" w14:textId="77777777" w:rsidR="00E22AC0" w:rsidRDefault="00FC56F3">
      <w:pPr>
        <w:pStyle w:val="a3"/>
        <w:spacing w:after="0"/>
        <w:ind w:firstLine="1440"/>
        <w:jc w:val="both"/>
      </w:pPr>
      <w:r>
        <w:t>“</w:t>
      </w:r>
      <w:r>
        <w:rPr>
          <w:rFonts w:ascii="Times New Roman;Times;Serif" w:hAnsi="Times New Roman;Times;Serif"/>
          <w:b/>
          <w:sz w:val="20"/>
        </w:rPr>
        <w:t>Person</w:t>
      </w:r>
      <w:r>
        <w:rPr>
          <w:rFonts w:ascii="Times New Roman;Times;Serif" w:hAnsi="Times New Roman;Times;Serif"/>
          <w:sz w:val="20"/>
        </w:rPr>
        <w:t>” means an individual, a corporation, a partnership, a limited liability company, a trust, an unincorporated association, a Governmental Entity or any agency, instrumentality or</w:t>
      </w:r>
      <w:r>
        <w:rPr>
          <w:rFonts w:ascii="Times New Roman;Times;Serif" w:hAnsi="Times New Roman;Times;Serif"/>
          <w:sz w:val="20"/>
        </w:rPr>
        <w:t xml:space="preserve"> political subdivision of a Governmental Entity, or any other entity or body.</w:t>
      </w:r>
    </w:p>
    <w:p w14:paraId="3218B1B7" w14:textId="77777777" w:rsidR="00E22AC0" w:rsidRDefault="00FC56F3">
      <w:pPr>
        <w:pStyle w:val="a3"/>
        <w:spacing w:after="0"/>
        <w:ind w:firstLine="1440"/>
        <w:jc w:val="both"/>
      </w:pPr>
      <w:r>
        <w:t> </w:t>
      </w:r>
    </w:p>
    <w:p w14:paraId="786685FB" w14:textId="77777777" w:rsidR="00E22AC0" w:rsidRDefault="00FC56F3">
      <w:pPr>
        <w:pStyle w:val="a3"/>
        <w:spacing w:after="0"/>
        <w:ind w:firstLine="1440"/>
        <w:jc w:val="both"/>
      </w:pPr>
      <w:r>
        <w:t>“</w:t>
      </w:r>
      <w:r>
        <w:rPr>
          <w:rFonts w:ascii="Times New Roman;Times;Serif" w:hAnsi="Times New Roman;Times;Serif"/>
          <w:b/>
          <w:sz w:val="20"/>
        </w:rPr>
        <w:t>Preliminary Working Capital</w:t>
      </w:r>
      <w:r>
        <w:rPr>
          <w:rFonts w:ascii="Times New Roman;Times;Serif" w:hAnsi="Times New Roman;Times;Serif"/>
          <w:sz w:val="20"/>
        </w:rPr>
        <w:t>” means the Net Working Capital as reflected on the Preliminary Balance Sheet, determined in accordance with GAAP.</w:t>
      </w:r>
    </w:p>
    <w:p w14:paraId="102ED97C" w14:textId="77777777" w:rsidR="00E22AC0" w:rsidRDefault="00FC56F3">
      <w:pPr>
        <w:pStyle w:val="a3"/>
        <w:spacing w:after="0"/>
        <w:ind w:firstLine="1440"/>
        <w:jc w:val="both"/>
      </w:pPr>
      <w:r>
        <w:t> </w:t>
      </w:r>
    </w:p>
    <w:p w14:paraId="705A21B7" w14:textId="77777777" w:rsidR="00E22AC0" w:rsidRDefault="00FC56F3">
      <w:pPr>
        <w:pStyle w:val="a3"/>
        <w:spacing w:after="0"/>
        <w:ind w:firstLine="1440"/>
        <w:jc w:val="both"/>
      </w:pPr>
      <w:r>
        <w:t>“</w:t>
      </w:r>
      <w:r>
        <w:rPr>
          <w:rFonts w:ascii="Times New Roman;Times;Serif" w:hAnsi="Times New Roman;Times;Serif"/>
          <w:b/>
          <w:sz w:val="20"/>
        </w:rPr>
        <w:t>Representatives</w:t>
      </w:r>
      <w:r>
        <w:rPr>
          <w:rFonts w:ascii="Times New Roman;Times;Serif" w:hAnsi="Times New Roman;Times;Serif"/>
          <w:sz w:val="20"/>
        </w:rPr>
        <w:t>” means, with r</w:t>
      </w:r>
      <w:r>
        <w:rPr>
          <w:rFonts w:ascii="Times New Roman;Times;Serif" w:hAnsi="Times New Roman;Times;Serif"/>
          <w:sz w:val="20"/>
        </w:rPr>
        <w:t>espect to any Person, the respective directors, officers, employees, counsel, accountants and other representatives of such Person.</w:t>
      </w:r>
    </w:p>
    <w:p w14:paraId="4CCC681C" w14:textId="77777777" w:rsidR="00E22AC0" w:rsidRDefault="00FC56F3">
      <w:pPr>
        <w:pStyle w:val="a3"/>
        <w:spacing w:after="0"/>
        <w:ind w:firstLine="1440"/>
        <w:jc w:val="both"/>
      </w:pPr>
      <w:r>
        <w:t> </w:t>
      </w:r>
    </w:p>
    <w:p w14:paraId="58C2D31C" w14:textId="77777777" w:rsidR="00E22AC0" w:rsidRDefault="00FC56F3">
      <w:pPr>
        <w:pStyle w:val="a3"/>
        <w:spacing w:after="0"/>
        <w:ind w:firstLine="1440"/>
        <w:jc w:val="both"/>
      </w:pPr>
      <w:r>
        <w:t>“</w:t>
      </w:r>
      <w:r>
        <w:rPr>
          <w:rFonts w:ascii="Times New Roman;Times;Serif" w:hAnsi="Times New Roman;Times;Serif"/>
          <w:b/>
          <w:sz w:val="20"/>
        </w:rPr>
        <w:t>Subsidiary</w:t>
      </w:r>
      <w:r>
        <w:rPr>
          <w:rFonts w:ascii="Times New Roman;Times;Serif" w:hAnsi="Times New Roman;Times;Serif"/>
          <w:sz w:val="20"/>
        </w:rPr>
        <w:t xml:space="preserve">” means, with respect to any Person, any corporation, partnership, joint venture or other legal entity of </w:t>
      </w:r>
      <w:r>
        <w:rPr>
          <w:rFonts w:ascii="Times New Roman;Times;Serif" w:hAnsi="Times New Roman;Times;Serif"/>
          <w:sz w:val="20"/>
        </w:rPr>
        <w:t>which such Person (either alone or through or together with any other Subsidiary), owns, directly or indirectly, more than 50% of the stock or other equity interests, the holders of which are generally entitled to vote for the election of the board of dire</w:t>
      </w:r>
      <w:r>
        <w:rPr>
          <w:rFonts w:ascii="Times New Roman;Times;Serif" w:hAnsi="Times New Roman;Times;Serif"/>
          <w:sz w:val="20"/>
        </w:rPr>
        <w:t>ctors or other governing body of a non-corporate Person.</w:t>
      </w:r>
    </w:p>
    <w:p w14:paraId="4529CA50" w14:textId="77777777" w:rsidR="00E22AC0" w:rsidRDefault="00FC56F3">
      <w:pPr>
        <w:pStyle w:val="a3"/>
        <w:spacing w:after="0"/>
        <w:ind w:firstLine="1440"/>
        <w:jc w:val="both"/>
      </w:pPr>
      <w:r>
        <w:t> </w:t>
      </w:r>
    </w:p>
    <w:p w14:paraId="6F43438A" w14:textId="77777777" w:rsidR="00E22AC0" w:rsidRDefault="00FC56F3">
      <w:pPr>
        <w:pStyle w:val="a3"/>
        <w:spacing w:after="0"/>
        <w:ind w:firstLine="144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3</w:t>
      </w:r>
    </w:p>
    <w:p w14:paraId="0282F53B" w14:textId="77777777" w:rsidR="00E22AC0" w:rsidRDefault="00FC56F3">
      <w:pPr>
        <w:pStyle w:val="a3"/>
        <w:spacing w:after="0"/>
      </w:pPr>
      <w:r>
        <w:t> </w:t>
      </w:r>
    </w:p>
    <w:p w14:paraId="750681B7" w14:textId="77777777" w:rsidR="00E22AC0" w:rsidRDefault="00FC56F3">
      <w:pPr>
        <w:pStyle w:val="a3"/>
        <w:spacing w:after="0"/>
        <w:ind w:firstLine="1440"/>
        <w:jc w:val="both"/>
      </w:pPr>
      <w:r>
        <w:t> </w:t>
      </w:r>
    </w:p>
    <w:p w14:paraId="15AB4CE9" w14:textId="77777777" w:rsidR="00E22AC0" w:rsidRDefault="00FC56F3">
      <w:pPr>
        <w:pStyle w:val="a3"/>
        <w:spacing w:after="0"/>
        <w:ind w:firstLine="1440"/>
        <w:jc w:val="both"/>
      </w:pPr>
      <w:r>
        <w:t>“</w:t>
      </w:r>
      <w:r>
        <w:rPr>
          <w:rFonts w:ascii="Times New Roman;Times;Serif" w:hAnsi="Times New Roman;Times;Serif"/>
          <w:b/>
          <w:sz w:val="20"/>
        </w:rPr>
        <w:t>Taxes</w:t>
      </w:r>
      <w:r>
        <w:rPr>
          <w:rFonts w:ascii="Times New Roman;Times;Serif" w:hAnsi="Times New Roman;Times;Serif"/>
          <w:sz w:val="20"/>
        </w:rPr>
        <w:t>” means all federal, state, local and foreign income, profits, franchise, gross receipts, environmental, customs duty, capital stock, severance, stamp, payroll, sales, transfer, employm</w:t>
      </w:r>
      <w:r>
        <w:rPr>
          <w:rFonts w:ascii="Times New Roman;Times;Serif" w:hAnsi="Times New Roman;Times;Serif"/>
          <w:sz w:val="20"/>
        </w:rPr>
        <w:t xml:space="preserve">ent, unemployment, disability, use, property, </w:t>
      </w:r>
      <w:r>
        <w:rPr>
          <w:rFonts w:ascii="Times New Roman;Times;Serif" w:hAnsi="Times New Roman;Times;Serif"/>
          <w:sz w:val="20"/>
        </w:rPr>
        <w:lastRenderedPageBreak/>
        <w:t>withholding, excise, production, value added, occupancy and other taxes, duties or assessments of any nature whatsoever.</w:t>
      </w:r>
    </w:p>
    <w:p w14:paraId="67B241C3" w14:textId="77777777" w:rsidR="00E22AC0" w:rsidRDefault="00FC56F3">
      <w:pPr>
        <w:pStyle w:val="a3"/>
        <w:spacing w:after="0"/>
        <w:ind w:firstLine="1440"/>
        <w:jc w:val="both"/>
      </w:pPr>
      <w:r>
        <w:t> </w:t>
      </w:r>
    </w:p>
    <w:p w14:paraId="3C91BBBE" w14:textId="77777777" w:rsidR="00E22AC0" w:rsidRDefault="00FC56F3">
      <w:pPr>
        <w:pStyle w:val="a3"/>
        <w:spacing w:after="0"/>
        <w:ind w:firstLine="1440"/>
        <w:jc w:val="both"/>
      </w:pPr>
      <w:r>
        <w:t>“</w:t>
      </w:r>
      <w:r>
        <w:rPr>
          <w:rFonts w:ascii="Times New Roman;Times;Serif" w:hAnsi="Times New Roman;Times;Serif"/>
          <w:b/>
          <w:sz w:val="20"/>
        </w:rPr>
        <w:t>Taxing Authority</w:t>
      </w:r>
      <w:r>
        <w:rPr>
          <w:rFonts w:ascii="Times New Roman;Times;Serif" w:hAnsi="Times New Roman;Times;Serif"/>
          <w:sz w:val="20"/>
        </w:rPr>
        <w:t>” means any Governmental Entity having or purporting to exercise juris</w:t>
      </w:r>
      <w:r>
        <w:rPr>
          <w:rFonts w:ascii="Times New Roman;Times;Serif" w:hAnsi="Times New Roman;Times;Serif"/>
          <w:sz w:val="20"/>
        </w:rPr>
        <w:t>diction with respect to any Tax.</w:t>
      </w:r>
    </w:p>
    <w:p w14:paraId="3DDC4310" w14:textId="77777777" w:rsidR="00E22AC0" w:rsidRDefault="00FC56F3">
      <w:pPr>
        <w:pStyle w:val="a3"/>
        <w:spacing w:after="0"/>
        <w:ind w:firstLine="1440"/>
        <w:jc w:val="both"/>
      </w:pPr>
      <w:r>
        <w:t> </w:t>
      </w:r>
    </w:p>
    <w:p w14:paraId="46058AE3" w14:textId="77777777" w:rsidR="00E22AC0" w:rsidRDefault="00FC56F3">
      <w:pPr>
        <w:pStyle w:val="a3"/>
        <w:spacing w:after="0"/>
        <w:ind w:firstLine="1440"/>
        <w:jc w:val="both"/>
      </w:pPr>
      <w:r>
        <w:t>“</w:t>
      </w:r>
      <w:r>
        <w:rPr>
          <w:rFonts w:ascii="Times New Roman;Times;Serif" w:hAnsi="Times New Roman;Times;Serif"/>
          <w:b/>
          <w:sz w:val="20"/>
        </w:rPr>
        <w:t>Tax Returns</w:t>
      </w:r>
      <w:r>
        <w:rPr>
          <w:rFonts w:ascii="Times New Roman;Times;Serif" w:hAnsi="Times New Roman;Times;Serif"/>
          <w:sz w:val="20"/>
        </w:rPr>
        <w:t>” means any return, declaration, report, claim for refund, or information return or statement relating to Taxes, including any schedule or attachment thereto, and including any amendment thereof.</w:t>
      </w:r>
    </w:p>
    <w:p w14:paraId="5DAE0AA4" w14:textId="77777777" w:rsidR="00E22AC0" w:rsidRDefault="00FC56F3">
      <w:pPr>
        <w:pStyle w:val="a3"/>
        <w:spacing w:after="0"/>
        <w:ind w:firstLine="1440"/>
        <w:jc w:val="both"/>
      </w:pPr>
      <w:r>
        <w:t> </w:t>
      </w:r>
    </w:p>
    <w:p w14:paraId="78DB3028" w14:textId="77777777" w:rsidR="00E22AC0" w:rsidRDefault="00FC56F3">
      <w:pPr>
        <w:pStyle w:val="a3"/>
        <w:spacing w:after="0"/>
        <w:ind w:firstLine="1440"/>
        <w:jc w:val="both"/>
      </w:pPr>
      <w:r>
        <w:t>“</w:t>
      </w:r>
      <w:r>
        <w:rPr>
          <w:rFonts w:ascii="Times New Roman;Times;Serif" w:hAnsi="Times New Roman;Times;Serif"/>
          <w:b/>
          <w:sz w:val="20"/>
        </w:rPr>
        <w:t>Transactio</w:t>
      </w:r>
      <w:r>
        <w:rPr>
          <w:rFonts w:ascii="Times New Roman;Times;Serif" w:hAnsi="Times New Roman;Times;Serif"/>
          <w:b/>
          <w:sz w:val="20"/>
        </w:rPr>
        <w:t>n Proposal</w:t>
      </w:r>
      <w:r>
        <w:rPr>
          <w:rFonts w:ascii="Times New Roman;Times;Serif" w:hAnsi="Times New Roman;Times;Serif"/>
          <w:sz w:val="20"/>
        </w:rPr>
        <w:t>” means any unsolicited written bona fide proposal made by a third party relating to (</w:t>
      </w:r>
      <w:proofErr w:type="spellStart"/>
      <w:r>
        <w:rPr>
          <w:rFonts w:ascii="Times New Roman;Times;Serif" w:hAnsi="Times New Roman;Times;Serif"/>
          <w:sz w:val="20"/>
        </w:rPr>
        <w:t>i</w:t>
      </w:r>
      <w:proofErr w:type="spellEnd"/>
      <w:r>
        <w:rPr>
          <w:rFonts w:ascii="Times New Roman;Times;Serif" w:hAnsi="Times New Roman;Times;Serif"/>
          <w:sz w:val="20"/>
        </w:rPr>
        <w:t>) any direct or indirect acquisition or purchase of all or substantially all assets of the Company, (ii) any direct or indirect acquisition or purchase of a ma</w:t>
      </w:r>
      <w:r>
        <w:rPr>
          <w:rFonts w:ascii="Times New Roman;Times;Serif" w:hAnsi="Times New Roman;Times;Serif"/>
          <w:sz w:val="20"/>
        </w:rPr>
        <w:t xml:space="preserve">jority of the combined voting power of the Shares, (iii) any merger, consolidation, business combination, recapitalization, liquidation, dissolution or similar transaction involving the Company in which the other party thereto or its stockholders will own </w:t>
      </w:r>
      <w:r>
        <w:rPr>
          <w:rFonts w:ascii="Times New Roman;Times;Serif" w:hAnsi="Times New Roman;Times;Serif"/>
          <w:sz w:val="20"/>
        </w:rPr>
        <w:t>51% or more of the combined voting power of the parent entity resulting from any such transaction, or (iv) any other transaction that is inconsistent with the intent and purpose of this Agreement.</w:t>
      </w:r>
    </w:p>
    <w:p w14:paraId="0BD37508" w14:textId="77777777" w:rsidR="00E22AC0" w:rsidRDefault="00FC56F3">
      <w:pPr>
        <w:pStyle w:val="a3"/>
        <w:spacing w:after="0"/>
        <w:ind w:firstLine="1440"/>
        <w:jc w:val="both"/>
      </w:pPr>
      <w:r>
        <w:t> </w:t>
      </w:r>
    </w:p>
    <w:p w14:paraId="4A3D692E" w14:textId="77777777" w:rsidR="00E22AC0" w:rsidRDefault="00FC56F3">
      <w:pPr>
        <w:pStyle w:val="a3"/>
        <w:spacing w:after="0"/>
        <w:ind w:firstLine="1440"/>
        <w:jc w:val="both"/>
      </w:pPr>
      <w:r>
        <w:t>“</w:t>
      </w:r>
      <w:r>
        <w:rPr>
          <w:rFonts w:ascii="Times New Roman;Times;Serif" w:hAnsi="Times New Roman;Times;Serif"/>
          <w:b/>
          <w:sz w:val="20"/>
        </w:rPr>
        <w:t>Transfer Taxes</w:t>
      </w:r>
      <w:r>
        <w:rPr>
          <w:rFonts w:ascii="Times New Roman;Times;Serif" w:hAnsi="Times New Roman;Times;Serif"/>
          <w:sz w:val="20"/>
        </w:rPr>
        <w:t>” means sales, use, transfer, recording, d</w:t>
      </w:r>
      <w:r>
        <w:rPr>
          <w:rFonts w:ascii="Times New Roman;Times;Serif" w:hAnsi="Times New Roman;Times;Serif"/>
          <w:sz w:val="20"/>
        </w:rPr>
        <w:t>ocumentary, stamp, registration and stock transfer Taxes and any similar Taxes.</w:t>
      </w:r>
    </w:p>
    <w:p w14:paraId="30F8E92C" w14:textId="77777777" w:rsidR="00E22AC0" w:rsidRDefault="00FC56F3">
      <w:pPr>
        <w:pStyle w:val="a3"/>
        <w:spacing w:after="0"/>
        <w:ind w:firstLine="1440"/>
        <w:jc w:val="both"/>
      </w:pPr>
      <w:r>
        <w:t> </w:t>
      </w:r>
    </w:p>
    <w:p w14:paraId="58160032" w14:textId="77777777" w:rsidR="00E22AC0" w:rsidRDefault="00FC56F3">
      <w:pPr>
        <w:pStyle w:val="a3"/>
        <w:spacing w:after="0"/>
        <w:ind w:firstLine="1440"/>
        <w:jc w:val="both"/>
      </w:pPr>
      <w:r>
        <w:t>“</w:t>
      </w:r>
      <w:r>
        <w:rPr>
          <w:rFonts w:ascii="Times New Roman;Times;Serif" w:hAnsi="Times New Roman;Times;Serif"/>
          <w:b/>
          <w:sz w:val="20"/>
        </w:rPr>
        <w:t>$</w:t>
      </w:r>
      <w:r>
        <w:rPr>
          <w:rFonts w:ascii="Times New Roman;Times;Serif" w:hAnsi="Times New Roman;Times;Serif"/>
          <w:sz w:val="20"/>
        </w:rPr>
        <w:t>” means United States dollars.</w:t>
      </w:r>
    </w:p>
    <w:p w14:paraId="5F125561" w14:textId="77777777" w:rsidR="00E22AC0" w:rsidRDefault="00FC56F3">
      <w:pPr>
        <w:pStyle w:val="a3"/>
        <w:spacing w:after="0"/>
        <w:ind w:firstLine="1440"/>
        <w:jc w:val="both"/>
      </w:pPr>
      <w:r>
        <w:t> </w:t>
      </w:r>
    </w:p>
    <w:p w14:paraId="5D62548F"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 For purposes of this Agreement, except as otherwise expressly provided herein or unless the context otherwise requires: (</w:t>
      </w:r>
      <w:proofErr w:type="spellStart"/>
      <w:r>
        <w:rPr>
          <w:rFonts w:ascii="Times New Roman;Times;Serif" w:hAnsi="Times New Roman;Times;Serif"/>
          <w:sz w:val="20"/>
        </w:rPr>
        <w:t>i</w:t>
      </w:r>
      <w:proofErr w:type="spellEnd"/>
      <w:r>
        <w:rPr>
          <w:rFonts w:ascii="Times New Roman;Times;Serif" w:hAnsi="Times New Roman;Times;Serif"/>
          <w:sz w:val="20"/>
        </w:rPr>
        <w:t xml:space="preserve">) the </w:t>
      </w:r>
      <w:r>
        <w:rPr>
          <w:rFonts w:ascii="Times New Roman;Times;Serif" w:hAnsi="Times New Roman;Times;Serif"/>
          <w:sz w:val="20"/>
        </w:rPr>
        <w:t>meaning assigned to each term defined herein will be equally applicable to both the singular and the plural forms of such term and vice versa, and words denoting any gender will include all genders as the context requires; (ii) where a word or phrase is de</w:t>
      </w:r>
      <w:r>
        <w:rPr>
          <w:rFonts w:ascii="Times New Roman;Times;Serif" w:hAnsi="Times New Roman;Times;Serif"/>
          <w:sz w:val="20"/>
        </w:rPr>
        <w:t>fined herein, each of its other grammatical forms will have a corresponding meaning; (iii) the terms “hereof”, “herein”, “hereunder”, “hereby” and “herewith” and words of similar import will, unless otherwise stated, be construed to refer to this Agreement</w:t>
      </w:r>
      <w:r>
        <w:rPr>
          <w:rFonts w:ascii="Times New Roman;Times;Serif" w:hAnsi="Times New Roman;Times;Serif"/>
          <w:sz w:val="20"/>
        </w:rPr>
        <w:t xml:space="preserve"> as a whole and not to any particular provision of this Agreement; (iv) when a reference is made in this Agreement to an Article, Section, paragraph, Exhibit or Schedule without reference to a document, such reference is to an Article, Section, paragraph, </w:t>
      </w:r>
      <w:r>
        <w:rPr>
          <w:rFonts w:ascii="Times New Roman;Times;Serif" w:hAnsi="Times New Roman;Times;Serif"/>
          <w:sz w:val="20"/>
        </w:rPr>
        <w:t>Exhibit or Schedule to this Agreement; (v) a reference to a subsection without further reference to a Section is a reference to such subsection as contained in the same Section in which the reference appears, and this rule will also apply to paragraphs and</w:t>
      </w:r>
      <w:r>
        <w:rPr>
          <w:rFonts w:ascii="Times New Roman;Times;Serif" w:hAnsi="Times New Roman;Times;Serif"/>
          <w:sz w:val="20"/>
        </w:rPr>
        <w:t xml:space="preserve"> other subdivisions; (vi) the word “include”, “includes” or “including” when used in this Agreement will be deemed to include the words “without limitation”, unless otherwise specified; (vii) a reference to any party to this Agreement or any other agreemen</w:t>
      </w:r>
      <w:r>
        <w:rPr>
          <w:rFonts w:ascii="Times New Roman;Times;Serif" w:hAnsi="Times New Roman;Times;Serif"/>
          <w:sz w:val="20"/>
        </w:rPr>
        <w:t>t or document will include such party’s predecessors, successors and permitted assigns; (viii) a reference to any Law means such Law as amended, modified, codified, replaced or reenacted as of the date hereof, and all rules and regulations promulgated ther</w:t>
      </w:r>
      <w:r>
        <w:rPr>
          <w:rFonts w:ascii="Times New Roman;Times;Serif" w:hAnsi="Times New Roman;Times;Serif"/>
          <w:sz w:val="20"/>
        </w:rPr>
        <w:t>eunder as of the date hereof; and (ix) all accounting terms used and not defined herein have the respective meanings given to them under GAAP.</w:t>
      </w:r>
    </w:p>
    <w:p w14:paraId="2052E87D" w14:textId="77777777" w:rsidR="00E22AC0" w:rsidRDefault="00FC56F3">
      <w:pPr>
        <w:pStyle w:val="a3"/>
        <w:spacing w:after="0"/>
        <w:jc w:val="center"/>
      </w:pPr>
      <w:r>
        <w:t> </w:t>
      </w:r>
    </w:p>
    <w:p w14:paraId="27ADC486" w14:textId="77777777" w:rsidR="00E22AC0" w:rsidRDefault="00FC56F3">
      <w:pPr>
        <w:pStyle w:val="a3"/>
        <w:spacing w:after="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4</w:t>
      </w:r>
    </w:p>
    <w:p w14:paraId="50591C99" w14:textId="77777777" w:rsidR="00E22AC0" w:rsidRDefault="00FC56F3">
      <w:pPr>
        <w:pStyle w:val="a3"/>
        <w:spacing w:after="0"/>
      </w:pPr>
      <w:r>
        <w:t> </w:t>
      </w:r>
    </w:p>
    <w:p w14:paraId="05AB0435" w14:textId="77777777" w:rsidR="00E22AC0" w:rsidRDefault="00FC56F3">
      <w:pPr>
        <w:pStyle w:val="a3"/>
        <w:spacing w:after="0"/>
        <w:jc w:val="center"/>
      </w:pPr>
      <w:r>
        <w:t> </w:t>
      </w:r>
    </w:p>
    <w:p w14:paraId="0CCD2AF1" w14:textId="77777777" w:rsidR="00E22AC0" w:rsidRDefault="00FC56F3">
      <w:pPr>
        <w:pStyle w:val="a3"/>
        <w:spacing w:after="0"/>
        <w:jc w:val="center"/>
        <w:rPr>
          <w:rFonts w:ascii="Times New Roman;Times;Serif" w:hAnsi="Times New Roman;Times;Serif"/>
          <w:sz w:val="20"/>
        </w:rPr>
      </w:pPr>
      <w:r>
        <w:rPr>
          <w:rFonts w:ascii="Times New Roman;Times;Serif" w:hAnsi="Times New Roman;Times;Serif"/>
          <w:sz w:val="20"/>
        </w:rPr>
        <w:t>ARTICLE II</w:t>
      </w:r>
      <w:r>
        <w:rPr>
          <w:rFonts w:ascii="Times New Roman;Times;Serif" w:hAnsi="Times New Roman;Times;Serif"/>
          <w:sz w:val="20"/>
        </w:rPr>
        <w:br/>
        <w:t>PURCHASE AND SALE OF THE SHARES</w:t>
      </w:r>
    </w:p>
    <w:p w14:paraId="35F5102E" w14:textId="77777777" w:rsidR="00E22AC0" w:rsidRDefault="00FC56F3">
      <w:pPr>
        <w:pStyle w:val="a3"/>
        <w:spacing w:after="0"/>
        <w:ind w:firstLine="720"/>
        <w:jc w:val="both"/>
      </w:pPr>
      <w:r>
        <w:t> </w:t>
      </w:r>
    </w:p>
    <w:p w14:paraId="157A8A22"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2.1 </w:t>
      </w:r>
      <w:r>
        <w:rPr>
          <w:rFonts w:ascii="Times New Roman;Times;Serif" w:hAnsi="Times New Roman;Times;Serif"/>
          <w:sz w:val="20"/>
          <w:u w:val="single"/>
        </w:rPr>
        <w:t>Purchase and Sale of the Shares</w:t>
      </w:r>
      <w:r>
        <w:rPr>
          <w:rFonts w:ascii="Times New Roman;Times;Serif" w:hAnsi="Times New Roman;Times;Serif"/>
          <w:sz w:val="20"/>
        </w:rPr>
        <w:t xml:space="preserve">. Upon the terms and subject to the conditions set forth in this Agreement, at the Closing each Seller will sell, transfer and deliver, and the Buyer will purchase from each Seller, all of the Shares set forth opposite such Seller’s name on </w:t>
      </w:r>
      <w:r>
        <w:rPr>
          <w:rFonts w:ascii="Times New Roman;Times;Serif" w:hAnsi="Times New Roman;Times;Serif"/>
          <w:sz w:val="20"/>
          <w:u w:val="single"/>
        </w:rPr>
        <w:t>Exhibit A</w:t>
      </w:r>
      <w:r>
        <w:rPr>
          <w:rFonts w:ascii="Times New Roman;Times;Serif" w:hAnsi="Times New Roman;Times;Serif"/>
          <w:sz w:val="20"/>
        </w:rPr>
        <w:t xml:space="preserve">, for </w:t>
      </w:r>
      <w:r>
        <w:rPr>
          <w:rFonts w:ascii="Times New Roman;Times;Serif" w:hAnsi="Times New Roman;Times;Serif"/>
          <w:sz w:val="20"/>
        </w:rPr>
        <w:t>an aggregate purchase price, subject to adjustment as described in Section 2.2, of Six Million, Six Hundred Fifty Thousand Dollars ($6,650,000) (the “</w:t>
      </w:r>
      <w:r>
        <w:rPr>
          <w:rFonts w:ascii="Times New Roman;Times;Serif" w:hAnsi="Times New Roman;Times;Serif"/>
          <w:b/>
          <w:sz w:val="20"/>
        </w:rPr>
        <w:t>Purchase Price</w:t>
      </w:r>
      <w:r>
        <w:rPr>
          <w:rFonts w:ascii="Times New Roman;Times;Serif" w:hAnsi="Times New Roman;Times;Serif"/>
          <w:sz w:val="20"/>
        </w:rPr>
        <w:t>”), consisting of: (</w:t>
      </w:r>
      <w:proofErr w:type="spellStart"/>
      <w:r>
        <w:rPr>
          <w:rFonts w:ascii="Times New Roman;Times;Serif" w:hAnsi="Times New Roman;Times;Serif"/>
          <w:sz w:val="20"/>
        </w:rPr>
        <w:t>i</w:t>
      </w:r>
      <w:proofErr w:type="spellEnd"/>
      <w:r>
        <w:rPr>
          <w:rFonts w:ascii="Times New Roman;Times;Serif" w:hAnsi="Times New Roman;Times;Serif"/>
          <w:sz w:val="20"/>
        </w:rPr>
        <w:t xml:space="preserve">) Four Million, Two Hundred Thousand Dollars ($4,200,000) in cash (the </w:t>
      </w:r>
      <w:r>
        <w:rPr>
          <w:rFonts w:ascii="Times New Roman;Times;Serif" w:hAnsi="Times New Roman;Times;Serif"/>
          <w:sz w:val="20"/>
        </w:rPr>
        <w:t>“</w:t>
      </w:r>
      <w:r>
        <w:rPr>
          <w:rFonts w:ascii="Times New Roman;Times;Serif" w:hAnsi="Times New Roman;Times;Serif"/>
          <w:b/>
          <w:sz w:val="20"/>
        </w:rPr>
        <w:t>Cash Portion</w:t>
      </w:r>
      <w:r>
        <w:rPr>
          <w:rFonts w:ascii="Times New Roman;Times;Serif" w:hAnsi="Times New Roman;Times;Serif"/>
          <w:sz w:val="20"/>
        </w:rPr>
        <w:t xml:space="preserve">”), (ii) the Buyer Shares (as defined below), and (iii) the Seller Note (as defined below). The Purchase Price shall be allocated between the Sellers as set forth in </w:t>
      </w:r>
      <w:r>
        <w:rPr>
          <w:rFonts w:ascii="Times New Roman;Times;Serif" w:hAnsi="Times New Roman;Times;Serif"/>
          <w:sz w:val="20"/>
          <w:u w:val="single"/>
        </w:rPr>
        <w:t>Exhibit A</w:t>
      </w:r>
      <w:r>
        <w:rPr>
          <w:rFonts w:ascii="Times New Roman;Times;Serif" w:hAnsi="Times New Roman;Times;Serif"/>
          <w:sz w:val="20"/>
        </w:rPr>
        <w:t>. The Purchase Price assumes that the Buyer will be able to verify t</w:t>
      </w:r>
      <w:r>
        <w:rPr>
          <w:rFonts w:ascii="Times New Roman;Times;Serif" w:hAnsi="Times New Roman;Times;Serif"/>
          <w:sz w:val="20"/>
        </w:rPr>
        <w:t>hrough its accounting due diligence that the Company has at least $1.4 million of annual earnings before interest, taxes, depreciation and amortization with adjustments as mutually agreed upon.</w:t>
      </w:r>
    </w:p>
    <w:p w14:paraId="1911F087" w14:textId="77777777" w:rsidR="00E22AC0" w:rsidRDefault="00FC56F3">
      <w:pPr>
        <w:pStyle w:val="a3"/>
        <w:spacing w:after="0"/>
        <w:ind w:firstLine="1440"/>
        <w:jc w:val="both"/>
      </w:pPr>
      <w:r>
        <w:t> </w:t>
      </w:r>
    </w:p>
    <w:p w14:paraId="60452B08"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(a) At the Closing, the Buyer will deliver to the Sellers th</w:t>
      </w:r>
      <w:r>
        <w:rPr>
          <w:rFonts w:ascii="Times New Roman;Times;Serif" w:hAnsi="Times New Roman;Times;Serif"/>
          <w:sz w:val="20"/>
        </w:rPr>
        <w:t>e Cash Portion in immediately available funds to an account designated by each Seller prior to the Closing.</w:t>
      </w:r>
    </w:p>
    <w:p w14:paraId="5890B064" w14:textId="77777777" w:rsidR="00E22AC0" w:rsidRDefault="00FC56F3">
      <w:pPr>
        <w:pStyle w:val="a3"/>
        <w:spacing w:after="0"/>
        <w:ind w:firstLine="1440"/>
        <w:jc w:val="both"/>
      </w:pPr>
      <w:r>
        <w:t> </w:t>
      </w:r>
    </w:p>
    <w:p w14:paraId="41CBC80A"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(b) Immediately following the record date set by Buyer Parent for the distribution by Buyer Parent to its </w:t>
      </w:r>
      <w:r>
        <w:rPr>
          <w:rFonts w:ascii="Times New Roman;Times;Serif" w:hAnsi="Times New Roman;Times;Serif"/>
          <w:sz w:val="20"/>
        </w:rPr>
        <w:lastRenderedPageBreak/>
        <w:t>shareholders of the common stock held by</w:t>
      </w:r>
      <w:r>
        <w:rPr>
          <w:rFonts w:ascii="Times New Roman;Times;Serif" w:hAnsi="Times New Roman;Times;Serif"/>
          <w:sz w:val="20"/>
        </w:rPr>
        <w:t xml:space="preserve"> Buyer Parent of its subsidiary, 1847 </w:t>
      </w:r>
      <w:proofErr w:type="spellStart"/>
      <w:r>
        <w:rPr>
          <w:rFonts w:ascii="Times New Roman;Times;Serif" w:hAnsi="Times New Roman;Times;Serif"/>
          <w:sz w:val="20"/>
        </w:rPr>
        <w:t>Goedeker</w:t>
      </w:r>
      <w:proofErr w:type="spellEnd"/>
      <w:r>
        <w:rPr>
          <w:rFonts w:ascii="Times New Roman;Times;Serif" w:hAnsi="Times New Roman;Times;Serif"/>
          <w:sz w:val="20"/>
        </w:rPr>
        <w:t xml:space="preserve"> Inc. (“</w:t>
      </w:r>
      <w:proofErr w:type="spellStart"/>
      <w:r>
        <w:rPr>
          <w:rFonts w:ascii="Times New Roman;Times;Serif" w:hAnsi="Times New Roman;Times;Serif"/>
          <w:b/>
          <w:sz w:val="20"/>
        </w:rPr>
        <w:t>Goedeker</w:t>
      </w:r>
      <w:proofErr w:type="spellEnd"/>
      <w:r>
        <w:rPr>
          <w:rFonts w:ascii="Times New Roman;Times;Serif" w:hAnsi="Times New Roman;Times;Serif"/>
          <w:sz w:val="20"/>
        </w:rPr>
        <w:t>”), Buyer Parent will cause its transfer agent to issue to the Sellers an aggregate of 700,000 common shares of the Buyer Parent that, in aggregate, have a value as mutually agreed upon by the p</w:t>
      </w:r>
      <w:r>
        <w:rPr>
          <w:rFonts w:ascii="Times New Roman;Times;Serif" w:hAnsi="Times New Roman;Times;Serif"/>
          <w:sz w:val="20"/>
        </w:rPr>
        <w:t>arties that is equal to One Million, Four Hundred Thousand Dollars ($1,400,000) (the “</w:t>
      </w:r>
      <w:r>
        <w:rPr>
          <w:rFonts w:ascii="Times New Roman;Times;Serif" w:hAnsi="Times New Roman;Times;Serif"/>
          <w:b/>
          <w:sz w:val="20"/>
        </w:rPr>
        <w:t>Buyer Shares</w:t>
      </w:r>
      <w:r>
        <w:rPr>
          <w:rFonts w:ascii="Times New Roman;Times;Serif" w:hAnsi="Times New Roman;Times;Serif"/>
          <w:sz w:val="20"/>
        </w:rPr>
        <w:t xml:space="preserve">”). For the avoidance of doubt, the Sellers shall have no right to receive any shares of common stock or other securities of </w:t>
      </w:r>
      <w:proofErr w:type="spellStart"/>
      <w:r>
        <w:rPr>
          <w:rFonts w:ascii="Times New Roman;Times;Serif" w:hAnsi="Times New Roman;Times;Serif"/>
          <w:sz w:val="20"/>
        </w:rPr>
        <w:t>Goedeker</w:t>
      </w:r>
      <w:proofErr w:type="spellEnd"/>
      <w:r>
        <w:rPr>
          <w:rFonts w:ascii="Times New Roman;Times;Serif" w:hAnsi="Times New Roman;Times;Serif"/>
          <w:sz w:val="20"/>
        </w:rPr>
        <w:t xml:space="preserve">. As soon as practicable </w:t>
      </w:r>
      <w:r>
        <w:rPr>
          <w:rFonts w:ascii="Times New Roman;Times;Serif" w:hAnsi="Times New Roman;Times;Serif"/>
          <w:sz w:val="20"/>
        </w:rPr>
        <w:t>following the date that the working capital adjustment under Section 2.2(a) is finally determined, the Buyer Parent will file a registration statement on Form S-1 for the purpose of registering for resale under the Securities Act of 1933, as amended, the B</w:t>
      </w:r>
      <w:r>
        <w:rPr>
          <w:rFonts w:ascii="Times New Roman;Times;Serif" w:hAnsi="Times New Roman;Times;Serif"/>
          <w:sz w:val="20"/>
        </w:rPr>
        <w:t>uyer Shares and will use commercially reasonable efforts to cause such registration statement to be declared effective by the Securities and Exchange Commission as soon as reasonably practicable. The Sellers will cooperate with the Buyer Parent and provide</w:t>
      </w:r>
      <w:r>
        <w:rPr>
          <w:rFonts w:ascii="Times New Roman;Times;Serif" w:hAnsi="Times New Roman;Times;Serif"/>
          <w:sz w:val="20"/>
        </w:rPr>
        <w:t xml:space="preserve"> any requested information and complete any necessary selling security holder questionnaires as Buyer Parent may require in order to register the Buyer Shares in accordance with this Section 2.1(b). In addition, upon the request of the Sellers from to time</w:t>
      </w:r>
      <w:r>
        <w:rPr>
          <w:rFonts w:ascii="Times New Roman;Times;Serif" w:hAnsi="Times New Roman;Times;Serif"/>
          <w:sz w:val="20"/>
        </w:rPr>
        <w:t xml:space="preserve"> to time, Buyer Parent shall be responsible (at its cost) for promptly supplying to Buyer Parent’s transfer agent and the Sellers a customary legal opinion letter of its counsel to the effect that the resale of the Buyer Shares by the Sellers or their resp</w:t>
      </w:r>
      <w:r>
        <w:rPr>
          <w:rFonts w:ascii="Times New Roman;Times;Serif" w:hAnsi="Times New Roman;Times;Serif"/>
          <w:sz w:val="20"/>
        </w:rPr>
        <w:t>ective affiliates, successors and assigns is exempt from the registration requirements of the Securities Act pursuant to Rule 144 (provided the requirements of Rule 144 are satisfied and provided the Buyer Shares are not then registered under the Securitie</w:t>
      </w:r>
      <w:r>
        <w:rPr>
          <w:rFonts w:ascii="Times New Roman;Times;Serif" w:hAnsi="Times New Roman;Times;Serif"/>
          <w:sz w:val="20"/>
        </w:rPr>
        <w:t>s Act for resale pursuant to an effective registration statement). Notwithstanding the foregoing, if the Buyer Shares are eligible for resale pursuant to Rule 144 without restriction as to volume, then the obligation to file a registration statement as set</w:t>
      </w:r>
      <w:r>
        <w:rPr>
          <w:rFonts w:ascii="Times New Roman;Times;Serif" w:hAnsi="Times New Roman;Times;Serif"/>
          <w:sz w:val="20"/>
        </w:rPr>
        <w:t xml:space="preserve"> forth in this Section 2.1(b) shall terminate.</w:t>
      </w:r>
    </w:p>
    <w:p w14:paraId="41C60E0F" w14:textId="77777777" w:rsidR="00E22AC0" w:rsidRDefault="00FC56F3">
      <w:pPr>
        <w:pStyle w:val="a3"/>
        <w:spacing w:after="0"/>
        <w:ind w:firstLine="1440"/>
        <w:jc w:val="both"/>
      </w:pPr>
      <w:r>
        <w:t> </w:t>
      </w:r>
    </w:p>
    <w:p w14:paraId="66163AE6" w14:textId="77777777" w:rsidR="00E22AC0" w:rsidRDefault="00FC56F3">
      <w:pPr>
        <w:pStyle w:val="a3"/>
        <w:spacing w:after="0"/>
        <w:ind w:firstLine="144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5</w:t>
      </w:r>
    </w:p>
    <w:p w14:paraId="7DDE8781" w14:textId="77777777" w:rsidR="00E22AC0" w:rsidRDefault="00FC56F3">
      <w:pPr>
        <w:pStyle w:val="a3"/>
        <w:spacing w:after="0"/>
      </w:pPr>
      <w:r>
        <w:t> </w:t>
      </w:r>
    </w:p>
    <w:p w14:paraId="5D016D07" w14:textId="77777777" w:rsidR="00E22AC0" w:rsidRDefault="00FC56F3">
      <w:pPr>
        <w:pStyle w:val="a3"/>
        <w:spacing w:after="0"/>
        <w:ind w:firstLine="1440"/>
        <w:jc w:val="both"/>
      </w:pPr>
      <w:r>
        <w:t> </w:t>
      </w:r>
    </w:p>
    <w:p w14:paraId="1AC0877A"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(c) At the Closing, the Sellers will deliver to the Buyer a certificate or certificates representing the Shares, if certificated, duly endorsed or accompanied by stock powers duly endorsed in blank.</w:t>
      </w:r>
    </w:p>
    <w:p w14:paraId="671A164E" w14:textId="77777777" w:rsidR="00E22AC0" w:rsidRDefault="00FC56F3">
      <w:pPr>
        <w:pStyle w:val="a3"/>
        <w:spacing w:after="0"/>
        <w:ind w:firstLine="1440"/>
        <w:jc w:val="both"/>
      </w:pPr>
      <w:r>
        <w:t> </w:t>
      </w:r>
    </w:p>
    <w:p w14:paraId="6ED69702"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(d) At the Closing, the Buyer will issue to the Sellers an 8% contingent subordinated note in the aggregate principal amount of One Million, Fifty Thousand Dollars ($1,050,000) in the form set forth on </w:t>
      </w:r>
      <w:r>
        <w:rPr>
          <w:rFonts w:ascii="Times New Roman;Times;Serif" w:hAnsi="Times New Roman;Times;Serif"/>
          <w:sz w:val="20"/>
          <w:u w:val="single"/>
        </w:rPr>
        <w:t>Exhibit C</w:t>
      </w:r>
      <w:r>
        <w:rPr>
          <w:rFonts w:ascii="Times New Roman;Times;Serif" w:hAnsi="Times New Roman;Times;Serif"/>
          <w:sz w:val="20"/>
        </w:rPr>
        <w:t xml:space="preserve"> (each a “</w:t>
      </w:r>
      <w:r>
        <w:rPr>
          <w:rFonts w:ascii="Times New Roman;Times;Serif" w:hAnsi="Times New Roman;Times;Serif"/>
          <w:b/>
          <w:sz w:val="20"/>
        </w:rPr>
        <w:t>Seller Note</w:t>
      </w:r>
      <w:r>
        <w:rPr>
          <w:rFonts w:ascii="Times New Roman;Times;Serif" w:hAnsi="Times New Roman;Times;Serif"/>
          <w:sz w:val="20"/>
        </w:rPr>
        <w:t xml:space="preserve">” and collectively, the </w:t>
      </w:r>
      <w:r>
        <w:rPr>
          <w:rFonts w:ascii="Times New Roman;Times;Serif" w:hAnsi="Times New Roman;Times;Serif"/>
          <w:sz w:val="20"/>
        </w:rPr>
        <w:t>“</w:t>
      </w:r>
      <w:r>
        <w:rPr>
          <w:rFonts w:ascii="Times New Roman;Times;Serif" w:hAnsi="Times New Roman;Times;Serif"/>
          <w:b/>
          <w:sz w:val="20"/>
        </w:rPr>
        <w:t>Seller Notes</w:t>
      </w:r>
      <w:r>
        <w:rPr>
          <w:rFonts w:ascii="Times New Roman;Times;Serif" w:hAnsi="Times New Roman;Times;Serif"/>
          <w:sz w:val="20"/>
        </w:rPr>
        <w:t>”).</w:t>
      </w:r>
    </w:p>
    <w:p w14:paraId="396C1E6A" w14:textId="77777777" w:rsidR="00E22AC0" w:rsidRDefault="00FC56F3">
      <w:pPr>
        <w:pStyle w:val="a3"/>
        <w:spacing w:after="0"/>
        <w:ind w:firstLine="720"/>
        <w:jc w:val="both"/>
      </w:pPr>
      <w:r>
        <w:t> </w:t>
      </w:r>
    </w:p>
    <w:p w14:paraId="03D79790"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2.2 </w:t>
      </w:r>
      <w:r>
        <w:rPr>
          <w:rFonts w:ascii="Times New Roman;Times;Serif" w:hAnsi="Times New Roman;Times;Serif"/>
          <w:sz w:val="20"/>
          <w:u w:val="single"/>
        </w:rPr>
        <w:t>Adjustments to Purchase Price</w:t>
      </w:r>
      <w:r>
        <w:rPr>
          <w:rFonts w:ascii="Times New Roman;Times;Serif" w:hAnsi="Times New Roman;Times;Serif"/>
          <w:sz w:val="20"/>
        </w:rPr>
        <w:t>.</w:t>
      </w:r>
    </w:p>
    <w:p w14:paraId="00DE14A2" w14:textId="77777777" w:rsidR="00E22AC0" w:rsidRDefault="00FC56F3">
      <w:pPr>
        <w:pStyle w:val="a3"/>
        <w:spacing w:after="0"/>
        <w:ind w:firstLine="1440"/>
        <w:jc w:val="both"/>
      </w:pPr>
      <w:r>
        <w:t> </w:t>
      </w:r>
    </w:p>
    <w:p w14:paraId="62CA297F"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w:t>
      </w:r>
      <w:r>
        <w:rPr>
          <w:rFonts w:ascii="Times New Roman;Times;Serif" w:hAnsi="Times New Roman;Times;Serif"/>
          <w:sz w:val="20"/>
          <w:u w:val="single"/>
        </w:rPr>
        <w:t>Working Capital Adjustment</w:t>
      </w:r>
      <w:r>
        <w:rPr>
          <w:rFonts w:ascii="Times New Roman;Times;Serif" w:hAnsi="Times New Roman;Times;Serif"/>
          <w:b/>
          <w:sz w:val="20"/>
        </w:rPr>
        <w:t>.</w:t>
      </w:r>
    </w:p>
    <w:p w14:paraId="00A6D225" w14:textId="77777777" w:rsidR="00E22AC0" w:rsidRDefault="00FC56F3">
      <w:pPr>
        <w:pStyle w:val="a3"/>
        <w:spacing w:after="0"/>
        <w:ind w:firstLine="2160"/>
        <w:jc w:val="both"/>
      </w:pPr>
      <w:r>
        <w:t> </w:t>
      </w:r>
    </w:p>
    <w:p w14:paraId="1AD88EB0"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xml:space="preserve">) At the Closing, the Sellers shall deliver to the Buyer an unaudited balance sheet of the Company, subject to all qualifications and estimates as set forth in </w:t>
      </w:r>
      <w:r>
        <w:rPr>
          <w:rFonts w:ascii="Times New Roman;Times;Serif" w:hAnsi="Times New Roman;Times;Serif"/>
          <w:sz w:val="20"/>
        </w:rPr>
        <w:t>the notes or addenda thereto (the “</w:t>
      </w:r>
      <w:r>
        <w:rPr>
          <w:rFonts w:ascii="Times New Roman;Times;Serif" w:hAnsi="Times New Roman;Times;Serif"/>
          <w:b/>
          <w:sz w:val="20"/>
        </w:rPr>
        <w:t>Preliminary Balance Sheet</w:t>
      </w:r>
      <w:r>
        <w:rPr>
          <w:rFonts w:ascii="Times New Roman;Times;Serif" w:hAnsi="Times New Roman;Times;Serif"/>
          <w:sz w:val="20"/>
        </w:rPr>
        <w:t>”), as at the Closing so as to present fairly in all material respects the financial condition of Company as of such date.</w:t>
      </w:r>
    </w:p>
    <w:p w14:paraId="00E6C717" w14:textId="77777777" w:rsidR="00E22AC0" w:rsidRDefault="00FC56F3">
      <w:pPr>
        <w:pStyle w:val="a3"/>
        <w:spacing w:after="0"/>
        <w:ind w:firstLine="2160"/>
        <w:jc w:val="both"/>
      </w:pPr>
      <w:r>
        <w:t> </w:t>
      </w:r>
    </w:p>
    <w:p w14:paraId="30707178"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(ii) As soon as practicable following the Closing Date (but not later t</w:t>
      </w:r>
      <w:r>
        <w:rPr>
          <w:rFonts w:ascii="Times New Roman;Times;Serif" w:hAnsi="Times New Roman;Times;Serif"/>
          <w:sz w:val="20"/>
        </w:rPr>
        <w:t>han seventy-five (75) days after the Closing Date), the Buyer shall cause its auditor to prepare and deliver to the Sellers an audited balance sheet of the Company (the “</w:t>
      </w:r>
      <w:r>
        <w:rPr>
          <w:rFonts w:ascii="Times New Roman;Times;Serif" w:hAnsi="Times New Roman;Times;Serif"/>
          <w:b/>
          <w:sz w:val="20"/>
        </w:rPr>
        <w:t>Closing Date Balance Sheet</w:t>
      </w:r>
      <w:r>
        <w:rPr>
          <w:rFonts w:ascii="Times New Roman;Times;Serif" w:hAnsi="Times New Roman;Times;Serif"/>
          <w:sz w:val="20"/>
        </w:rPr>
        <w:t>”) as of the Closing Date. The Closing Date Balance Sheet sh</w:t>
      </w:r>
      <w:r>
        <w:rPr>
          <w:rFonts w:ascii="Times New Roman;Times;Serif" w:hAnsi="Times New Roman;Times;Serif"/>
          <w:sz w:val="20"/>
        </w:rPr>
        <w:t>all be prepared in accordance with GAAP in a manner consistent with the Preliminary Balance Sheet so as to present fairly in all material respects the financial condition of the Company.</w:t>
      </w:r>
    </w:p>
    <w:p w14:paraId="64BDDBF3" w14:textId="77777777" w:rsidR="00E22AC0" w:rsidRDefault="00FC56F3">
      <w:pPr>
        <w:pStyle w:val="a3"/>
        <w:spacing w:after="0"/>
        <w:ind w:firstLine="2160"/>
        <w:jc w:val="both"/>
      </w:pPr>
      <w:r>
        <w:t> </w:t>
      </w:r>
    </w:p>
    <w:p w14:paraId="62ABF4AF"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(iii) If the Closing Working Capital exceeds the Preliminary Workin</w:t>
      </w:r>
      <w:r>
        <w:rPr>
          <w:rFonts w:ascii="Times New Roman;Times;Serif" w:hAnsi="Times New Roman;Times;Serif"/>
          <w:sz w:val="20"/>
        </w:rPr>
        <w:t xml:space="preserve">g Capital, then the Buyer (or, at the Buyer’s direction, the Company) shall pay promptly (and, in any event, within seven (7) days) to the Sellers (on a pro rata basis based upon their relative ownership interests in the Company) an amount in cash that is </w:t>
      </w:r>
      <w:r>
        <w:rPr>
          <w:rFonts w:ascii="Times New Roman;Times;Serif" w:hAnsi="Times New Roman;Times;Serif"/>
          <w:sz w:val="20"/>
        </w:rPr>
        <w:t>equal to the excess. If the Preliminary Working Capital exceeds the Closing Working Capital, then the Sellers shall pay promptly (and, in any event, within seven (7) days) to the Buyer an amount in cash that is equal to such excess (on a pro rata basis bas</w:t>
      </w:r>
      <w:r>
        <w:rPr>
          <w:rFonts w:ascii="Times New Roman;Times;Serif" w:hAnsi="Times New Roman;Times;Serif"/>
          <w:sz w:val="20"/>
        </w:rPr>
        <w:t xml:space="preserve">ed upon their relative ownership interests in the Company); provided, however, that the Sellers may, at their option, in lieu of paying such excess in cash, deliver and transfer to the Buyer a number of Buyer Shares that is equal to their respective share </w:t>
      </w:r>
      <w:r>
        <w:rPr>
          <w:rFonts w:ascii="Times New Roman;Times;Serif" w:hAnsi="Times New Roman;Times;Serif"/>
          <w:sz w:val="20"/>
        </w:rPr>
        <w:t>of such excess divided by $2.00. Any such adjustment shall be treated as an adjustment to the Purchase Price.</w:t>
      </w:r>
    </w:p>
    <w:p w14:paraId="79D6BDA1" w14:textId="77777777" w:rsidR="00E22AC0" w:rsidRDefault="00FC56F3">
      <w:pPr>
        <w:pStyle w:val="a3"/>
        <w:spacing w:after="0"/>
        <w:ind w:firstLine="2160"/>
        <w:jc w:val="both"/>
      </w:pPr>
      <w:r>
        <w:t> </w:t>
      </w:r>
    </w:p>
    <w:p w14:paraId="3E35C472"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(iv) In the event the Sellers do not agree with the Closing Working Capital as reflected on the Closing Date Balance Sheet, the Sellers </w:t>
      </w:r>
      <w:r>
        <w:rPr>
          <w:rFonts w:ascii="Times New Roman;Times;Serif" w:hAnsi="Times New Roman;Times;Serif"/>
          <w:sz w:val="20"/>
        </w:rPr>
        <w:t>shall so inform the Buyer in writing within fifteen (15) days of the Seller’s receipt thereof, such writing to set forth the objections of the Sellers in reasonable detail. If the Sellers and the Buyer cannot reach agreement as to any disputed matter relat</w:t>
      </w:r>
      <w:r>
        <w:rPr>
          <w:rFonts w:ascii="Times New Roman;Times;Serif" w:hAnsi="Times New Roman;Times;Serif"/>
          <w:sz w:val="20"/>
        </w:rPr>
        <w:t>ing to the Closing Working Capital within fifteen (15) days after notification by the Sellers to the Buyer of a dispute, they shall forthwith refer the dispute to an Independent Accounting Firm mutually agreeable to the Sellers and the Buyer for resolution</w:t>
      </w:r>
      <w:r>
        <w:rPr>
          <w:rFonts w:ascii="Times New Roman;Times;Serif" w:hAnsi="Times New Roman;Times;Serif"/>
          <w:sz w:val="20"/>
        </w:rPr>
        <w:t xml:space="preserve">, with the understanding that such firm shall resolve all disputed items within twenty </w:t>
      </w:r>
      <w:r>
        <w:rPr>
          <w:rFonts w:ascii="Times New Roman;Times;Serif" w:hAnsi="Times New Roman;Times;Serif"/>
          <w:sz w:val="20"/>
        </w:rPr>
        <w:lastRenderedPageBreak/>
        <w:t>(20) days after such disputed items are referred to it. If the Buyer and the Sellers are unable to agree on the choice of an Independent Accounting Firm, they shall sele</w:t>
      </w:r>
      <w:r>
        <w:rPr>
          <w:rFonts w:ascii="Times New Roman;Times;Serif" w:hAnsi="Times New Roman;Times;Serif"/>
          <w:sz w:val="20"/>
        </w:rPr>
        <w:t>ct an Independent Accounting Firm by lot (after excluding their respective regular outside accounting firms). The Sellers, on the one hand, and the Buyer, on the other hand, shall bear one-half of the costs of such accounting firm. The decision of the acco</w:t>
      </w:r>
      <w:r>
        <w:rPr>
          <w:rFonts w:ascii="Times New Roman;Times;Serif" w:hAnsi="Times New Roman;Times;Serif"/>
          <w:sz w:val="20"/>
        </w:rPr>
        <w:t>unting firm with respect to all disputed matters relating to the Closing Working Capital shall be deemed final and conclusive and shall be binding upon the Sellers and the Buyer. In addition, if the Sellers do not object to the Closing Working Capital with</w:t>
      </w:r>
      <w:r>
        <w:rPr>
          <w:rFonts w:ascii="Times New Roman;Times;Serif" w:hAnsi="Times New Roman;Times;Serif"/>
          <w:sz w:val="20"/>
        </w:rPr>
        <w:t>in the 15-day period referred to above, the Closing Working Capital, as reflected on the Closing Date Balance Sheet as so prepared, shall be deemed final and conclusive and binding upon the Sellers and the Buyer.</w:t>
      </w:r>
    </w:p>
    <w:p w14:paraId="2FBE261A" w14:textId="77777777" w:rsidR="00E22AC0" w:rsidRDefault="00FC56F3">
      <w:pPr>
        <w:pStyle w:val="a3"/>
        <w:spacing w:after="0"/>
        <w:ind w:firstLine="2160"/>
        <w:jc w:val="both"/>
      </w:pPr>
      <w:r>
        <w:t> </w:t>
      </w:r>
    </w:p>
    <w:p w14:paraId="2CC8815F" w14:textId="77777777" w:rsidR="00E22AC0" w:rsidRDefault="00FC56F3">
      <w:pPr>
        <w:pStyle w:val="a3"/>
        <w:spacing w:after="0"/>
        <w:ind w:firstLine="216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6</w:t>
      </w:r>
    </w:p>
    <w:p w14:paraId="2317EFC2" w14:textId="77777777" w:rsidR="00E22AC0" w:rsidRDefault="00FC56F3">
      <w:pPr>
        <w:pStyle w:val="a3"/>
        <w:spacing w:after="0"/>
      </w:pPr>
      <w:r>
        <w:t> </w:t>
      </w:r>
    </w:p>
    <w:p w14:paraId="68559B93" w14:textId="77777777" w:rsidR="00E22AC0" w:rsidRDefault="00FC56F3">
      <w:pPr>
        <w:pStyle w:val="a3"/>
        <w:spacing w:after="0"/>
        <w:ind w:firstLine="2160"/>
        <w:jc w:val="both"/>
      </w:pPr>
      <w:r>
        <w:t> </w:t>
      </w:r>
    </w:p>
    <w:p w14:paraId="373E35C9"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(v) The Sellers shall be entitled t</w:t>
      </w:r>
      <w:r>
        <w:rPr>
          <w:rFonts w:ascii="Times New Roman;Times;Serif" w:hAnsi="Times New Roman;Times;Serif"/>
          <w:sz w:val="20"/>
        </w:rPr>
        <w:t>o have access to the books and records of the Company and the Buyer’s work papers prepared in connection with the Closing Date Balance Sheet and shall be entitled to discuss such books and records and work papers with the Buyer and those persons responsibl</w:t>
      </w:r>
      <w:r>
        <w:rPr>
          <w:rFonts w:ascii="Times New Roman;Times;Serif" w:hAnsi="Times New Roman;Times;Serif"/>
          <w:sz w:val="20"/>
        </w:rPr>
        <w:t>e for the preparation thereof.</w:t>
      </w:r>
    </w:p>
    <w:p w14:paraId="68A2429F" w14:textId="77777777" w:rsidR="00E22AC0" w:rsidRDefault="00FC56F3">
      <w:pPr>
        <w:pStyle w:val="a3"/>
        <w:spacing w:after="0"/>
        <w:ind w:firstLine="1440"/>
        <w:jc w:val="both"/>
      </w:pPr>
      <w:r>
        <w:t> </w:t>
      </w:r>
    </w:p>
    <w:p w14:paraId="33E2CF77"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(b) </w:t>
      </w:r>
      <w:r>
        <w:rPr>
          <w:rFonts w:ascii="Times New Roman;Times;Serif" w:hAnsi="Times New Roman;Times;Serif"/>
          <w:sz w:val="20"/>
          <w:u w:val="single"/>
        </w:rPr>
        <w:t>Target Working Capital Adjustment</w:t>
      </w:r>
      <w:r>
        <w:rPr>
          <w:rFonts w:ascii="Times New Roman;Times;Serif" w:hAnsi="Times New Roman;Times;Serif"/>
          <w:sz w:val="20"/>
        </w:rPr>
        <w:t>. If the Net Working Capital Target exceeds the Net Working Capital as set forth on the Preliminary Balance Sheet, then the Purchase Price shall be reduced at the Closing by an amount eq</w:t>
      </w:r>
      <w:r>
        <w:rPr>
          <w:rFonts w:ascii="Times New Roman;Times;Serif" w:hAnsi="Times New Roman;Times;Serif"/>
          <w:sz w:val="20"/>
        </w:rPr>
        <w:t>ual to such difference. If the Net Working Capital as set forth on the Preliminary Balance Sheet exceeds the Net Working Capital Target at Closing, the Purchase Price shall be increased at the Closing by an amount equal to such difference.</w:t>
      </w:r>
    </w:p>
    <w:p w14:paraId="1F3DCBD1" w14:textId="77777777" w:rsidR="00E22AC0" w:rsidRDefault="00FC56F3">
      <w:pPr>
        <w:pStyle w:val="a3"/>
        <w:spacing w:after="0"/>
        <w:ind w:firstLine="1440"/>
        <w:jc w:val="both"/>
      </w:pPr>
      <w:r>
        <w:t> </w:t>
      </w:r>
    </w:p>
    <w:p w14:paraId="20C0E49F"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(c) </w:t>
      </w:r>
      <w:r>
        <w:rPr>
          <w:rFonts w:ascii="Times New Roman;Times;Serif" w:hAnsi="Times New Roman;Times;Serif"/>
          <w:sz w:val="20"/>
          <w:u w:val="single"/>
        </w:rPr>
        <w:t>Adjustment</w:t>
      </w:r>
      <w:r>
        <w:rPr>
          <w:rFonts w:ascii="Times New Roman;Times;Serif" w:hAnsi="Times New Roman;Times;Serif"/>
          <w:sz w:val="20"/>
          <w:u w:val="single"/>
        </w:rPr>
        <w:t xml:space="preserve"> for Outstanding Indebtedness</w:t>
      </w:r>
      <w:r>
        <w:rPr>
          <w:rFonts w:ascii="Times New Roman;Times;Serif" w:hAnsi="Times New Roman;Times;Serif"/>
          <w:sz w:val="20"/>
        </w:rPr>
        <w:t>. The Purchase Price shall be decreased by the amount of any outstanding indebtedness of the Company existing as of the Closing Date and the deducted amount shall be utilized to pay off such outstanding indebtedness. Indebtedne</w:t>
      </w:r>
      <w:r>
        <w:rPr>
          <w:rFonts w:ascii="Times New Roman;Times;Serif" w:hAnsi="Times New Roman;Times;Serif"/>
          <w:sz w:val="20"/>
        </w:rPr>
        <w:t>ss of the Company shall not include the Payroll Protection Plan Loan.</w:t>
      </w:r>
    </w:p>
    <w:p w14:paraId="230F7D7B" w14:textId="77777777" w:rsidR="00E22AC0" w:rsidRDefault="00FC56F3">
      <w:pPr>
        <w:pStyle w:val="a3"/>
        <w:spacing w:after="0"/>
        <w:ind w:firstLine="720"/>
        <w:jc w:val="both"/>
      </w:pPr>
      <w:r>
        <w:t> </w:t>
      </w:r>
    </w:p>
    <w:p w14:paraId="244DA9BB"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2.3 </w:t>
      </w:r>
      <w:r>
        <w:rPr>
          <w:rFonts w:ascii="Times New Roman;Times;Serif" w:hAnsi="Times New Roman;Times;Serif"/>
          <w:sz w:val="20"/>
          <w:u w:val="single"/>
        </w:rPr>
        <w:t>Closing</w:t>
      </w:r>
      <w:r>
        <w:rPr>
          <w:rFonts w:ascii="Times New Roman;Times;Serif" w:hAnsi="Times New Roman;Times;Serif"/>
          <w:sz w:val="20"/>
        </w:rPr>
        <w:t>. The consummation of the Acquisition (the “</w:t>
      </w:r>
      <w:r>
        <w:rPr>
          <w:rFonts w:ascii="Times New Roman;Times;Serif" w:hAnsi="Times New Roman;Times;Serif"/>
          <w:b/>
          <w:sz w:val="20"/>
        </w:rPr>
        <w:t>Closing</w:t>
      </w:r>
      <w:r>
        <w:rPr>
          <w:rFonts w:ascii="Times New Roman;Times;Serif" w:hAnsi="Times New Roman;Times;Serif"/>
          <w:sz w:val="20"/>
        </w:rPr>
        <w:t>”) will take place by the reciprocal delivery of closing documents by electronic mail, regular mail, fax or any other mean</w:t>
      </w:r>
      <w:r>
        <w:rPr>
          <w:rFonts w:ascii="Times New Roman;Times;Serif" w:hAnsi="Times New Roman;Times;Serif"/>
          <w:sz w:val="20"/>
        </w:rPr>
        <w:t>s mutually agreed upon by the parties hereto on a date that is no later than two (2) Business Days immediately following the day on which the last of the conditions to closing contained in Article VIII (other than any conditions that by their nature are to</w:t>
      </w:r>
      <w:r>
        <w:rPr>
          <w:rFonts w:ascii="Times New Roman;Times;Serif" w:hAnsi="Times New Roman;Times;Serif"/>
          <w:sz w:val="20"/>
        </w:rPr>
        <w:t xml:space="preserve"> be satisfied at the Closing) is satisfied or waived in accordance with this Agreement or at such other location or on such other date as the Buyer and the Company may mutually determine (the date on which the Closing actually occurs is referred to as the </w:t>
      </w:r>
      <w:r>
        <w:rPr>
          <w:rFonts w:ascii="Times New Roman;Times;Serif" w:hAnsi="Times New Roman;Times;Serif"/>
          <w:sz w:val="20"/>
        </w:rPr>
        <w:t>“</w:t>
      </w:r>
      <w:r>
        <w:rPr>
          <w:rFonts w:ascii="Times New Roman;Times;Serif" w:hAnsi="Times New Roman;Times;Serif"/>
          <w:b/>
          <w:sz w:val="20"/>
        </w:rPr>
        <w:t>Closing Date</w:t>
      </w:r>
      <w:r>
        <w:rPr>
          <w:rFonts w:ascii="Times New Roman;Times;Serif" w:hAnsi="Times New Roman;Times;Serif"/>
          <w:sz w:val="20"/>
        </w:rPr>
        <w:t>”).</w:t>
      </w:r>
    </w:p>
    <w:p w14:paraId="527540CD" w14:textId="77777777" w:rsidR="00E22AC0" w:rsidRDefault="00FC56F3">
      <w:pPr>
        <w:pStyle w:val="a3"/>
        <w:spacing w:after="0"/>
        <w:ind w:firstLine="720"/>
        <w:jc w:val="both"/>
      </w:pPr>
      <w:r>
        <w:t> </w:t>
      </w:r>
    </w:p>
    <w:p w14:paraId="7743D874"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2.4 </w:t>
      </w:r>
      <w:r>
        <w:rPr>
          <w:rFonts w:ascii="Times New Roman;Times;Serif" w:hAnsi="Times New Roman;Times;Serif"/>
          <w:sz w:val="20"/>
          <w:u w:val="single"/>
        </w:rPr>
        <w:t xml:space="preserve">Transactions to be </w:t>
      </w:r>
      <w:proofErr w:type="gramStart"/>
      <w:r>
        <w:rPr>
          <w:rFonts w:ascii="Times New Roman;Times;Serif" w:hAnsi="Times New Roman;Times;Serif"/>
          <w:sz w:val="20"/>
          <w:u w:val="single"/>
        </w:rPr>
        <w:t>Effected</w:t>
      </w:r>
      <w:proofErr w:type="gramEnd"/>
      <w:r>
        <w:rPr>
          <w:rFonts w:ascii="Times New Roman;Times;Serif" w:hAnsi="Times New Roman;Times;Serif"/>
          <w:sz w:val="20"/>
          <w:u w:val="single"/>
        </w:rPr>
        <w:t xml:space="preserve"> at the Closing</w:t>
      </w:r>
      <w:r>
        <w:rPr>
          <w:rFonts w:ascii="Times New Roman;Times;Serif" w:hAnsi="Times New Roman;Times;Serif"/>
          <w:sz w:val="20"/>
        </w:rPr>
        <w:t>.</w:t>
      </w:r>
    </w:p>
    <w:p w14:paraId="00D3CE22" w14:textId="77777777" w:rsidR="00E22AC0" w:rsidRDefault="00FC56F3">
      <w:pPr>
        <w:pStyle w:val="a3"/>
        <w:spacing w:after="0"/>
        <w:ind w:firstLine="1440"/>
        <w:jc w:val="both"/>
      </w:pPr>
      <w:r>
        <w:t> </w:t>
      </w:r>
    </w:p>
    <w:p w14:paraId="5897A8B8"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(a) At the Closing, the Buyer will (</w:t>
      </w:r>
      <w:proofErr w:type="spellStart"/>
      <w:r>
        <w:rPr>
          <w:rFonts w:ascii="Times New Roman;Times;Serif" w:hAnsi="Times New Roman;Times;Serif"/>
          <w:sz w:val="20"/>
        </w:rPr>
        <w:t>i</w:t>
      </w:r>
      <w:proofErr w:type="spellEnd"/>
      <w:r>
        <w:rPr>
          <w:rFonts w:ascii="Times New Roman;Times;Serif" w:hAnsi="Times New Roman;Times;Serif"/>
          <w:sz w:val="20"/>
        </w:rPr>
        <w:t xml:space="preserve">) pay to each of the Sellers his or her pro portion of the Cash Portion of the Purchase Price, adjusted in accordance with subsection 2.2(b) above and less the amounts paid pursuant to subsection 2.2(c) above by paying </w:t>
      </w:r>
      <w:r>
        <w:rPr>
          <w:rFonts w:ascii="Times New Roman;Times;Serif" w:hAnsi="Times New Roman;Times;Serif"/>
          <w:sz w:val="20"/>
        </w:rPr>
        <w:t xml:space="preserve">such sum to each Seller by transfer of immediately available funds in accordance with instructions provided by each Seller, (ii) issue to each Seller a certificate or certificates representing the number of Buyer Shares set forth for such Seller on </w:t>
      </w:r>
      <w:r>
        <w:rPr>
          <w:rFonts w:ascii="Times New Roman;Times;Serif" w:hAnsi="Times New Roman;Times;Serif"/>
          <w:sz w:val="20"/>
          <w:u w:val="single"/>
        </w:rPr>
        <w:t>Exhibit</w:t>
      </w:r>
      <w:r>
        <w:rPr>
          <w:rFonts w:ascii="Times New Roman;Times;Serif" w:hAnsi="Times New Roman;Times;Serif"/>
          <w:sz w:val="20"/>
          <w:u w:val="single"/>
        </w:rPr>
        <w:t xml:space="preserve"> A</w:t>
      </w:r>
      <w:r>
        <w:rPr>
          <w:rFonts w:ascii="Times New Roman;Times;Serif" w:hAnsi="Times New Roman;Times;Serif"/>
          <w:sz w:val="20"/>
        </w:rPr>
        <w:t xml:space="preserve">, duly endorsed or accompanied by stock powers duly endorsed in blank, (iii) issue to each of the Sellers his or her pro rata portion of the Seller Notes representing the principal amount of Seller Note set forth for such Seller on </w:t>
      </w:r>
      <w:r>
        <w:rPr>
          <w:rFonts w:ascii="Times New Roman;Times;Serif" w:hAnsi="Times New Roman;Times;Serif"/>
          <w:sz w:val="20"/>
          <w:u w:val="single"/>
        </w:rPr>
        <w:t>Exhibit A</w:t>
      </w:r>
      <w:r>
        <w:rPr>
          <w:rFonts w:ascii="Times New Roman;Times;Serif" w:hAnsi="Times New Roman;Times;Serif"/>
          <w:sz w:val="20"/>
        </w:rPr>
        <w:t>, and (iv) de</w:t>
      </w:r>
      <w:r>
        <w:rPr>
          <w:rFonts w:ascii="Times New Roman;Times;Serif" w:hAnsi="Times New Roman;Times;Serif"/>
          <w:sz w:val="20"/>
        </w:rPr>
        <w:t>liver to the Sellers all other documents, instruments or certificates required to be delivered by the Buyer at or prior to the Closing pursuant to Section 8.2 of this Agreement.</w:t>
      </w:r>
    </w:p>
    <w:p w14:paraId="4D3087CA" w14:textId="77777777" w:rsidR="00E22AC0" w:rsidRDefault="00FC56F3">
      <w:pPr>
        <w:pStyle w:val="a3"/>
        <w:spacing w:after="0"/>
        <w:ind w:firstLine="1440"/>
        <w:jc w:val="both"/>
      </w:pPr>
      <w:r>
        <w:t> </w:t>
      </w:r>
    </w:p>
    <w:p w14:paraId="59D639BB"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 At the Closing, each Seller will deliver to the Buyer (</w:t>
      </w:r>
      <w:proofErr w:type="spellStart"/>
      <w:r>
        <w:rPr>
          <w:rFonts w:ascii="Times New Roman;Times;Serif" w:hAnsi="Times New Roman;Times;Serif"/>
          <w:sz w:val="20"/>
        </w:rPr>
        <w:t>i</w:t>
      </w:r>
      <w:proofErr w:type="spellEnd"/>
      <w:r>
        <w:rPr>
          <w:rFonts w:ascii="Times New Roman;Times;Serif" w:hAnsi="Times New Roman;Times;Serif"/>
          <w:sz w:val="20"/>
        </w:rPr>
        <w:t xml:space="preserve">) a certificate </w:t>
      </w:r>
      <w:r>
        <w:rPr>
          <w:rFonts w:ascii="Times New Roman;Times;Serif" w:hAnsi="Times New Roman;Times;Serif"/>
          <w:sz w:val="20"/>
        </w:rPr>
        <w:t>or certificates representing his or her Shares duly endorsed or accompanied by stock powers duly endorsed in blank and (ii) all other documents, instruments or certificates required to be delivered by the Sellers at or prior to the Closing pursuant to Sect</w:t>
      </w:r>
      <w:r>
        <w:rPr>
          <w:rFonts w:ascii="Times New Roman;Times;Serif" w:hAnsi="Times New Roman;Times;Serif"/>
          <w:sz w:val="20"/>
        </w:rPr>
        <w:t>ion 8.1 of this Agreement.</w:t>
      </w:r>
    </w:p>
    <w:p w14:paraId="0A71A39D" w14:textId="77777777" w:rsidR="00E22AC0" w:rsidRDefault="00FC56F3">
      <w:pPr>
        <w:pStyle w:val="a3"/>
        <w:spacing w:after="0"/>
        <w:jc w:val="center"/>
      </w:pPr>
      <w:r>
        <w:t> </w:t>
      </w:r>
    </w:p>
    <w:p w14:paraId="449E67FF" w14:textId="77777777" w:rsidR="00E22AC0" w:rsidRDefault="00FC56F3">
      <w:pPr>
        <w:pStyle w:val="a3"/>
        <w:spacing w:after="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7</w:t>
      </w:r>
    </w:p>
    <w:p w14:paraId="0C0870B1" w14:textId="77777777" w:rsidR="00E22AC0" w:rsidRDefault="00FC56F3">
      <w:pPr>
        <w:pStyle w:val="a3"/>
        <w:spacing w:after="0"/>
      </w:pPr>
      <w:r>
        <w:t> </w:t>
      </w:r>
    </w:p>
    <w:p w14:paraId="3AD7DB9E" w14:textId="77777777" w:rsidR="00E22AC0" w:rsidRDefault="00FC56F3">
      <w:pPr>
        <w:pStyle w:val="a3"/>
        <w:spacing w:after="0"/>
        <w:jc w:val="center"/>
      </w:pPr>
      <w:r>
        <w:t> </w:t>
      </w:r>
    </w:p>
    <w:p w14:paraId="06110169" w14:textId="77777777" w:rsidR="00E22AC0" w:rsidRDefault="00FC56F3">
      <w:pPr>
        <w:pStyle w:val="a3"/>
        <w:spacing w:after="0"/>
        <w:jc w:val="center"/>
        <w:rPr>
          <w:rFonts w:ascii="Times New Roman;Times;Serif" w:hAnsi="Times New Roman;Times;Serif"/>
          <w:sz w:val="20"/>
        </w:rPr>
      </w:pPr>
      <w:r>
        <w:rPr>
          <w:rFonts w:ascii="Times New Roman;Times;Serif" w:hAnsi="Times New Roman;Times;Serif"/>
          <w:sz w:val="20"/>
        </w:rPr>
        <w:t>ARTICLE III</w:t>
      </w:r>
      <w:r>
        <w:rPr>
          <w:rFonts w:ascii="Times New Roman;Times;Serif" w:hAnsi="Times New Roman;Times;Serif"/>
          <w:sz w:val="20"/>
        </w:rPr>
        <w:br/>
        <w:t>REPRESENTATIONS AND WARRANTIES OF THE SELLERS</w:t>
      </w:r>
    </w:p>
    <w:p w14:paraId="556FD7C9" w14:textId="77777777" w:rsidR="00E22AC0" w:rsidRDefault="00FC56F3">
      <w:pPr>
        <w:pStyle w:val="a3"/>
        <w:spacing w:after="0"/>
        <w:jc w:val="both"/>
      </w:pPr>
      <w:r>
        <w:t> </w:t>
      </w:r>
    </w:p>
    <w:p w14:paraId="3EB60E2A"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Each of the Sellers, for himself or herself, as the case may be, represents and warrants to the Buyer that, with respect to such Seller, each statement </w:t>
      </w:r>
      <w:r>
        <w:rPr>
          <w:rFonts w:ascii="Times New Roman;Times;Serif" w:hAnsi="Times New Roman;Times;Serif"/>
          <w:sz w:val="20"/>
        </w:rPr>
        <w:t>contained in this Article III is true and correct as of the date hereof, except as set forth in the disclosure schedule to be delivered to the Buyer in accordance with Section 7.13 hereof (the “</w:t>
      </w:r>
      <w:r>
        <w:rPr>
          <w:rFonts w:ascii="Times New Roman;Times;Serif" w:hAnsi="Times New Roman;Times;Serif"/>
          <w:b/>
          <w:sz w:val="20"/>
        </w:rPr>
        <w:t>Disclosure Schedule</w:t>
      </w:r>
      <w:r>
        <w:rPr>
          <w:rFonts w:ascii="Times New Roman;Times;Serif" w:hAnsi="Times New Roman;Times;Serif"/>
          <w:sz w:val="20"/>
        </w:rPr>
        <w:t xml:space="preserve">”). The </w:t>
      </w:r>
      <w:r>
        <w:rPr>
          <w:rFonts w:ascii="Times New Roman;Times;Serif" w:hAnsi="Times New Roman;Times;Serif"/>
          <w:sz w:val="20"/>
        </w:rPr>
        <w:lastRenderedPageBreak/>
        <w:t>Disclosure Schedule has been arrang</w:t>
      </w:r>
      <w:r>
        <w:rPr>
          <w:rFonts w:ascii="Times New Roman;Times;Serif" w:hAnsi="Times New Roman;Times;Serif"/>
          <w:sz w:val="20"/>
        </w:rPr>
        <w:t>ed for purposes of convenience only, in sections corresponding to the Sections of this Article III and Article IV. Each section of the Disclosure Schedule will be deemed to incorporate by reference all information disclosed in any other section of the Disc</w:t>
      </w:r>
      <w:r>
        <w:rPr>
          <w:rFonts w:ascii="Times New Roman;Times;Serif" w:hAnsi="Times New Roman;Times;Serif"/>
          <w:sz w:val="20"/>
        </w:rPr>
        <w:t>losure Schedule.</w:t>
      </w:r>
    </w:p>
    <w:p w14:paraId="694A3A6C" w14:textId="77777777" w:rsidR="00E22AC0" w:rsidRDefault="00FC56F3">
      <w:pPr>
        <w:pStyle w:val="a3"/>
        <w:spacing w:after="0"/>
        <w:ind w:firstLine="720"/>
        <w:jc w:val="both"/>
      </w:pPr>
      <w:r>
        <w:t> </w:t>
      </w:r>
    </w:p>
    <w:p w14:paraId="5FB020EB"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3.1 </w:t>
      </w:r>
      <w:r>
        <w:rPr>
          <w:rFonts w:ascii="Times New Roman;Times;Serif" w:hAnsi="Times New Roman;Times;Serif"/>
          <w:sz w:val="20"/>
          <w:u w:val="single"/>
        </w:rPr>
        <w:t>Authority and Enforceability</w:t>
      </w:r>
      <w:r>
        <w:rPr>
          <w:rFonts w:ascii="Times New Roman;Times;Serif" w:hAnsi="Times New Roman;Times;Serif"/>
          <w:sz w:val="20"/>
        </w:rPr>
        <w:t xml:space="preserve">. The Seller has the requisite legal capacity to execute and deliver this Agreement, to perform the Seller’s obligations hereunder and to consummate the Acquisition and the other transactions contemplated </w:t>
      </w:r>
      <w:r>
        <w:rPr>
          <w:rFonts w:ascii="Times New Roman;Times;Serif" w:hAnsi="Times New Roman;Times;Serif"/>
          <w:sz w:val="20"/>
        </w:rPr>
        <w:t>hereby. This Agreement has been duly executed and delivered by the Seller and, assuming the due authorization, execution and delivery by each other party hereto, constitutes a legal, valid and binding obligation of the Seller, enforceable against the Selle</w:t>
      </w:r>
      <w:r>
        <w:rPr>
          <w:rFonts w:ascii="Times New Roman;Times;Serif" w:hAnsi="Times New Roman;Times;Serif"/>
          <w:sz w:val="20"/>
        </w:rPr>
        <w:t>r in accordance with its terms, except as limited by (a) bankruptcy, insolvency, reorganization, moratorium, fraudulent conveyance or other similar Laws relating to creditors’ rights generally and (b) general principles of equity, whether such enforceabili</w:t>
      </w:r>
      <w:r>
        <w:rPr>
          <w:rFonts w:ascii="Times New Roman;Times;Serif" w:hAnsi="Times New Roman;Times;Serif"/>
          <w:sz w:val="20"/>
        </w:rPr>
        <w:t>ty is considered in a proceeding in equity or at Law.</w:t>
      </w:r>
    </w:p>
    <w:p w14:paraId="02EBAF7E" w14:textId="77777777" w:rsidR="00E22AC0" w:rsidRDefault="00FC56F3">
      <w:pPr>
        <w:pStyle w:val="a3"/>
        <w:spacing w:after="0"/>
        <w:ind w:firstLine="720"/>
        <w:jc w:val="both"/>
      </w:pPr>
      <w:r>
        <w:t> </w:t>
      </w:r>
    </w:p>
    <w:p w14:paraId="26B81944"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3.2 </w:t>
      </w:r>
      <w:proofErr w:type="spellStart"/>
      <w:r>
        <w:rPr>
          <w:rFonts w:ascii="Times New Roman;Times;Serif" w:hAnsi="Times New Roman;Times;Serif"/>
          <w:sz w:val="20"/>
          <w:u w:val="single"/>
        </w:rPr>
        <w:t>Noncontravention</w:t>
      </w:r>
      <w:proofErr w:type="spellEnd"/>
      <w:r>
        <w:rPr>
          <w:rFonts w:ascii="Times New Roman;Times;Serif" w:hAnsi="Times New Roman;Times;Serif"/>
          <w:sz w:val="20"/>
        </w:rPr>
        <w:t>.</w:t>
      </w:r>
    </w:p>
    <w:p w14:paraId="7FAE0AC9" w14:textId="77777777" w:rsidR="00E22AC0" w:rsidRDefault="00FC56F3">
      <w:pPr>
        <w:pStyle w:val="a3"/>
        <w:spacing w:after="0"/>
        <w:ind w:firstLine="1440"/>
        <w:jc w:val="both"/>
      </w:pPr>
      <w:r>
        <w:t> </w:t>
      </w:r>
    </w:p>
    <w:p w14:paraId="52E0C3FE"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(a) Neither the execution and the delivery of this Agreement nor the consummation of the Acquisition or the other transactions contemplated by this Agreement will, with or with</w:t>
      </w:r>
      <w:r>
        <w:rPr>
          <w:rFonts w:ascii="Times New Roman;Times;Serif" w:hAnsi="Times New Roman;Times;Serif"/>
          <w:sz w:val="20"/>
        </w:rPr>
        <w:t>out the giving of notice or the lapse of time or both, (</w:t>
      </w:r>
      <w:proofErr w:type="spellStart"/>
      <w:r>
        <w:rPr>
          <w:rFonts w:ascii="Times New Roman;Times;Serif" w:hAnsi="Times New Roman;Times;Serif"/>
          <w:sz w:val="20"/>
        </w:rPr>
        <w:t>i</w:t>
      </w:r>
      <w:proofErr w:type="spellEnd"/>
      <w:r>
        <w:rPr>
          <w:rFonts w:ascii="Times New Roman;Times;Serif" w:hAnsi="Times New Roman;Times;Serif"/>
          <w:sz w:val="20"/>
        </w:rPr>
        <w:t>) to the Knowledge of the Sellers and assuming compliance with the filing and notice requirements set forth in Section 3.2(b)(</w:t>
      </w:r>
      <w:proofErr w:type="spellStart"/>
      <w:r>
        <w:rPr>
          <w:rFonts w:ascii="Times New Roman;Times;Serif" w:hAnsi="Times New Roman;Times;Serif"/>
          <w:sz w:val="20"/>
        </w:rPr>
        <w:t>i</w:t>
      </w:r>
      <w:proofErr w:type="spellEnd"/>
      <w:r>
        <w:rPr>
          <w:rFonts w:ascii="Times New Roman;Times;Serif" w:hAnsi="Times New Roman;Times;Serif"/>
          <w:sz w:val="20"/>
        </w:rPr>
        <w:t>), violate any Law applicable to the Seller or (ii) violate any Contract</w:t>
      </w:r>
      <w:r>
        <w:rPr>
          <w:rFonts w:ascii="Times New Roman;Times;Serif" w:hAnsi="Times New Roman;Times;Serif"/>
          <w:sz w:val="20"/>
        </w:rPr>
        <w:t xml:space="preserve"> to which the Seller is a party, except to the extent that any such violation would not reasonably be expected to have, individually or in the aggregate, a Material Adverse Effect.</w:t>
      </w:r>
    </w:p>
    <w:p w14:paraId="13CBD499" w14:textId="77777777" w:rsidR="00E22AC0" w:rsidRDefault="00FC56F3">
      <w:pPr>
        <w:pStyle w:val="a3"/>
        <w:spacing w:after="0"/>
        <w:ind w:firstLine="1440"/>
        <w:jc w:val="both"/>
      </w:pPr>
      <w:r>
        <w:t> </w:t>
      </w:r>
    </w:p>
    <w:p w14:paraId="0DA7A596"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(b) The execution and delivery of this Agreement by the Seller does not, </w:t>
      </w:r>
      <w:r>
        <w:rPr>
          <w:rFonts w:ascii="Times New Roman;Times;Serif" w:hAnsi="Times New Roman;Times;Serif"/>
          <w:sz w:val="20"/>
        </w:rPr>
        <w:t>and the performance of this Agreement by the Seller will not, require any consent, approval, authorization or Permit of, or filing with or notification to, any Governmental Entity, except for (</w:t>
      </w:r>
      <w:proofErr w:type="spellStart"/>
      <w:r>
        <w:rPr>
          <w:rFonts w:ascii="Times New Roman;Times;Serif" w:hAnsi="Times New Roman;Times;Serif"/>
          <w:sz w:val="20"/>
        </w:rPr>
        <w:t>i</w:t>
      </w:r>
      <w:proofErr w:type="spellEnd"/>
      <w:r>
        <w:rPr>
          <w:rFonts w:ascii="Times New Roman;Times;Serif" w:hAnsi="Times New Roman;Times;Serif"/>
          <w:sz w:val="20"/>
        </w:rPr>
        <w:t xml:space="preserve">) the filings set forth in </w:t>
      </w:r>
      <w:r>
        <w:rPr>
          <w:rFonts w:ascii="Times New Roman;Times;Serif" w:hAnsi="Times New Roman;Times;Serif"/>
          <w:sz w:val="20"/>
          <w:u w:val="single"/>
        </w:rPr>
        <w:t>Section 3.2(b) of the Disclosure Sc</w:t>
      </w:r>
      <w:r>
        <w:rPr>
          <w:rFonts w:ascii="Times New Roman;Times;Serif" w:hAnsi="Times New Roman;Times;Serif"/>
          <w:sz w:val="20"/>
          <w:u w:val="single"/>
        </w:rPr>
        <w:t>hedule</w:t>
      </w:r>
      <w:r>
        <w:rPr>
          <w:rFonts w:ascii="Times New Roman;Times;Serif" w:hAnsi="Times New Roman;Times;Serif"/>
          <w:sz w:val="20"/>
        </w:rPr>
        <w:t xml:space="preserve"> or (ii) where the failure to take such action would not reasonably be expected to have, individually or in the aggregate, a Material Adverse Effect.</w:t>
      </w:r>
    </w:p>
    <w:p w14:paraId="73882137" w14:textId="77777777" w:rsidR="00E22AC0" w:rsidRDefault="00FC56F3">
      <w:pPr>
        <w:pStyle w:val="a3"/>
        <w:spacing w:after="0"/>
        <w:ind w:firstLine="720"/>
        <w:jc w:val="both"/>
      </w:pPr>
      <w:r>
        <w:t> </w:t>
      </w:r>
    </w:p>
    <w:p w14:paraId="486F1DE3"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3.3 </w:t>
      </w:r>
      <w:r>
        <w:rPr>
          <w:rFonts w:ascii="Times New Roman;Times;Serif" w:hAnsi="Times New Roman;Times;Serif"/>
          <w:sz w:val="20"/>
          <w:u w:val="single"/>
        </w:rPr>
        <w:t>The Shares</w:t>
      </w:r>
      <w:r>
        <w:rPr>
          <w:rFonts w:ascii="Times New Roman;Times;Serif" w:hAnsi="Times New Roman;Times;Serif"/>
          <w:sz w:val="20"/>
        </w:rPr>
        <w:t xml:space="preserve">. </w:t>
      </w:r>
    </w:p>
    <w:p w14:paraId="69DA5E4F" w14:textId="77777777" w:rsidR="00E22AC0" w:rsidRDefault="00FC56F3">
      <w:pPr>
        <w:pStyle w:val="a3"/>
        <w:spacing w:after="0"/>
        <w:ind w:left="1440"/>
        <w:jc w:val="both"/>
      </w:pPr>
      <w:r>
        <w:t> </w:t>
      </w:r>
    </w:p>
    <w:p w14:paraId="7960FC86"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(a) The Seller holds of record and owns beneficially all of the issued and outs</w:t>
      </w:r>
      <w:r>
        <w:rPr>
          <w:rFonts w:ascii="Times New Roman;Times;Serif" w:hAnsi="Times New Roman;Times;Serif"/>
          <w:sz w:val="20"/>
        </w:rPr>
        <w:t xml:space="preserve">tanding shares of capital stock of the Company set forth opposite such Seller’s name on </w:t>
      </w:r>
      <w:r>
        <w:rPr>
          <w:rFonts w:ascii="Times New Roman;Times;Serif" w:hAnsi="Times New Roman;Times;Serif"/>
          <w:sz w:val="20"/>
          <w:u w:val="single"/>
        </w:rPr>
        <w:t>Exhibit A</w:t>
      </w:r>
      <w:r>
        <w:rPr>
          <w:rFonts w:ascii="Times New Roman;Times;Serif" w:hAnsi="Times New Roman;Times;Serif"/>
          <w:sz w:val="20"/>
        </w:rPr>
        <w:t xml:space="preserve">, free and clear of all Liens, other than (a) Liens for current real or personal property Taxes that are not yet due and payable or that may hereafter be paid </w:t>
      </w:r>
      <w:r>
        <w:rPr>
          <w:rFonts w:ascii="Times New Roman;Times;Serif" w:hAnsi="Times New Roman;Times;Serif"/>
          <w:sz w:val="20"/>
        </w:rPr>
        <w:t>without material penalty or that are being contested in good faith, (b) statutory Liens of landlords and workers’, carriers’ and mechanics’ or other like Liens incurred in the ordinary course of business or that are being contested in good faith, (c) Liens</w:t>
      </w:r>
      <w:r>
        <w:rPr>
          <w:rFonts w:ascii="Times New Roman;Times;Serif" w:hAnsi="Times New Roman;Times;Serif"/>
          <w:sz w:val="20"/>
        </w:rPr>
        <w:t xml:space="preserve"> and encroachments which do not materially interfere with the present or proposed use of the properties or assets they affect, (d) Liens that will be released prior to or as of the Closing, (e) Liens arising under this Agreement, (f) Liens created by or th</w:t>
      </w:r>
      <w:r>
        <w:rPr>
          <w:rFonts w:ascii="Times New Roman;Times;Serif" w:hAnsi="Times New Roman;Times;Serif"/>
          <w:sz w:val="20"/>
        </w:rPr>
        <w:t xml:space="preserve">rough the Buyer, and (g) Liens set forth on </w:t>
      </w:r>
      <w:r>
        <w:rPr>
          <w:rFonts w:ascii="Times New Roman;Times;Serif" w:hAnsi="Times New Roman;Times;Serif"/>
          <w:sz w:val="20"/>
          <w:u w:val="single"/>
        </w:rPr>
        <w:t>Section 3.3(a) of the Disclosure Schedule</w:t>
      </w:r>
      <w:r>
        <w:rPr>
          <w:rFonts w:ascii="Times New Roman;Times;Serif" w:hAnsi="Times New Roman;Times;Serif"/>
          <w:sz w:val="20"/>
        </w:rPr>
        <w:t xml:space="preserve"> (the “</w:t>
      </w:r>
      <w:r>
        <w:rPr>
          <w:rFonts w:ascii="Times New Roman;Times;Serif" w:hAnsi="Times New Roman;Times;Serif"/>
          <w:b/>
          <w:sz w:val="20"/>
        </w:rPr>
        <w:t>Permitted Liens</w:t>
      </w:r>
      <w:r>
        <w:rPr>
          <w:rFonts w:ascii="Times New Roman;Times;Serif" w:hAnsi="Times New Roman;Times;Serif"/>
          <w:sz w:val="20"/>
        </w:rPr>
        <w:t>”).</w:t>
      </w:r>
    </w:p>
    <w:p w14:paraId="18C49C3D" w14:textId="77777777" w:rsidR="00E22AC0" w:rsidRDefault="00FC56F3">
      <w:pPr>
        <w:pStyle w:val="a3"/>
        <w:spacing w:after="0"/>
        <w:ind w:firstLine="1440"/>
        <w:jc w:val="both"/>
      </w:pPr>
      <w:r>
        <w:t> </w:t>
      </w:r>
    </w:p>
    <w:p w14:paraId="49AA97DE" w14:textId="77777777" w:rsidR="00E22AC0" w:rsidRDefault="00FC56F3">
      <w:pPr>
        <w:pStyle w:val="a3"/>
        <w:spacing w:after="0"/>
        <w:ind w:firstLine="144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8</w:t>
      </w:r>
    </w:p>
    <w:p w14:paraId="3090F2F8" w14:textId="77777777" w:rsidR="00E22AC0" w:rsidRDefault="00FC56F3">
      <w:pPr>
        <w:pStyle w:val="a3"/>
        <w:spacing w:after="0"/>
      </w:pPr>
      <w:r>
        <w:t> </w:t>
      </w:r>
    </w:p>
    <w:p w14:paraId="43C5ED55" w14:textId="77777777" w:rsidR="00E22AC0" w:rsidRDefault="00FC56F3">
      <w:pPr>
        <w:pStyle w:val="a3"/>
        <w:spacing w:after="0"/>
        <w:ind w:firstLine="1440"/>
        <w:jc w:val="both"/>
      </w:pPr>
      <w:r>
        <w:t> </w:t>
      </w:r>
    </w:p>
    <w:p w14:paraId="1B2EBC89"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(b) The number of Shares set forth opposite the Seller’s name on </w:t>
      </w:r>
      <w:r>
        <w:rPr>
          <w:rFonts w:ascii="Times New Roman;Times;Serif" w:hAnsi="Times New Roman;Times;Serif"/>
          <w:sz w:val="20"/>
          <w:u w:val="single"/>
        </w:rPr>
        <w:t>Exhibit A</w:t>
      </w:r>
      <w:r>
        <w:rPr>
          <w:rFonts w:ascii="Times New Roman;Times;Serif" w:hAnsi="Times New Roman;Times;Serif"/>
          <w:sz w:val="20"/>
        </w:rPr>
        <w:t xml:space="preserve"> correctly sets forth all of the capital stock of the Company owned of record or beneficially by the Seller.</w:t>
      </w:r>
    </w:p>
    <w:p w14:paraId="6B038166" w14:textId="77777777" w:rsidR="00E22AC0" w:rsidRDefault="00FC56F3">
      <w:pPr>
        <w:pStyle w:val="a3"/>
        <w:spacing w:after="0"/>
        <w:ind w:firstLine="1440"/>
        <w:jc w:val="both"/>
      </w:pPr>
      <w:r>
        <w:t> </w:t>
      </w:r>
    </w:p>
    <w:p w14:paraId="008817A6"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(c) Except as set forth in this Agreement, the Seller is not a party to any Contract obligating the Seller to vote or dispose of any shares of th</w:t>
      </w:r>
      <w:r>
        <w:rPr>
          <w:rFonts w:ascii="Times New Roman;Times;Serif" w:hAnsi="Times New Roman;Times;Serif"/>
          <w:sz w:val="20"/>
        </w:rPr>
        <w:t>e capital stock of, or other equity or voting interests in, the Company.</w:t>
      </w:r>
    </w:p>
    <w:p w14:paraId="7FFFFCDD" w14:textId="77777777" w:rsidR="00E22AC0" w:rsidRDefault="00FC56F3">
      <w:pPr>
        <w:pStyle w:val="a3"/>
        <w:spacing w:after="0"/>
        <w:ind w:firstLine="720"/>
        <w:jc w:val="both"/>
      </w:pPr>
      <w:r>
        <w:t> </w:t>
      </w:r>
    </w:p>
    <w:p w14:paraId="1A94A805"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3.4 </w:t>
      </w:r>
      <w:r>
        <w:rPr>
          <w:rFonts w:ascii="Times New Roman;Times;Serif" w:hAnsi="Times New Roman;Times;Serif"/>
          <w:sz w:val="20"/>
          <w:u w:val="single"/>
        </w:rPr>
        <w:t>Brokers’ Fees</w:t>
      </w:r>
      <w:r>
        <w:rPr>
          <w:rFonts w:ascii="Times New Roman;Times;Serif" w:hAnsi="Times New Roman;Times;Serif"/>
          <w:sz w:val="20"/>
        </w:rPr>
        <w:t xml:space="preserve">. Except as set forth in </w:t>
      </w:r>
      <w:r>
        <w:rPr>
          <w:rFonts w:ascii="Times New Roman;Times;Serif" w:hAnsi="Times New Roman;Times;Serif"/>
          <w:sz w:val="20"/>
          <w:u w:val="single"/>
        </w:rPr>
        <w:t>Section 3.4 of the Disclosure Schedule</w:t>
      </w:r>
      <w:r>
        <w:rPr>
          <w:rFonts w:ascii="Times New Roman;Times;Serif" w:hAnsi="Times New Roman;Times;Serif"/>
          <w:sz w:val="20"/>
        </w:rPr>
        <w:t>, the Seller does not have any Liability to pay any fees or commissions to any broker, finder or agen</w:t>
      </w:r>
      <w:r>
        <w:rPr>
          <w:rFonts w:ascii="Times New Roman;Times;Serif" w:hAnsi="Times New Roman;Times;Serif"/>
          <w:sz w:val="20"/>
        </w:rPr>
        <w:t>t with respect to this Agreement, the Acquisition or the transactions contemplated by this Agreement.</w:t>
      </w:r>
    </w:p>
    <w:p w14:paraId="53FE7EE3" w14:textId="77777777" w:rsidR="00E22AC0" w:rsidRDefault="00FC56F3">
      <w:pPr>
        <w:pStyle w:val="a3"/>
        <w:spacing w:after="0"/>
        <w:ind w:left="360" w:hanging="360"/>
        <w:jc w:val="center"/>
      </w:pPr>
      <w:r>
        <w:t> </w:t>
      </w:r>
    </w:p>
    <w:p w14:paraId="6556B7B5" w14:textId="77777777" w:rsidR="00E22AC0" w:rsidRDefault="00FC56F3">
      <w:pPr>
        <w:pStyle w:val="a3"/>
        <w:spacing w:after="0"/>
        <w:ind w:left="360" w:hanging="360"/>
        <w:jc w:val="center"/>
        <w:rPr>
          <w:rFonts w:ascii="Times New Roman;Times;Serif" w:hAnsi="Times New Roman;Times;Serif"/>
          <w:sz w:val="20"/>
        </w:rPr>
      </w:pPr>
      <w:r>
        <w:rPr>
          <w:rFonts w:ascii="Times New Roman;Times;Serif" w:hAnsi="Times New Roman;Times;Serif"/>
          <w:sz w:val="20"/>
        </w:rPr>
        <w:t>ARTICLE IV</w:t>
      </w:r>
      <w:r>
        <w:rPr>
          <w:rFonts w:ascii="Times New Roman;Times;Serif" w:hAnsi="Times New Roman;Times;Serif"/>
          <w:sz w:val="20"/>
        </w:rPr>
        <w:br/>
        <w:t>REPRESENTATIONS AND WARRANTIES CONCERNING THE COMPANY</w:t>
      </w:r>
    </w:p>
    <w:p w14:paraId="4AD29483" w14:textId="77777777" w:rsidR="00E22AC0" w:rsidRDefault="00FC56F3">
      <w:pPr>
        <w:pStyle w:val="a3"/>
        <w:spacing w:after="0"/>
        <w:jc w:val="both"/>
      </w:pPr>
      <w:r>
        <w:t> </w:t>
      </w:r>
    </w:p>
    <w:p w14:paraId="0B9845CD"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Each Seller, jointly and severally, represents and warrants to the Buyer that </w:t>
      </w:r>
      <w:r>
        <w:rPr>
          <w:rFonts w:ascii="Times New Roman;Times;Serif" w:hAnsi="Times New Roman;Times;Serif"/>
          <w:sz w:val="20"/>
        </w:rPr>
        <w:t>each statement contained in this Article IV is true and correct as of the date hereof, except as set forth in the Disclosure Schedule.</w:t>
      </w:r>
    </w:p>
    <w:p w14:paraId="6BBA85A3" w14:textId="77777777" w:rsidR="00E22AC0" w:rsidRDefault="00FC56F3">
      <w:pPr>
        <w:pStyle w:val="a3"/>
        <w:spacing w:after="0"/>
        <w:ind w:firstLine="720"/>
        <w:jc w:val="both"/>
      </w:pPr>
      <w:r>
        <w:t> </w:t>
      </w:r>
    </w:p>
    <w:p w14:paraId="6DA5B8F2"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4.1 </w:t>
      </w:r>
      <w:r>
        <w:rPr>
          <w:rFonts w:ascii="Times New Roman;Times;Serif" w:hAnsi="Times New Roman;Times;Serif"/>
          <w:sz w:val="20"/>
          <w:u w:val="single"/>
        </w:rPr>
        <w:t>Organization, Qualification and Corporate Power; Authority and Enforceability</w:t>
      </w:r>
      <w:r>
        <w:rPr>
          <w:rFonts w:ascii="Times New Roman;Times;Serif" w:hAnsi="Times New Roman;Times;Serif"/>
          <w:sz w:val="20"/>
        </w:rPr>
        <w:t>.</w:t>
      </w:r>
    </w:p>
    <w:p w14:paraId="09B50A23" w14:textId="77777777" w:rsidR="00E22AC0" w:rsidRDefault="00FC56F3">
      <w:pPr>
        <w:pStyle w:val="a3"/>
        <w:spacing w:after="0"/>
        <w:ind w:firstLine="1440"/>
        <w:jc w:val="both"/>
      </w:pPr>
      <w:r>
        <w:lastRenderedPageBreak/>
        <w:t> </w:t>
      </w:r>
    </w:p>
    <w:p w14:paraId="01529BB0"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(a) The Company is a corporation d</w:t>
      </w:r>
      <w:r>
        <w:rPr>
          <w:rFonts w:ascii="Times New Roman;Times;Serif" w:hAnsi="Times New Roman;Times;Serif"/>
          <w:sz w:val="20"/>
        </w:rPr>
        <w:t>uly organized, validly existing and in good standing under the Laws of Idaho, and has all requisite corporate power and authority, directly or indirectly, to own, lease and operate its properties and assets and to carry on its business as it is now being c</w:t>
      </w:r>
      <w:r>
        <w:rPr>
          <w:rFonts w:ascii="Times New Roman;Times;Serif" w:hAnsi="Times New Roman;Times;Serif"/>
          <w:sz w:val="20"/>
        </w:rPr>
        <w:t>onducted. The Company is duly qualified or licensed as a foreign corporation to do business, and is in good standing, in each jurisdiction where the character of its properties or assets owned, leased or operated by it or the nature of its activities makes</w:t>
      </w:r>
      <w:r>
        <w:rPr>
          <w:rFonts w:ascii="Times New Roman;Times;Serif" w:hAnsi="Times New Roman;Times;Serif"/>
          <w:sz w:val="20"/>
        </w:rPr>
        <w:t xml:space="preserve"> such qualification or licensing necessary, except where the failure to be so qualified or licensed would not be reasonably expected to have, individually or in the aggregate, a Material Adverse Effect.</w:t>
      </w:r>
    </w:p>
    <w:p w14:paraId="592B608A" w14:textId="77777777" w:rsidR="00E22AC0" w:rsidRDefault="00FC56F3">
      <w:pPr>
        <w:pStyle w:val="a3"/>
        <w:spacing w:after="0"/>
        <w:ind w:firstLine="1440"/>
        <w:jc w:val="both"/>
      </w:pPr>
      <w:r>
        <w:t> </w:t>
      </w:r>
    </w:p>
    <w:p w14:paraId="70237169"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 The Company has the requisite power and authori</w:t>
      </w:r>
      <w:r>
        <w:rPr>
          <w:rFonts w:ascii="Times New Roman;Times;Serif" w:hAnsi="Times New Roman;Times;Serif"/>
          <w:sz w:val="20"/>
        </w:rPr>
        <w:t>ty to execute and deliver this Agreement, to perform its obligations hereunder and to consummate the transactions contemplated hereby. The execution, delivery and performance by the Company of this Agreement and the consummation by the Company of the trans</w:t>
      </w:r>
      <w:r>
        <w:rPr>
          <w:rFonts w:ascii="Times New Roman;Times;Serif" w:hAnsi="Times New Roman;Times;Serif"/>
          <w:sz w:val="20"/>
        </w:rPr>
        <w:t>actions contemplated hereby have been duly authorized by all necessary action on the part of the Company, and no other action is necessary on the part of the Company to authorize this Agreement or to consummate the Acquisition or the other transactions con</w:t>
      </w:r>
      <w:r>
        <w:rPr>
          <w:rFonts w:ascii="Times New Roman;Times;Serif" w:hAnsi="Times New Roman;Times;Serif"/>
          <w:sz w:val="20"/>
        </w:rPr>
        <w:t>templated hereby. This Agreement has been duly executed and delivered by the Company and, assuming the due authorization, execution and delivery by each other party hereto, constitutes a legal, valid and binding obligation of the Company, enforceable again</w:t>
      </w:r>
      <w:r>
        <w:rPr>
          <w:rFonts w:ascii="Times New Roman;Times;Serif" w:hAnsi="Times New Roman;Times;Serif"/>
          <w:sz w:val="20"/>
        </w:rPr>
        <w:t>st the Company in accordance with its terms, except as limited by (a) bankruptcy, insolvency, reorganization, moratorium, fraudulent conveyance or other similar Laws relating to creditors’ rights generally and (b) general principles of equity, whether such</w:t>
      </w:r>
      <w:r>
        <w:rPr>
          <w:rFonts w:ascii="Times New Roman;Times;Serif" w:hAnsi="Times New Roman;Times;Serif"/>
          <w:sz w:val="20"/>
        </w:rPr>
        <w:t xml:space="preserve"> enforceability is considered in a proceeding in equity or at Law.</w:t>
      </w:r>
    </w:p>
    <w:p w14:paraId="1AC2C84D" w14:textId="77777777" w:rsidR="00E22AC0" w:rsidRDefault="00FC56F3">
      <w:pPr>
        <w:pStyle w:val="a3"/>
        <w:spacing w:after="0"/>
        <w:ind w:firstLine="720"/>
        <w:jc w:val="both"/>
      </w:pPr>
      <w:r>
        <w:t> </w:t>
      </w:r>
    </w:p>
    <w:p w14:paraId="3D8AEEE4"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9</w:t>
      </w:r>
    </w:p>
    <w:p w14:paraId="15FB6E28" w14:textId="77777777" w:rsidR="00E22AC0" w:rsidRDefault="00FC56F3">
      <w:pPr>
        <w:pStyle w:val="a3"/>
        <w:spacing w:after="0"/>
      </w:pPr>
      <w:r>
        <w:t> </w:t>
      </w:r>
    </w:p>
    <w:p w14:paraId="69BDB963" w14:textId="77777777" w:rsidR="00E22AC0" w:rsidRDefault="00FC56F3">
      <w:pPr>
        <w:pStyle w:val="a3"/>
        <w:spacing w:after="0"/>
        <w:ind w:firstLine="720"/>
        <w:jc w:val="both"/>
      </w:pPr>
      <w:r>
        <w:t> </w:t>
      </w:r>
    </w:p>
    <w:p w14:paraId="2E7E0865"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4.2 </w:t>
      </w:r>
      <w:r>
        <w:rPr>
          <w:rFonts w:ascii="Times New Roman;Times;Serif" w:hAnsi="Times New Roman;Times;Serif"/>
          <w:sz w:val="20"/>
          <w:u w:val="single"/>
        </w:rPr>
        <w:t>Subsidiaries</w:t>
      </w:r>
      <w:r>
        <w:rPr>
          <w:rFonts w:ascii="Times New Roman;Times;Serif" w:hAnsi="Times New Roman;Times;Serif"/>
          <w:sz w:val="20"/>
        </w:rPr>
        <w:t>. The Company does not have any Subsidiaries.</w:t>
      </w:r>
    </w:p>
    <w:p w14:paraId="3414E714" w14:textId="77777777" w:rsidR="00E22AC0" w:rsidRDefault="00FC56F3">
      <w:pPr>
        <w:pStyle w:val="a3"/>
        <w:spacing w:after="0"/>
        <w:ind w:firstLine="720"/>
        <w:jc w:val="both"/>
      </w:pPr>
      <w:r>
        <w:t> </w:t>
      </w:r>
    </w:p>
    <w:p w14:paraId="20F1C2AF"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4.3 </w:t>
      </w:r>
      <w:r>
        <w:rPr>
          <w:rFonts w:ascii="Times New Roman;Times;Serif" w:hAnsi="Times New Roman;Times;Serif"/>
          <w:sz w:val="20"/>
          <w:u w:val="single"/>
        </w:rPr>
        <w:t>Capitalization</w:t>
      </w:r>
      <w:r>
        <w:rPr>
          <w:rFonts w:ascii="Times New Roman;Times;Serif" w:hAnsi="Times New Roman;Times;Serif"/>
          <w:sz w:val="20"/>
        </w:rPr>
        <w:t>.</w:t>
      </w:r>
    </w:p>
    <w:p w14:paraId="75C673EF" w14:textId="77777777" w:rsidR="00E22AC0" w:rsidRDefault="00FC56F3">
      <w:pPr>
        <w:pStyle w:val="a3"/>
        <w:spacing w:after="0"/>
        <w:ind w:firstLine="1440"/>
        <w:jc w:val="both"/>
      </w:pPr>
      <w:r>
        <w:t> </w:t>
      </w:r>
    </w:p>
    <w:p w14:paraId="595A9926"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The authorized capital stock of the Company is as set forth in </w:t>
      </w:r>
      <w:r>
        <w:rPr>
          <w:rFonts w:ascii="Times New Roman;Times;Serif" w:hAnsi="Times New Roman;Times;Serif"/>
          <w:sz w:val="20"/>
          <w:u w:val="single"/>
        </w:rPr>
        <w:t>Section 4.3(a) of the Disclosure Schedule</w:t>
      </w:r>
      <w:r>
        <w:rPr>
          <w:rFonts w:ascii="Times New Roman;Times;Serif" w:hAnsi="Times New Roman;Times;Serif"/>
          <w:sz w:val="20"/>
        </w:rPr>
        <w:t>, of which 1,000 shares of Common Stock are issued and outstanding. No other capital stock of the Company is authorized, issued or outstanding.</w:t>
      </w:r>
    </w:p>
    <w:p w14:paraId="03B2346E" w14:textId="77777777" w:rsidR="00E22AC0" w:rsidRDefault="00FC56F3">
      <w:pPr>
        <w:pStyle w:val="a3"/>
        <w:spacing w:after="0"/>
        <w:ind w:firstLine="1440"/>
        <w:jc w:val="both"/>
      </w:pPr>
      <w:r>
        <w:t> </w:t>
      </w:r>
    </w:p>
    <w:p w14:paraId="66920978"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w:t>
      </w:r>
      <w:r>
        <w:rPr>
          <w:rFonts w:ascii="Times New Roman;Times;Serif" w:hAnsi="Times New Roman;Times;Serif"/>
          <w:sz w:val="20"/>
        </w:rPr>
        <w:t>) There are no outstanding options, warrants or other securities or subscription, preemptive or other rights convertible into or exchangeable or exercisable for any shares of capital stock or other equity or voting interests of the Company and there are no</w:t>
      </w:r>
      <w:r>
        <w:rPr>
          <w:rFonts w:ascii="Times New Roman;Times;Serif" w:hAnsi="Times New Roman;Times;Serif"/>
          <w:sz w:val="20"/>
        </w:rPr>
        <w:t xml:space="preserve"> “phantom stock” rights, stock appreciation rights or other similar rights with respect to the Company. There are no Contracts of any kind to which the Company is a party or by which the Company is bound, obligating the Company to issue, deliver, grant or </w:t>
      </w:r>
      <w:r>
        <w:rPr>
          <w:rFonts w:ascii="Times New Roman;Times;Serif" w:hAnsi="Times New Roman;Times;Serif"/>
          <w:sz w:val="20"/>
        </w:rPr>
        <w:t>sell, or cause to be issued, delivered, granted or sold, additional shares of capital stock of, or other equity or voting interests in, or options, warrants or other securities or subscription, preemptive or other rights convertible into, or exchangeable o</w:t>
      </w:r>
      <w:r>
        <w:rPr>
          <w:rFonts w:ascii="Times New Roman;Times;Serif" w:hAnsi="Times New Roman;Times;Serif"/>
          <w:sz w:val="20"/>
        </w:rPr>
        <w:t xml:space="preserve">r exercisable for, shares of capital stock of, or other equity or voting interests in, the Company, or any “phantom stock” right, stock appreciation right or other similar right with respect to the Company, or obligating the Company to enter into any such </w:t>
      </w:r>
      <w:r>
        <w:rPr>
          <w:rFonts w:ascii="Times New Roman;Times;Serif" w:hAnsi="Times New Roman;Times;Serif"/>
          <w:sz w:val="20"/>
        </w:rPr>
        <w:t>Contract.</w:t>
      </w:r>
    </w:p>
    <w:p w14:paraId="0B823290" w14:textId="77777777" w:rsidR="00E22AC0" w:rsidRDefault="00FC56F3">
      <w:pPr>
        <w:pStyle w:val="a3"/>
        <w:spacing w:after="0"/>
        <w:ind w:firstLine="1440"/>
        <w:jc w:val="both"/>
      </w:pPr>
      <w:r>
        <w:t> </w:t>
      </w:r>
    </w:p>
    <w:p w14:paraId="1CDA7C5B"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(c) There are no securities or other instruments or obligations of the Company, the value of which is in any way based upon or derived from any capital or voting stock of the Company or having the right to vote (or convertible into, or </w:t>
      </w:r>
      <w:r>
        <w:rPr>
          <w:rFonts w:ascii="Times New Roman;Times;Serif" w:hAnsi="Times New Roman;Times;Serif"/>
          <w:sz w:val="20"/>
        </w:rPr>
        <w:t>exchangeable or exercisable for, securities having the right to vote) on any matters on which the Company’s stockholders may vote.</w:t>
      </w:r>
    </w:p>
    <w:p w14:paraId="04E171D3" w14:textId="77777777" w:rsidR="00E22AC0" w:rsidRDefault="00FC56F3">
      <w:pPr>
        <w:pStyle w:val="a3"/>
        <w:spacing w:after="0"/>
        <w:ind w:firstLine="1440"/>
        <w:jc w:val="both"/>
      </w:pPr>
      <w:r>
        <w:t> </w:t>
      </w:r>
    </w:p>
    <w:p w14:paraId="57D8590F"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(d) There are no Contracts, contingent or otherwise, obligating the Company to repurchase, redeem or otherwise acquire any </w:t>
      </w:r>
      <w:r>
        <w:rPr>
          <w:rFonts w:ascii="Times New Roman;Times;Serif" w:hAnsi="Times New Roman;Times;Serif"/>
          <w:sz w:val="20"/>
        </w:rPr>
        <w:t>shares of capital stock of, or other equity or voting interests in, the Company. There are no voting trusts, registration rights agreements or stockholder agreements to which the Company is a party with respect to the voting of the capital stock of the Com</w:t>
      </w:r>
      <w:r>
        <w:rPr>
          <w:rFonts w:ascii="Times New Roman;Times;Serif" w:hAnsi="Times New Roman;Times;Serif"/>
          <w:sz w:val="20"/>
        </w:rPr>
        <w:t>pany or with respect to the granting of registration rights for any of the capital stock of the Company. There are no rights plans affecting the Company.</w:t>
      </w:r>
    </w:p>
    <w:p w14:paraId="21DD7123" w14:textId="77777777" w:rsidR="00E22AC0" w:rsidRDefault="00FC56F3">
      <w:pPr>
        <w:pStyle w:val="a3"/>
        <w:spacing w:after="0"/>
        <w:ind w:firstLine="1440"/>
        <w:jc w:val="both"/>
      </w:pPr>
      <w:r>
        <w:t> </w:t>
      </w:r>
    </w:p>
    <w:p w14:paraId="474A19A4"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(e) Except as set forth in </w:t>
      </w:r>
      <w:r>
        <w:rPr>
          <w:rFonts w:ascii="Times New Roman;Times;Serif" w:hAnsi="Times New Roman;Times;Serif"/>
          <w:sz w:val="20"/>
          <w:u w:val="single"/>
        </w:rPr>
        <w:t>Section 4.3(e) of the Disclosure Schedule</w:t>
      </w:r>
      <w:r>
        <w:rPr>
          <w:rFonts w:ascii="Times New Roman;Times;Serif" w:hAnsi="Times New Roman;Times;Serif"/>
          <w:sz w:val="20"/>
        </w:rPr>
        <w:t>, there are no bonds, debentures</w:t>
      </w:r>
      <w:r>
        <w:rPr>
          <w:rFonts w:ascii="Times New Roman;Times;Serif" w:hAnsi="Times New Roman;Times;Serif"/>
          <w:sz w:val="20"/>
        </w:rPr>
        <w:t>, notes or other indebtedness of the Company.</w:t>
      </w:r>
    </w:p>
    <w:p w14:paraId="00C67ED3" w14:textId="77777777" w:rsidR="00E22AC0" w:rsidRDefault="00FC56F3">
      <w:pPr>
        <w:pStyle w:val="a3"/>
        <w:spacing w:after="0"/>
        <w:ind w:firstLine="720"/>
        <w:jc w:val="both"/>
      </w:pPr>
      <w:r>
        <w:t> </w:t>
      </w:r>
    </w:p>
    <w:p w14:paraId="59FC1AC0"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10</w:t>
      </w:r>
    </w:p>
    <w:p w14:paraId="379B1723" w14:textId="77777777" w:rsidR="00E22AC0" w:rsidRDefault="00FC56F3">
      <w:pPr>
        <w:pStyle w:val="a3"/>
        <w:spacing w:after="0"/>
      </w:pPr>
      <w:r>
        <w:lastRenderedPageBreak/>
        <w:t> </w:t>
      </w:r>
    </w:p>
    <w:p w14:paraId="53D3616C" w14:textId="77777777" w:rsidR="00E22AC0" w:rsidRDefault="00FC56F3">
      <w:pPr>
        <w:pStyle w:val="a3"/>
        <w:spacing w:after="0"/>
        <w:ind w:firstLine="720"/>
        <w:jc w:val="both"/>
      </w:pPr>
      <w:r>
        <w:t> </w:t>
      </w:r>
    </w:p>
    <w:p w14:paraId="6F4D3F8D"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4.4 </w:t>
      </w:r>
      <w:proofErr w:type="spellStart"/>
      <w:r>
        <w:rPr>
          <w:rFonts w:ascii="Times New Roman;Times;Serif" w:hAnsi="Times New Roman;Times;Serif"/>
          <w:sz w:val="20"/>
          <w:u w:val="single"/>
        </w:rPr>
        <w:t>Noncontravention</w:t>
      </w:r>
      <w:proofErr w:type="spellEnd"/>
      <w:r>
        <w:rPr>
          <w:rFonts w:ascii="Times New Roman;Times;Serif" w:hAnsi="Times New Roman;Times;Serif"/>
          <w:sz w:val="20"/>
        </w:rPr>
        <w:t>.</w:t>
      </w:r>
    </w:p>
    <w:p w14:paraId="018C03D4" w14:textId="77777777" w:rsidR="00E22AC0" w:rsidRDefault="00FC56F3">
      <w:pPr>
        <w:pStyle w:val="a3"/>
        <w:spacing w:after="0"/>
        <w:ind w:firstLine="1440"/>
        <w:jc w:val="both"/>
      </w:pPr>
      <w:r>
        <w:t> </w:t>
      </w:r>
    </w:p>
    <w:p w14:paraId="737B9C60"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Neither the execution and delivery of this Agreement nor the consummation of the Acquisition and the other transactions contemplated by this Agreement will, with or without </w:t>
      </w:r>
      <w:r>
        <w:rPr>
          <w:rFonts w:ascii="Times New Roman;Times;Serif" w:hAnsi="Times New Roman;Times;Serif"/>
          <w:sz w:val="20"/>
        </w:rPr>
        <w:t>the giving of notice or the lapse of time or both, (</w:t>
      </w:r>
      <w:proofErr w:type="spellStart"/>
      <w:r>
        <w:rPr>
          <w:rFonts w:ascii="Times New Roman;Times;Serif" w:hAnsi="Times New Roman;Times;Serif"/>
          <w:sz w:val="20"/>
        </w:rPr>
        <w:t>i</w:t>
      </w:r>
      <w:proofErr w:type="spellEnd"/>
      <w:r>
        <w:rPr>
          <w:rFonts w:ascii="Times New Roman;Times;Serif" w:hAnsi="Times New Roman;Times;Serif"/>
          <w:sz w:val="20"/>
        </w:rPr>
        <w:t xml:space="preserve">) violate any provision of the articles of incorporation or bylaws (or comparable organization documents, as applicable) of the Company, (ii) to the Knowledge of the Sellers and assuming compliance with </w:t>
      </w:r>
      <w:r>
        <w:rPr>
          <w:rFonts w:ascii="Times New Roman;Times;Serif" w:hAnsi="Times New Roman;Times;Serif"/>
          <w:sz w:val="20"/>
        </w:rPr>
        <w:t>the filing and notice requirements set forth in Section 4.4(b)(</w:t>
      </w:r>
      <w:proofErr w:type="spellStart"/>
      <w:r>
        <w:rPr>
          <w:rFonts w:ascii="Times New Roman;Times;Serif" w:hAnsi="Times New Roman;Times;Serif"/>
          <w:sz w:val="20"/>
        </w:rPr>
        <w:t>i</w:t>
      </w:r>
      <w:proofErr w:type="spellEnd"/>
      <w:r>
        <w:rPr>
          <w:rFonts w:ascii="Times New Roman;Times;Serif" w:hAnsi="Times New Roman;Times;Serif"/>
          <w:sz w:val="20"/>
        </w:rPr>
        <w:t xml:space="preserve">), violate any Law applicable to the Company on the date hereof or (iii) except as set forth in </w:t>
      </w:r>
      <w:r>
        <w:rPr>
          <w:rFonts w:ascii="Times New Roman;Times;Serif" w:hAnsi="Times New Roman;Times;Serif"/>
          <w:sz w:val="20"/>
          <w:u w:val="single"/>
        </w:rPr>
        <w:t>Section 4.4(a) of the Disclosure Schedule</w:t>
      </w:r>
      <w:r>
        <w:rPr>
          <w:rFonts w:ascii="Times New Roman;Times;Serif" w:hAnsi="Times New Roman;Times;Serif"/>
          <w:sz w:val="20"/>
        </w:rPr>
        <w:t>, violate any Contract to which the Company is a party,</w:t>
      </w:r>
      <w:r>
        <w:rPr>
          <w:rFonts w:ascii="Times New Roman;Times;Serif" w:hAnsi="Times New Roman;Times;Serif"/>
          <w:sz w:val="20"/>
        </w:rPr>
        <w:t xml:space="preserve"> except in the case of clauses (ii) and (iii) to the extent that any such violation would not reasonably be expected to have, individually or in the aggregate, a Material Adverse Effect.</w:t>
      </w:r>
    </w:p>
    <w:p w14:paraId="682B1033" w14:textId="77777777" w:rsidR="00E22AC0" w:rsidRDefault="00FC56F3">
      <w:pPr>
        <w:pStyle w:val="a3"/>
        <w:spacing w:after="0"/>
        <w:ind w:firstLine="1440"/>
        <w:jc w:val="both"/>
      </w:pPr>
      <w:r>
        <w:t> </w:t>
      </w:r>
    </w:p>
    <w:p w14:paraId="57196D89"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 The execution and delivery of this Agreement by the Company doe</w:t>
      </w:r>
      <w:r>
        <w:rPr>
          <w:rFonts w:ascii="Times New Roman;Times;Serif" w:hAnsi="Times New Roman;Times;Serif"/>
          <w:sz w:val="20"/>
        </w:rPr>
        <w:t>s not, and the performance of this Agreement by the Company will not, require any consent, approval, authorization or Permit of, or filing with or notification to, any Governmental Entity, except for (</w:t>
      </w:r>
      <w:proofErr w:type="spellStart"/>
      <w:r>
        <w:rPr>
          <w:rFonts w:ascii="Times New Roman;Times;Serif" w:hAnsi="Times New Roman;Times;Serif"/>
          <w:sz w:val="20"/>
        </w:rPr>
        <w:t>i</w:t>
      </w:r>
      <w:proofErr w:type="spellEnd"/>
      <w:r>
        <w:rPr>
          <w:rFonts w:ascii="Times New Roman;Times;Serif" w:hAnsi="Times New Roman;Times;Serif"/>
          <w:sz w:val="20"/>
        </w:rPr>
        <w:t xml:space="preserve">) the filings set forth in </w:t>
      </w:r>
      <w:r>
        <w:rPr>
          <w:rFonts w:ascii="Times New Roman;Times;Serif" w:hAnsi="Times New Roman;Times;Serif"/>
          <w:sz w:val="20"/>
          <w:u w:val="single"/>
        </w:rPr>
        <w:t>Section 4.4(b) of the Discl</w:t>
      </w:r>
      <w:r>
        <w:rPr>
          <w:rFonts w:ascii="Times New Roman;Times;Serif" w:hAnsi="Times New Roman;Times;Serif"/>
          <w:sz w:val="20"/>
          <w:u w:val="single"/>
        </w:rPr>
        <w:t>osure Schedule</w:t>
      </w:r>
      <w:r>
        <w:rPr>
          <w:rFonts w:ascii="Times New Roman;Times;Serif" w:hAnsi="Times New Roman;Times;Serif"/>
          <w:sz w:val="20"/>
        </w:rPr>
        <w:t xml:space="preserve"> or (ii) where the failure to take such action would not reasonably be expected to have, individually or in the aggregate, a Material Adverse Effect.</w:t>
      </w:r>
    </w:p>
    <w:p w14:paraId="058C0806" w14:textId="77777777" w:rsidR="00E22AC0" w:rsidRDefault="00FC56F3">
      <w:pPr>
        <w:pStyle w:val="a3"/>
        <w:spacing w:after="0"/>
        <w:ind w:firstLine="720"/>
        <w:jc w:val="both"/>
      </w:pPr>
      <w:r>
        <w:t> </w:t>
      </w:r>
    </w:p>
    <w:p w14:paraId="681C8D31"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4.5 </w:t>
      </w:r>
      <w:r>
        <w:rPr>
          <w:rFonts w:ascii="Times New Roman;Times;Serif" w:hAnsi="Times New Roman;Times;Serif"/>
          <w:sz w:val="20"/>
          <w:u w:val="single"/>
        </w:rPr>
        <w:t>Financial Statements</w:t>
      </w:r>
      <w:r>
        <w:rPr>
          <w:rFonts w:ascii="Times New Roman;Times;Serif" w:hAnsi="Times New Roman;Times;Serif"/>
          <w:sz w:val="20"/>
        </w:rPr>
        <w:t>. </w:t>
      </w:r>
      <w:r>
        <w:rPr>
          <w:rFonts w:ascii="Times New Roman;Times;Serif" w:hAnsi="Times New Roman;Times;Serif"/>
          <w:sz w:val="20"/>
          <w:u w:val="single"/>
        </w:rPr>
        <w:t>Section 4.5 of the Disclosure Schedule</w:t>
      </w:r>
      <w:r>
        <w:rPr>
          <w:rFonts w:ascii="Times New Roman;Times;Serif" w:hAnsi="Times New Roman;Times;Serif"/>
          <w:sz w:val="20"/>
        </w:rPr>
        <w:t xml:space="preserve"> contains true and complet</w:t>
      </w:r>
      <w:r>
        <w:rPr>
          <w:rFonts w:ascii="Times New Roman;Times;Serif" w:hAnsi="Times New Roman;Times;Serif"/>
          <w:sz w:val="20"/>
        </w:rPr>
        <w:t>e copies of (</w:t>
      </w:r>
      <w:proofErr w:type="spellStart"/>
      <w:r>
        <w:rPr>
          <w:rFonts w:ascii="Times New Roman;Times;Serif" w:hAnsi="Times New Roman;Times;Serif"/>
          <w:sz w:val="20"/>
        </w:rPr>
        <w:t>i</w:t>
      </w:r>
      <w:proofErr w:type="spellEnd"/>
      <w:r>
        <w:rPr>
          <w:rFonts w:ascii="Times New Roman;Times;Serif" w:hAnsi="Times New Roman;Times;Serif"/>
          <w:sz w:val="20"/>
        </w:rPr>
        <w:t>) the unaudited balance sheet of the Company as of December 31, 2019 and December 31, 2018 and the related unaudited statements of income and cash flows for the two years ended December 31, 2019 and December 31, 2018 (the “</w:t>
      </w:r>
      <w:r>
        <w:rPr>
          <w:rFonts w:ascii="Times New Roman;Times;Serif" w:hAnsi="Times New Roman;Times;Serif"/>
          <w:b/>
          <w:sz w:val="20"/>
        </w:rPr>
        <w:t>Annual Financial St</w:t>
      </w:r>
      <w:r>
        <w:rPr>
          <w:rFonts w:ascii="Times New Roman;Times;Serif" w:hAnsi="Times New Roman;Times;Serif"/>
          <w:b/>
          <w:sz w:val="20"/>
        </w:rPr>
        <w:t>atements</w:t>
      </w:r>
      <w:r>
        <w:rPr>
          <w:rFonts w:ascii="Times New Roman;Times;Serif" w:hAnsi="Times New Roman;Times;Serif"/>
          <w:sz w:val="20"/>
        </w:rPr>
        <w:t>”) and (ii) the unaudited balance sheet of the Company as of June 30, 2020 and the related statements of income and cash flows for the six-month period ended June 30, 2020 (the “</w:t>
      </w:r>
      <w:r>
        <w:rPr>
          <w:rFonts w:ascii="Times New Roman;Times;Serif" w:hAnsi="Times New Roman;Times;Serif"/>
          <w:b/>
          <w:sz w:val="20"/>
        </w:rPr>
        <w:t>Interim Financial Statements</w:t>
      </w:r>
      <w:r>
        <w:rPr>
          <w:rFonts w:ascii="Times New Roman;Times;Serif" w:hAnsi="Times New Roman;Times;Serif"/>
          <w:sz w:val="20"/>
        </w:rPr>
        <w:t xml:space="preserve">” and, together with the Annual Financial </w:t>
      </w:r>
      <w:r>
        <w:rPr>
          <w:rFonts w:ascii="Times New Roman;Times;Serif" w:hAnsi="Times New Roman;Times;Serif"/>
          <w:sz w:val="20"/>
        </w:rPr>
        <w:t>Statements, the “</w:t>
      </w:r>
      <w:r>
        <w:rPr>
          <w:rFonts w:ascii="Times New Roman;Times;Serif" w:hAnsi="Times New Roman;Times;Serif"/>
          <w:b/>
          <w:sz w:val="20"/>
        </w:rPr>
        <w:t>Financial Statements</w:t>
      </w:r>
      <w:r>
        <w:rPr>
          <w:rFonts w:ascii="Times New Roman;Times;Serif" w:hAnsi="Times New Roman;Times;Serif"/>
          <w:sz w:val="20"/>
        </w:rPr>
        <w:t xml:space="preserve">”). Except as set forth in, and subject to, </w:t>
      </w:r>
      <w:r>
        <w:rPr>
          <w:rFonts w:ascii="Times New Roman;Times;Serif" w:hAnsi="Times New Roman;Times;Serif"/>
          <w:sz w:val="20"/>
          <w:u w:val="single"/>
        </w:rPr>
        <w:t>Section 4.5 of the Disclosure Schedule</w:t>
      </w:r>
      <w:r>
        <w:rPr>
          <w:rFonts w:ascii="Times New Roman;Times;Serif" w:hAnsi="Times New Roman;Times;Serif"/>
          <w:sz w:val="20"/>
        </w:rPr>
        <w:t xml:space="preserve">, the Financial Statements have been prepared in accordance with accounting principles of Company applied on a consistent basis </w:t>
      </w:r>
      <w:r>
        <w:rPr>
          <w:rFonts w:ascii="Times New Roman;Times;Serif" w:hAnsi="Times New Roman;Times;Serif"/>
          <w:sz w:val="20"/>
        </w:rPr>
        <w:t>throughout the periods involved (except as may be indicated in the notes thereto) and, on that basis, fairly present, in all material respects, the financial condition and results of operations of the Company as of the indicated dates and for the indicated</w:t>
      </w:r>
      <w:r>
        <w:rPr>
          <w:rFonts w:ascii="Times New Roman;Times;Serif" w:hAnsi="Times New Roman;Times;Serif"/>
          <w:sz w:val="20"/>
        </w:rPr>
        <w:t xml:space="preserve"> periods (subject to normal year-end adjustments and notes).  </w:t>
      </w:r>
    </w:p>
    <w:p w14:paraId="2A6187CA" w14:textId="77777777" w:rsidR="00E22AC0" w:rsidRDefault="00FC56F3">
      <w:pPr>
        <w:pStyle w:val="a3"/>
        <w:spacing w:after="0"/>
        <w:ind w:firstLine="720"/>
        <w:jc w:val="both"/>
      </w:pPr>
      <w:r>
        <w:t> </w:t>
      </w:r>
    </w:p>
    <w:p w14:paraId="7AA314F0"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4.6 </w:t>
      </w:r>
      <w:r>
        <w:rPr>
          <w:rFonts w:ascii="Times New Roman;Times;Serif" w:hAnsi="Times New Roman;Times;Serif"/>
          <w:sz w:val="20"/>
          <w:u w:val="single"/>
        </w:rPr>
        <w:t>Taxes</w:t>
      </w:r>
      <w:r>
        <w:rPr>
          <w:rFonts w:ascii="Times New Roman;Times;Serif" w:hAnsi="Times New Roman;Times;Serif"/>
          <w:sz w:val="20"/>
        </w:rPr>
        <w:t>.</w:t>
      </w:r>
    </w:p>
    <w:p w14:paraId="5D67431B" w14:textId="77777777" w:rsidR="00E22AC0" w:rsidRDefault="00FC56F3">
      <w:pPr>
        <w:pStyle w:val="a3"/>
        <w:spacing w:after="0"/>
        <w:ind w:firstLine="1440"/>
        <w:jc w:val="both"/>
      </w:pPr>
      <w:r>
        <w:t> </w:t>
      </w:r>
    </w:p>
    <w:p w14:paraId="5D864FD4"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(a) All material Tax Returns required to have been filed by the Company have been filed, and each such Tax Return reflects the liability for Taxes in all material respects. All T</w:t>
      </w:r>
      <w:r>
        <w:rPr>
          <w:rFonts w:ascii="Times New Roman;Times;Serif" w:hAnsi="Times New Roman;Times;Serif"/>
          <w:sz w:val="20"/>
        </w:rPr>
        <w:t>axes shown on such Tax Returns as due have been paid or accrued.</w:t>
      </w:r>
    </w:p>
    <w:p w14:paraId="04B15CE0" w14:textId="77777777" w:rsidR="00E22AC0" w:rsidRDefault="00FC56F3">
      <w:pPr>
        <w:pStyle w:val="a3"/>
        <w:spacing w:after="0"/>
        <w:ind w:firstLine="1440"/>
        <w:jc w:val="both"/>
      </w:pPr>
      <w:r>
        <w:t> </w:t>
      </w:r>
    </w:p>
    <w:p w14:paraId="23449D39"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 To the Knowledge of the Sellers, there is no audit pending against the Company in respect of any Taxes. There are no Liens on any of the assets of the Company that arose in connection w</w:t>
      </w:r>
      <w:r>
        <w:rPr>
          <w:rFonts w:ascii="Times New Roman;Times;Serif" w:hAnsi="Times New Roman;Times;Serif"/>
          <w:sz w:val="20"/>
        </w:rPr>
        <w:t>ith any failure (or alleged failure) to pay any Tax, other than Liens for Taxes not yet due and payable.</w:t>
      </w:r>
    </w:p>
    <w:p w14:paraId="1A504EC1" w14:textId="77777777" w:rsidR="00E22AC0" w:rsidRDefault="00FC56F3">
      <w:pPr>
        <w:pStyle w:val="a3"/>
        <w:spacing w:after="0"/>
        <w:ind w:firstLine="1440"/>
        <w:jc w:val="both"/>
      </w:pPr>
      <w:r>
        <w:t> </w:t>
      </w:r>
    </w:p>
    <w:p w14:paraId="15E9FAB0" w14:textId="77777777" w:rsidR="00E22AC0" w:rsidRDefault="00FC56F3">
      <w:pPr>
        <w:pStyle w:val="a3"/>
        <w:spacing w:after="0"/>
        <w:ind w:firstLine="144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11</w:t>
      </w:r>
    </w:p>
    <w:p w14:paraId="4C42EABC" w14:textId="77777777" w:rsidR="00E22AC0" w:rsidRDefault="00FC56F3">
      <w:pPr>
        <w:pStyle w:val="a3"/>
        <w:spacing w:after="0"/>
      </w:pPr>
      <w:r>
        <w:t> </w:t>
      </w:r>
    </w:p>
    <w:p w14:paraId="3E33FBFF" w14:textId="77777777" w:rsidR="00E22AC0" w:rsidRDefault="00FC56F3">
      <w:pPr>
        <w:pStyle w:val="a3"/>
        <w:spacing w:after="0"/>
        <w:ind w:firstLine="1440"/>
        <w:jc w:val="both"/>
      </w:pPr>
      <w:r>
        <w:t> </w:t>
      </w:r>
    </w:p>
    <w:p w14:paraId="6B574D56"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(c) The Company has withheld and paid or accrued for all material Taxes required to have been withheld and paid or accrued for in </w:t>
      </w:r>
      <w:r>
        <w:rPr>
          <w:rFonts w:ascii="Times New Roman;Times;Serif" w:hAnsi="Times New Roman;Times;Serif"/>
          <w:sz w:val="20"/>
        </w:rPr>
        <w:t>connection with amounts paid or owing to any third party.</w:t>
      </w:r>
    </w:p>
    <w:p w14:paraId="0F3EC512" w14:textId="77777777" w:rsidR="00E22AC0" w:rsidRDefault="00FC56F3">
      <w:pPr>
        <w:pStyle w:val="a3"/>
        <w:spacing w:after="0"/>
        <w:ind w:firstLine="1440"/>
        <w:jc w:val="both"/>
      </w:pPr>
      <w:r>
        <w:t> </w:t>
      </w:r>
    </w:p>
    <w:p w14:paraId="761AFB82"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(d) The Company has not waived any statute of limitations in respect of Taxes or agreed to any extension of time with respect to a Tax assessment or deficiency.</w:t>
      </w:r>
    </w:p>
    <w:p w14:paraId="042F9E5F" w14:textId="77777777" w:rsidR="00E22AC0" w:rsidRDefault="00FC56F3">
      <w:pPr>
        <w:pStyle w:val="a3"/>
        <w:spacing w:after="0"/>
        <w:ind w:firstLine="1440"/>
        <w:jc w:val="both"/>
      </w:pPr>
      <w:r>
        <w:t> </w:t>
      </w:r>
    </w:p>
    <w:p w14:paraId="31DB449B"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(e) The Company is not a party to</w:t>
      </w:r>
      <w:r>
        <w:rPr>
          <w:rFonts w:ascii="Times New Roman;Times;Serif" w:hAnsi="Times New Roman;Times;Serif"/>
          <w:sz w:val="20"/>
        </w:rPr>
        <w:t xml:space="preserve"> any Tax allocation or sharing agreement.</w:t>
      </w:r>
    </w:p>
    <w:p w14:paraId="43E3BA96" w14:textId="77777777" w:rsidR="00E22AC0" w:rsidRDefault="00FC56F3">
      <w:pPr>
        <w:pStyle w:val="a3"/>
        <w:spacing w:after="0"/>
        <w:ind w:firstLine="720"/>
        <w:jc w:val="both"/>
      </w:pPr>
      <w:r>
        <w:t> </w:t>
      </w:r>
    </w:p>
    <w:p w14:paraId="1279E2E3"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4.7 </w:t>
      </w:r>
      <w:r>
        <w:rPr>
          <w:rFonts w:ascii="Times New Roman;Times;Serif" w:hAnsi="Times New Roman;Times;Serif"/>
          <w:sz w:val="20"/>
          <w:u w:val="single"/>
        </w:rPr>
        <w:t>Compliance with Laws and Orders; Permits</w:t>
      </w:r>
      <w:r>
        <w:rPr>
          <w:rFonts w:ascii="Times New Roman;Times;Serif" w:hAnsi="Times New Roman;Times;Serif"/>
          <w:sz w:val="20"/>
        </w:rPr>
        <w:t>.</w:t>
      </w:r>
    </w:p>
    <w:p w14:paraId="6901E27F" w14:textId="77777777" w:rsidR="00E22AC0" w:rsidRDefault="00FC56F3">
      <w:pPr>
        <w:pStyle w:val="a3"/>
        <w:spacing w:after="0"/>
        <w:ind w:firstLine="1440"/>
        <w:jc w:val="both"/>
      </w:pPr>
      <w:r>
        <w:t> </w:t>
      </w:r>
    </w:p>
    <w:p w14:paraId="085B1FA5"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The Company is in compliance with all Laws and Orders to which the business of the Company is subject, except where such failure to comply would not reasonably </w:t>
      </w:r>
      <w:r>
        <w:rPr>
          <w:rFonts w:ascii="Times New Roman;Times;Serif" w:hAnsi="Times New Roman;Times;Serif"/>
          <w:sz w:val="20"/>
        </w:rPr>
        <w:t>be expected to have, individually or in the aggregate, a Material Adverse Effect.</w:t>
      </w:r>
    </w:p>
    <w:p w14:paraId="2AD9B9EF" w14:textId="77777777" w:rsidR="00E22AC0" w:rsidRDefault="00FC56F3">
      <w:pPr>
        <w:pStyle w:val="a3"/>
        <w:spacing w:after="0"/>
        <w:ind w:firstLine="1440"/>
        <w:jc w:val="both"/>
      </w:pPr>
      <w:r>
        <w:lastRenderedPageBreak/>
        <w:t> </w:t>
      </w:r>
    </w:p>
    <w:p w14:paraId="7DBEDA1D"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 The Company owns, holds, possesses or lawfully uses in the operation of its business all Permits that are necessary for it to conduct its business as now conducted, exc</w:t>
      </w:r>
      <w:r>
        <w:rPr>
          <w:rFonts w:ascii="Times New Roman;Times;Serif" w:hAnsi="Times New Roman;Times;Serif"/>
          <w:sz w:val="20"/>
        </w:rPr>
        <w:t>ept where such failure to own, hold, possess or lawfully use such Permit would not reasonably be expected to have, individually or in the aggregate, a Material Adverse Effect.</w:t>
      </w:r>
    </w:p>
    <w:p w14:paraId="1DC29801" w14:textId="77777777" w:rsidR="00E22AC0" w:rsidRDefault="00FC56F3">
      <w:pPr>
        <w:pStyle w:val="a3"/>
        <w:spacing w:after="0"/>
        <w:ind w:firstLine="720"/>
        <w:jc w:val="both"/>
      </w:pPr>
      <w:r>
        <w:t> </w:t>
      </w:r>
    </w:p>
    <w:p w14:paraId="4D4E0F71"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4.8 </w:t>
      </w:r>
      <w:r>
        <w:rPr>
          <w:rFonts w:ascii="Times New Roman;Times;Serif" w:hAnsi="Times New Roman;Times;Serif"/>
          <w:sz w:val="20"/>
          <w:u w:val="single"/>
        </w:rPr>
        <w:t>No Undisclosed Liabilities</w:t>
      </w:r>
      <w:r>
        <w:rPr>
          <w:rFonts w:ascii="Times New Roman;Times;Serif" w:hAnsi="Times New Roman;Times;Serif"/>
          <w:sz w:val="20"/>
        </w:rPr>
        <w:t>. The Company does not have any Liability, excep</w:t>
      </w:r>
      <w:r>
        <w:rPr>
          <w:rFonts w:ascii="Times New Roman;Times;Serif" w:hAnsi="Times New Roman;Times;Serif"/>
          <w:sz w:val="20"/>
        </w:rPr>
        <w:t>t for (</w:t>
      </w:r>
      <w:proofErr w:type="spellStart"/>
      <w:r>
        <w:rPr>
          <w:rFonts w:ascii="Times New Roman;Times;Serif" w:hAnsi="Times New Roman;Times;Serif"/>
          <w:sz w:val="20"/>
        </w:rPr>
        <w:t>i</w:t>
      </w:r>
      <w:proofErr w:type="spellEnd"/>
      <w:r>
        <w:rPr>
          <w:rFonts w:ascii="Times New Roman;Times;Serif" w:hAnsi="Times New Roman;Times;Serif"/>
          <w:sz w:val="20"/>
        </w:rPr>
        <w:t>) Liabilities set forth on the Interim Financial Statements (rather than in any notes thereto) and (ii) Liabilities which have arisen since the date of the Interim Financial Statements in the ordinary course of business (none of which results from,</w:t>
      </w:r>
      <w:r>
        <w:rPr>
          <w:rFonts w:ascii="Times New Roman;Times;Serif" w:hAnsi="Times New Roman;Times;Serif"/>
          <w:sz w:val="20"/>
        </w:rPr>
        <w:t xml:space="preserve"> arises out of, relates to, is in the nature of, or was caused by any breach of contract, breach of warranty, tort, infringement, or violation of law).</w:t>
      </w:r>
    </w:p>
    <w:p w14:paraId="46B33AEA" w14:textId="77777777" w:rsidR="00E22AC0" w:rsidRDefault="00FC56F3">
      <w:pPr>
        <w:pStyle w:val="a3"/>
        <w:spacing w:after="0"/>
        <w:ind w:firstLine="720"/>
        <w:jc w:val="both"/>
      </w:pPr>
      <w:r>
        <w:t> </w:t>
      </w:r>
    </w:p>
    <w:p w14:paraId="64E80D2E"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4.9 </w:t>
      </w:r>
      <w:r>
        <w:rPr>
          <w:rFonts w:ascii="Times New Roman;Times;Serif" w:hAnsi="Times New Roman;Times;Serif"/>
          <w:sz w:val="20"/>
          <w:u w:val="single"/>
        </w:rPr>
        <w:t>Tangible Personal Assets</w:t>
      </w:r>
      <w:r>
        <w:rPr>
          <w:rFonts w:ascii="Times New Roman;Times;Serif" w:hAnsi="Times New Roman;Times;Serif"/>
          <w:sz w:val="20"/>
        </w:rPr>
        <w:t>.</w:t>
      </w:r>
    </w:p>
    <w:p w14:paraId="354E8650" w14:textId="77777777" w:rsidR="00E22AC0" w:rsidRDefault="00FC56F3">
      <w:pPr>
        <w:pStyle w:val="a3"/>
        <w:spacing w:after="0"/>
        <w:ind w:firstLine="1440"/>
        <w:jc w:val="both"/>
      </w:pPr>
      <w:r>
        <w:t> </w:t>
      </w:r>
    </w:p>
    <w:p w14:paraId="2083746B"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The Company has good title to, or a valid interest in, all of its </w:t>
      </w:r>
      <w:r>
        <w:rPr>
          <w:rFonts w:ascii="Times New Roman;Times;Serif" w:hAnsi="Times New Roman;Times;Serif"/>
          <w:sz w:val="20"/>
        </w:rPr>
        <w:t>tangible personal assets, free and clear of all Liens, other than (</w:t>
      </w:r>
      <w:proofErr w:type="spellStart"/>
      <w:r>
        <w:rPr>
          <w:rFonts w:ascii="Times New Roman;Times;Serif" w:hAnsi="Times New Roman;Times;Serif"/>
          <w:sz w:val="20"/>
        </w:rPr>
        <w:t>i</w:t>
      </w:r>
      <w:proofErr w:type="spellEnd"/>
      <w:r>
        <w:rPr>
          <w:rFonts w:ascii="Times New Roman;Times;Serif" w:hAnsi="Times New Roman;Times;Serif"/>
          <w:sz w:val="20"/>
        </w:rPr>
        <w:t>) Permitted Liens or (ii) Liens that, individually or in the aggregate, do not materially interfere with the ability of the Company thereof to conduct its business as currently conducted a</w:t>
      </w:r>
      <w:r>
        <w:rPr>
          <w:rFonts w:ascii="Times New Roman;Times;Serif" w:hAnsi="Times New Roman;Times;Serif"/>
          <w:sz w:val="20"/>
        </w:rPr>
        <w:t xml:space="preserve">nd do not adversely affect the value of, or the ability to sell, such personal properties and assets. Certain assets described in the Section </w:t>
      </w:r>
      <w:r>
        <w:rPr>
          <w:rFonts w:ascii="Times New Roman;Times;Serif" w:hAnsi="Times New Roman;Times;Serif"/>
          <w:sz w:val="20"/>
          <w:u w:val="single"/>
        </w:rPr>
        <w:t>4.9 of the Disclosure Schedule</w:t>
      </w:r>
      <w:r>
        <w:rPr>
          <w:rFonts w:ascii="Times New Roman;Times;Serif" w:hAnsi="Times New Roman;Times;Serif"/>
          <w:sz w:val="20"/>
        </w:rPr>
        <w:t xml:space="preserve"> although used in the business of the Company are excluded from this transaction and</w:t>
      </w:r>
      <w:r>
        <w:rPr>
          <w:rFonts w:ascii="Times New Roman;Times;Serif" w:hAnsi="Times New Roman;Times;Serif"/>
          <w:sz w:val="20"/>
        </w:rPr>
        <w:t xml:space="preserve"> shall remain the separate property of the Sellers, provided that any and all associated debt relating to such excluded assets shall be assumed by the Sellers. The exclusion of such assets from the business does not adversely affect the operations of the C</w:t>
      </w:r>
      <w:r>
        <w:rPr>
          <w:rFonts w:ascii="Times New Roman;Times;Serif" w:hAnsi="Times New Roman;Times;Serif"/>
          <w:sz w:val="20"/>
        </w:rPr>
        <w:t>ompany.</w:t>
      </w:r>
    </w:p>
    <w:p w14:paraId="6E16000A" w14:textId="77777777" w:rsidR="00E22AC0" w:rsidRDefault="00FC56F3">
      <w:pPr>
        <w:pStyle w:val="a3"/>
        <w:spacing w:after="0"/>
        <w:ind w:firstLine="1440"/>
        <w:jc w:val="both"/>
      </w:pPr>
      <w:r>
        <w:t> </w:t>
      </w:r>
    </w:p>
    <w:p w14:paraId="5D0C714C"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(b) The Company’s tangible personal assets are in good operating condition, working order and repair, subject to ordinary wear and tear, free from defects (other than defects that do not interfere with the continued use thereof in the </w:t>
      </w:r>
      <w:r>
        <w:rPr>
          <w:rFonts w:ascii="Times New Roman;Times;Serif" w:hAnsi="Times New Roman;Times;Serif"/>
          <w:sz w:val="20"/>
        </w:rPr>
        <w:t>conduct of normal operations) and are suitable for the purposes for which they are currently being used.</w:t>
      </w:r>
    </w:p>
    <w:p w14:paraId="41635F94" w14:textId="77777777" w:rsidR="00E22AC0" w:rsidRDefault="00FC56F3">
      <w:pPr>
        <w:pStyle w:val="a3"/>
        <w:spacing w:after="0"/>
        <w:ind w:firstLine="720"/>
        <w:jc w:val="both"/>
      </w:pPr>
      <w:r>
        <w:t> </w:t>
      </w:r>
    </w:p>
    <w:p w14:paraId="1C568AFB"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12</w:t>
      </w:r>
    </w:p>
    <w:p w14:paraId="3F1E8D56" w14:textId="77777777" w:rsidR="00E22AC0" w:rsidRDefault="00FC56F3">
      <w:pPr>
        <w:pStyle w:val="a3"/>
        <w:spacing w:after="0"/>
      </w:pPr>
      <w:r>
        <w:t> </w:t>
      </w:r>
    </w:p>
    <w:p w14:paraId="1220E108" w14:textId="77777777" w:rsidR="00E22AC0" w:rsidRDefault="00FC56F3">
      <w:pPr>
        <w:pStyle w:val="a3"/>
        <w:spacing w:after="0"/>
        <w:ind w:firstLine="720"/>
        <w:jc w:val="both"/>
      </w:pPr>
      <w:r>
        <w:t> </w:t>
      </w:r>
    </w:p>
    <w:p w14:paraId="126599A5"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4.10 </w:t>
      </w:r>
      <w:r>
        <w:rPr>
          <w:rFonts w:ascii="Times New Roman;Times;Serif" w:hAnsi="Times New Roman;Times;Serif"/>
          <w:sz w:val="20"/>
          <w:u w:val="single"/>
        </w:rPr>
        <w:t>Real Property</w:t>
      </w:r>
      <w:r>
        <w:rPr>
          <w:rFonts w:ascii="Times New Roman;Times;Serif" w:hAnsi="Times New Roman;Times;Serif"/>
          <w:sz w:val="20"/>
        </w:rPr>
        <w:t>.</w:t>
      </w:r>
    </w:p>
    <w:p w14:paraId="5EC40916" w14:textId="77777777" w:rsidR="00E22AC0" w:rsidRDefault="00FC56F3">
      <w:pPr>
        <w:pStyle w:val="a3"/>
        <w:spacing w:after="0"/>
        <w:ind w:firstLine="1440"/>
        <w:jc w:val="both"/>
      </w:pPr>
      <w:r>
        <w:t> </w:t>
      </w:r>
    </w:p>
    <w:p w14:paraId="219D6909"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w:t>
      </w:r>
      <w:r>
        <w:rPr>
          <w:rFonts w:ascii="Times New Roman;Times;Serif" w:hAnsi="Times New Roman;Times;Serif"/>
          <w:sz w:val="20"/>
          <w:u w:val="single"/>
        </w:rPr>
        <w:t>Owned Real Property</w:t>
      </w:r>
      <w:r>
        <w:rPr>
          <w:rFonts w:ascii="Times New Roman;Times;Serif" w:hAnsi="Times New Roman;Times;Serif"/>
          <w:sz w:val="20"/>
        </w:rPr>
        <w:t xml:space="preserve">. </w:t>
      </w:r>
      <w:r>
        <w:rPr>
          <w:rFonts w:ascii="Times New Roman;Times;Serif" w:hAnsi="Times New Roman;Times;Serif"/>
          <w:sz w:val="20"/>
          <w:u w:val="single"/>
        </w:rPr>
        <w:t>Section 4.10(a)(</w:t>
      </w:r>
      <w:proofErr w:type="spellStart"/>
      <w:r>
        <w:rPr>
          <w:rFonts w:ascii="Times New Roman;Times;Serif" w:hAnsi="Times New Roman;Times;Serif"/>
          <w:sz w:val="20"/>
          <w:u w:val="single"/>
        </w:rPr>
        <w:t>i</w:t>
      </w:r>
      <w:proofErr w:type="spellEnd"/>
      <w:r>
        <w:rPr>
          <w:rFonts w:ascii="Times New Roman;Times;Serif" w:hAnsi="Times New Roman;Times;Serif"/>
          <w:sz w:val="20"/>
          <w:u w:val="single"/>
        </w:rPr>
        <w:t>) of the Disclosure Schedule</w:t>
      </w:r>
      <w:r>
        <w:rPr>
          <w:rFonts w:ascii="Times New Roman;Times;Serif" w:hAnsi="Times New Roman;Times;Serif"/>
          <w:sz w:val="20"/>
        </w:rPr>
        <w:t xml:space="preserve"> lists and describes briefly all real property that the Company owns. Except as disclosed in Section 4.10(a)(</w:t>
      </w:r>
      <w:proofErr w:type="spellStart"/>
      <w:r>
        <w:rPr>
          <w:rFonts w:ascii="Times New Roman;Times;Serif" w:hAnsi="Times New Roman;Times;Serif"/>
          <w:sz w:val="20"/>
        </w:rPr>
        <w:t>i</w:t>
      </w:r>
      <w:proofErr w:type="spellEnd"/>
      <w:r>
        <w:rPr>
          <w:rFonts w:ascii="Times New Roman;Times;Serif" w:hAnsi="Times New Roman;Times;Serif"/>
          <w:sz w:val="20"/>
        </w:rPr>
        <w:t>) of the Disclosure Schedules, with respect to each such parcel of owned real property:</w:t>
      </w:r>
    </w:p>
    <w:p w14:paraId="2ED34228" w14:textId="77777777" w:rsidR="00E22AC0" w:rsidRDefault="00FC56F3">
      <w:pPr>
        <w:pStyle w:val="a3"/>
        <w:spacing w:after="0"/>
        <w:ind w:firstLine="2160"/>
        <w:jc w:val="both"/>
      </w:pPr>
      <w:r>
        <w:t> </w:t>
      </w:r>
    </w:p>
    <w:p w14:paraId="799DC1BC"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the Company has good and marketable title to the par</w:t>
      </w:r>
      <w:r>
        <w:rPr>
          <w:rFonts w:ascii="Times New Roman;Times;Serif" w:hAnsi="Times New Roman;Times;Serif"/>
          <w:sz w:val="20"/>
        </w:rPr>
        <w:t xml:space="preserve">cel of real property, free and clear of any Lien or other restriction, except for installments of special assessments not yet delinquent and recorded easements, covenants, and other restrictions which do not impair the current use, occupancy, or value, or </w:t>
      </w:r>
      <w:r>
        <w:rPr>
          <w:rFonts w:ascii="Times New Roman;Times;Serif" w:hAnsi="Times New Roman;Times;Serif"/>
          <w:sz w:val="20"/>
        </w:rPr>
        <w:t>the marketability of title, of the property subject thereto;</w:t>
      </w:r>
    </w:p>
    <w:p w14:paraId="341E34E5" w14:textId="77777777" w:rsidR="00E22AC0" w:rsidRDefault="00FC56F3">
      <w:pPr>
        <w:pStyle w:val="a3"/>
        <w:spacing w:after="0"/>
        <w:ind w:firstLine="2160"/>
        <w:jc w:val="both"/>
      </w:pPr>
      <w:r>
        <w:t> </w:t>
      </w:r>
    </w:p>
    <w:p w14:paraId="05E008BE"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(ii) there </w:t>
      </w:r>
      <w:proofErr w:type="gramStart"/>
      <w:r>
        <w:rPr>
          <w:rFonts w:ascii="Times New Roman;Times;Serif" w:hAnsi="Times New Roman;Times;Serif"/>
          <w:sz w:val="20"/>
        </w:rPr>
        <w:t>are</w:t>
      </w:r>
      <w:proofErr w:type="gramEnd"/>
      <w:r>
        <w:rPr>
          <w:rFonts w:ascii="Times New Roman;Times;Serif" w:hAnsi="Times New Roman;Times;Serif"/>
          <w:sz w:val="20"/>
        </w:rPr>
        <w:t xml:space="preserve"> no pending or, to the Knowledge of the Sellers, threatened condemnation proceedings, lawsuits, or administrative actions relating to the property or other matters affecting adver</w:t>
      </w:r>
      <w:r>
        <w:rPr>
          <w:rFonts w:ascii="Times New Roman;Times;Serif" w:hAnsi="Times New Roman;Times;Serif"/>
          <w:sz w:val="20"/>
        </w:rPr>
        <w:t>sely the current use, occupancy, or value thereof;</w:t>
      </w:r>
    </w:p>
    <w:p w14:paraId="7EBC0270" w14:textId="77777777" w:rsidR="00E22AC0" w:rsidRDefault="00FC56F3">
      <w:pPr>
        <w:pStyle w:val="a3"/>
        <w:spacing w:after="0"/>
        <w:ind w:firstLine="2160"/>
        <w:jc w:val="both"/>
      </w:pPr>
      <w:r>
        <w:t> </w:t>
      </w:r>
    </w:p>
    <w:p w14:paraId="0DB68358"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(iii) the legal description for the parcel contained in the deed thereof describes such parcel fully and adequately, the buildings and improvements are located within the boundary lines of the described </w:t>
      </w:r>
      <w:r>
        <w:rPr>
          <w:rFonts w:ascii="Times New Roman;Times;Serif" w:hAnsi="Times New Roman;Times;Serif"/>
          <w:sz w:val="20"/>
        </w:rPr>
        <w:t>parcels of land, are not in violation of applicable setback requirements, zoning laws, and ordinances (and none of the properties or buildings or improvements thereon are subject to “permitted non-conforming use” or “permitted non-conforming structure” cla</w:t>
      </w:r>
      <w:r>
        <w:rPr>
          <w:rFonts w:ascii="Times New Roman;Times;Serif" w:hAnsi="Times New Roman;Times;Serif"/>
          <w:sz w:val="20"/>
        </w:rPr>
        <w:t>ssifications), and do not encroach on any easement which may burden the land, and the land does not serve any adjoining property for any purpose inconsistent with the use of the land, and the property is not located within any flood plain or subject to any</w:t>
      </w:r>
      <w:r>
        <w:rPr>
          <w:rFonts w:ascii="Times New Roman;Times;Serif" w:hAnsi="Times New Roman;Times;Serif"/>
          <w:sz w:val="20"/>
        </w:rPr>
        <w:t xml:space="preserve"> similar type restriction for which any permits or licenses necessary to the use thereof have not been obtained;</w:t>
      </w:r>
    </w:p>
    <w:p w14:paraId="2DD975CD" w14:textId="77777777" w:rsidR="00E22AC0" w:rsidRDefault="00FC56F3">
      <w:pPr>
        <w:pStyle w:val="a3"/>
        <w:spacing w:after="0"/>
        <w:ind w:firstLine="2160"/>
        <w:jc w:val="both"/>
      </w:pPr>
      <w:r>
        <w:t> </w:t>
      </w:r>
    </w:p>
    <w:p w14:paraId="0A89011C"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(iv) all facilities have received all approvals of governmental authorities (including licenses and permits) required in connection with the </w:t>
      </w:r>
      <w:r>
        <w:rPr>
          <w:rFonts w:ascii="Times New Roman;Times;Serif" w:hAnsi="Times New Roman;Times;Serif"/>
          <w:sz w:val="20"/>
        </w:rPr>
        <w:t>ownership or operation thereof and have been operated and maintained in accordance with applicable laws, rules, and regulations;</w:t>
      </w:r>
    </w:p>
    <w:p w14:paraId="44FC3529" w14:textId="77777777" w:rsidR="00E22AC0" w:rsidRDefault="00FC56F3">
      <w:pPr>
        <w:pStyle w:val="a3"/>
        <w:spacing w:after="0"/>
        <w:ind w:firstLine="2160"/>
        <w:jc w:val="both"/>
      </w:pPr>
      <w:r>
        <w:t> </w:t>
      </w:r>
    </w:p>
    <w:p w14:paraId="1A904342"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(v) there are no leases, subleases, licenses, concessions, or other agreements, written or oral, granting to any party or par</w:t>
      </w:r>
      <w:r>
        <w:rPr>
          <w:rFonts w:ascii="Times New Roman;Times;Serif" w:hAnsi="Times New Roman;Times;Serif"/>
          <w:sz w:val="20"/>
        </w:rPr>
        <w:t>ties the right of use or occupancy of any portion of the parcel of real property;</w:t>
      </w:r>
    </w:p>
    <w:p w14:paraId="2B70FAE4" w14:textId="77777777" w:rsidR="00E22AC0" w:rsidRDefault="00FC56F3">
      <w:pPr>
        <w:pStyle w:val="a3"/>
        <w:spacing w:after="0"/>
        <w:ind w:firstLine="2160"/>
        <w:jc w:val="both"/>
      </w:pPr>
      <w:r>
        <w:lastRenderedPageBreak/>
        <w:t> </w:t>
      </w:r>
    </w:p>
    <w:p w14:paraId="2855D459"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(vi) there are no outstanding options or rights of first refusal to purchase the parcel of real property, or any portion thereof or interest therein;</w:t>
      </w:r>
    </w:p>
    <w:p w14:paraId="7FC013CC" w14:textId="77777777" w:rsidR="00E22AC0" w:rsidRDefault="00FC56F3">
      <w:pPr>
        <w:pStyle w:val="a3"/>
        <w:spacing w:after="0"/>
        <w:ind w:firstLine="2160"/>
        <w:jc w:val="both"/>
      </w:pPr>
      <w:r>
        <w:t> </w:t>
      </w:r>
    </w:p>
    <w:p w14:paraId="06C48587"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(vii) there are no p</w:t>
      </w:r>
      <w:r>
        <w:rPr>
          <w:rFonts w:ascii="Times New Roman;Times;Serif" w:hAnsi="Times New Roman;Times;Serif"/>
          <w:sz w:val="20"/>
        </w:rPr>
        <w:t>arties (other than the Company) in possession of the parcel of real property, other than tenants under any leases disclosed in Section 4.10(b) of the Disclosure Schedule who are in possession of space to which they are entitled;</w:t>
      </w:r>
    </w:p>
    <w:p w14:paraId="3C434ECE" w14:textId="77777777" w:rsidR="00E22AC0" w:rsidRDefault="00FC56F3">
      <w:pPr>
        <w:pStyle w:val="a3"/>
        <w:spacing w:after="0"/>
        <w:ind w:firstLine="2160"/>
        <w:jc w:val="both"/>
      </w:pPr>
      <w:r>
        <w:t> </w:t>
      </w:r>
    </w:p>
    <w:p w14:paraId="7D33089A"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(viii) all facilities loc</w:t>
      </w:r>
      <w:r>
        <w:rPr>
          <w:rFonts w:ascii="Times New Roman;Times;Serif" w:hAnsi="Times New Roman;Times;Serif"/>
          <w:sz w:val="20"/>
        </w:rPr>
        <w:t>ated on the parcel of real property are supplied with utilities and other services necessary for the operation of such facilities, including gas, electricity, water, telephone, sanitary sewer, and storm sewer, all of which services are adequate in accordan</w:t>
      </w:r>
      <w:r>
        <w:rPr>
          <w:rFonts w:ascii="Times New Roman;Times;Serif" w:hAnsi="Times New Roman;Times;Serif"/>
          <w:sz w:val="20"/>
        </w:rPr>
        <w:t>ce with all applicable laws, ordinances, rules, and regulations and are provided via public roads or via permanent, irrevocable, appurtenant easements benefitting the parcel of real property; and</w:t>
      </w:r>
    </w:p>
    <w:p w14:paraId="29DDFEFF" w14:textId="77777777" w:rsidR="00E22AC0" w:rsidRDefault="00FC56F3">
      <w:pPr>
        <w:pStyle w:val="a3"/>
        <w:spacing w:after="0"/>
        <w:ind w:firstLine="2160"/>
        <w:jc w:val="both"/>
      </w:pPr>
      <w:r>
        <w:t> </w:t>
      </w:r>
    </w:p>
    <w:p w14:paraId="448C4AA3" w14:textId="77777777" w:rsidR="00E22AC0" w:rsidRDefault="00FC56F3">
      <w:pPr>
        <w:pStyle w:val="a3"/>
        <w:spacing w:after="0"/>
        <w:ind w:firstLine="216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13</w:t>
      </w:r>
    </w:p>
    <w:p w14:paraId="55182C6D" w14:textId="77777777" w:rsidR="00E22AC0" w:rsidRDefault="00FC56F3">
      <w:pPr>
        <w:pStyle w:val="a3"/>
        <w:spacing w:after="0"/>
      </w:pPr>
      <w:r>
        <w:t> </w:t>
      </w:r>
    </w:p>
    <w:p w14:paraId="1B6D29F1" w14:textId="77777777" w:rsidR="00E22AC0" w:rsidRDefault="00FC56F3">
      <w:pPr>
        <w:pStyle w:val="a3"/>
        <w:spacing w:after="0"/>
        <w:ind w:firstLine="2160"/>
        <w:jc w:val="both"/>
      </w:pPr>
      <w:r>
        <w:t> </w:t>
      </w:r>
    </w:p>
    <w:p w14:paraId="45EEBBF2" w14:textId="77777777" w:rsidR="00E22AC0" w:rsidRDefault="00FC56F3">
      <w:pPr>
        <w:pStyle w:val="a3"/>
        <w:spacing w:after="0"/>
        <w:ind w:firstLine="2160"/>
        <w:jc w:val="both"/>
        <w:rPr>
          <w:rFonts w:ascii="Times New Roman;Times;Serif" w:hAnsi="Times New Roman;Times;Serif"/>
          <w:sz w:val="20"/>
        </w:rPr>
      </w:pPr>
      <w:r>
        <w:rPr>
          <w:rFonts w:ascii="Times New Roman;Times;Serif" w:hAnsi="Times New Roman;Times;Serif"/>
          <w:sz w:val="20"/>
        </w:rPr>
        <w:t xml:space="preserve">(ix) each parcel of real property abuts on and has </w:t>
      </w:r>
      <w:r>
        <w:rPr>
          <w:rFonts w:ascii="Times New Roman;Times;Serif" w:hAnsi="Times New Roman;Times;Serif"/>
          <w:sz w:val="20"/>
        </w:rPr>
        <w:t>direct vehicular access to a public road, or has access to a public road via a permanent, irrevocable, appurtenant easement benefitting the parcel of real property, and access to the property is provided by paved public right of way with adequate curb cuts</w:t>
      </w:r>
      <w:r>
        <w:rPr>
          <w:rFonts w:ascii="Times New Roman;Times;Serif" w:hAnsi="Times New Roman;Times;Serif"/>
          <w:sz w:val="20"/>
        </w:rPr>
        <w:t xml:space="preserve"> available.</w:t>
      </w:r>
    </w:p>
    <w:p w14:paraId="72AD11FF" w14:textId="77777777" w:rsidR="00E22AC0" w:rsidRDefault="00FC56F3">
      <w:pPr>
        <w:pStyle w:val="a3"/>
        <w:spacing w:after="0"/>
        <w:ind w:firstLine="1440"/>
        <w:jc w:val="both"/>
      </w:pPr>
      <w:r>
        <w:t> </w:t>
      </w:r>
    </w:p>
    <w:p w14:paraId="749850BB"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(b) </w:t>
      </w:r>
      <w:r>
        <w:rPr>
          <w:rFonts w:ascii="Times New Roman;Times;Serif" w:hAnsi="Times New Roman;Times;Serif"/>
          <w:sz w:val="20"/>
          <w:u w:val="single"/>
        </w:rPr>
        <w:t>Leased Real Property</w:t>
      </w:r>
      <w:r>
        <w:rPr>
          <w:rFonts w:ascii="Times New Roman;Times;Serif" w:hAnsi="Times New Roman;Times;Serif"/>
          <w:sz w:val="20"/>
        </w:rPr>
        <w:t xml:space="preserve">. </w:t>
      </w:r>
      <w:r>
        <w:rPr>
          <w:rFonts w:ascii="Times New Roman;Times;Serif" w:hAnsi="Times New Roman;Times;Serif"/>
          <w:sz w:val="20"/>
          <w:u w:val="single"/>
        </w:rPr>
        <w:t>Section 4.10(b) of the Disclosure Schedule</w:t>
      </w:r>
      <w:r>
        <w:rPr>
          <w:rFonts w:ascii="Times New Roman;Times;Serif" w:hAnsi="Times New Roman;Times;Serif"/>
          <w:sz w:val="20"/>
        </w:rPr>
        <w:t xml:space="preserve"> contains a list of all leases and subleases (collectively, the “</w:t>
      </w:r>
      <w:r>
        <w:rPr>
          <w:rFonts w:ascii="Times New Roman;Times;Serif" w:hAnsi="Times New Roman;Times;Serif"/>
          <w:b/>
          <w:sz w:val="20"/>
        </w:rPr>
        <w:t>Real Property Leases</w:t>
      </w:r>
      <w:r>
        <w:rPr>
          <w:rFonts w:ascii="Times New Roman;Times;Serif" w:hAnsi="Times New Roman;Times;Serif"/>
          <w:sz w:val="20"/>
        </w:rPr>
        <w:t>”) under which the Company is either lessor or lessee (the “</w:t>
      </w:r>
      <w:r>
        <w:rPr>
          <w:rFonts w:ascii="Times New Roman;Times;Serif" w:hAnsi="Times New Roman;Times;Serif"/>
          <w:b/>
          <w:sz w:val="20"/>
        </w:rPr>
        <w:t>Real Property</w:t>
      </w:r>
      <w:r>
        <w:rPr>
          <w:rFonts w:ascii="Times New Roman;Times;Serif" w:hAnsi="Times New Roman;Times;Serif"/>
          <w:sz w:val="20"/>
        </w:rPr>
        <w:t xml:space="preserve">”). The </w:t>
      </w:r>
      <w:r>
        <w:rPr>
          <w:rFonts w:ascii="Times New Roman;Times;Serif" w:hAnsi="Times New Roman;Times;Serif"/>
          <w:sz w:val="20"/>
        </w:rPr>
        <w:t>Sellers have heretofore made available to the Buyer true and complete copies of each Real Property Lease. To the Knowledge of the Sellers, (</w:t>
      </w:r>
      <w:proofErr w:type="spellStart"/>
      <w:r>
        <w:rPr>
          <w:rFonts w:ascii="Times New Roman;Times;Serif" w:hAnsi="Times New Roman;Times;Serif"/>
          <w:sz w:val="20"/>
        </w:rPr>
        <w:t>i</w:t>
      </w:r>
      <w:proofErr w:type="spellEnd"/>
      <w:r>
        <w:rPr>
          <w:rFonts w:ascii="Times New Roman;Times;Serif" w:hAnsi="Times New Roman;Times;Serif"/>
          <w:sz w:val="20"/>
        </w:rPr>
        <w:t xml:space="preserve">) all Real Property Leases are valid and binding Contracts of the Company and are in full force and effect (except </w:t>
      </w:r>
      <w:r>
        <w:rPr>
          <w:rFonts w:ascii="Times New Roman;Times;Serif" w:hAnsi="Times New Roman;Times;Serif"/>
          <w:sz w:val="20"/>
        </w:rPr>
        <w:t>for those that have terminated or will terminate by their own terms), and (ii) neither the Company or any other party thereto, is in violation or breach of or default (or with notice or lapse of time, or both, would be in violation or breach of or default)</w:t>
      </w:r>
      <w:r>
        <w:rPr>
          <w:rFonts w:ascii="Times New Roman;Times;Serif" w:hAnsi="Times New Roman;Times;Serif"/>
          <w:sz w:val="20"/>
        </w:rPr>
        <w:t xml:space="preserve"> under the terms of any such Contract, in each case, except where such default would not reasonably be expected to have, individually or in the aggregate, a Material Adverse Effect.</w:t>
      </w:r>
    </w:p>
    <w:p w14:paraId="125E01C2" w14:textId="77777777" w:rsidR="00E22AC0" w:rsidRDefault="00FC56F3">
      <w:pPr>
        <w:pStyle w:val="a3"/>
        <w:spacing w:after="0"/>
        <w:ind w:firstLine="720"/>
        <w:jc w:val="both"/>
      </w:pPr>
      <w:r>
        <w:t> </w:t>
      </w:r>
    </w:p>
    <w:p w14:paraId="3B7631A4"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4.11 </w:t>
      </w:r>
      <w:r>
        <w:rPr>
          <w:rFonts w:ascii="Times New Roman;Times;Serif" w:hAnsi="Times New Roman;Times;Serif"/>
          <w:sz w:val="20"/>
          <w:u w:val="single"/>
        </w:rPr>
        <w:t>Intellectual Property</w:t>
      </w:r>
      <w:r>
        <w:rPr>
          <w:rFonts w:ascii="Times New Roman;Times;Serif" w:hAnsi="Times New Roman;Times;Serif"/>
          <w:sz w:val="20"/>
        </w:rPr>
        <w:t>.</w:t>
      </w:r>
    </w:p>
    <w:p w14:paraId="405B22F7" w14:textId="77777777" w:rsidR="00E22AC0" w:rsidRDefault="00FC56F3">
      <w:pPr>
        <w:pStyle w:val="a3"/>
        <w:spacing w:after="0"/>
        <w:ind w:firstLine="1440"/>
        <w:jc w:val="both"/>
      </w:pPr>
      <w:r>
        <w:t> </w:t>
      </w:r>
    </w:p>
    <w:p w14:paraId="03593507"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(a) “</w:t>
      </w:r>
      <w:r>
        <w:rPr>
          <w:rFonts w:ascii="Times New Roman;Times;Serif" w:hAnsi="Times New Roman;Times;Serif"/>
          <w:b/>
          <w:sz w:val="20"/>
        </w:rPr>
        <w:t>Intellectual Property</w:t>
      </w:r>
      <w:r>
        <w:rPr>
          <w:rFonts w:ascii="Times New Roman;Times;Serif" w:hAnsi="Times New Roman;Times;Serif"/>
          <w:sz w:val="20"/>
        </w:rPr>
        <w:t>” means (</w:t>
      </w:r>
      <w:proofErr w:type="spellStart"/>
      <w:r>
        <w:rPr>
          <w:rFonts w:ascii="Times New Roman;Times;Serif" w:hAnsi="Times New Roman;Times;Serif"/>
          <w:sz w:val="20"/>
        </w:rPr>
        <w:t>i</w:t>
      </w:r>
      <w:proofErr w:type="spellEnd"/>
      <w:r>
        <w:rPr>
          <w:rFonts w:ascii="Times New Roman;Times;Serif" w:hAnsi="Times New Roman;Times;Serif"/>
          <w:sz w:val="20"/>
        </w:rPr>
        <w:t>) trad</w:t>
      </w:r>
      <w:r>
        <w:rPr>
          <w:rFonts w:ascii="Times New Roman;Times;Serif" w:hAnsi="Times New Roman;Times;Serif"/>
          <w:sz w:val="20"/>
        </w:rPr>
        <w:t xml:space="preserve">e secrets, inventions, confidential and proprietary information, know-how, formulae and processes, (ii) patents (including all </w:t>
      </w:r>
      <w:proofErr w:type="spellStart"/>
      <w:r>
        <w:rPr>
          <w:rFonts w:ascii="Times New Roman;Times;Serif" w:hAnsi="Times New Roman;Times;Serif"/>
          <w:sz w:val="20"/>
        </w:rPr>
        <w:t>provisionals</w:t>
      </w:r>
      <w:proofErr w:type="spellEnd"/>
      <w:r>
        <w:rPr>
          <w:rFonts w:ascii="Times New Roman;Times;Serif" w:hAnsi="Times New Roman;Times;Serif"/>
          <w:sz w:val="20"/>
        </w:rPr>
        <w:t xml:space="preserve">, reissues, divisions, continuations and extensions thereof) and patent applications, (iii) trademarks, trade names, </w:t>
      </w:r>
      <w:r>
        <w:rPr>
          <w:rFonts w:ascii="Times New Roman;Times;Serif" w:hAnsi="Times New Roman;Times;Serif"/>
          <w:sz w:val="20"/>
        </w:rPr>
        <w:t>trade dress, brand names, domain names, trademark registrations, trademark applications, service marks, service mark registrations and service mark applications (whether registered, unregistered or existing at common law, including all goodwill attaching t</w:t>
      </w:r>
      <w:r>
        <w:rPr>
          <w:rFonts w:ascii="Times New Roman;Times;Serif" w:hAnsi="Times New Roman;Times;Serif"/>
          <w:sz w:val="20"/>
        </w:rPr>
        <w:t>hereto), (iv) copyrights, including copyright registrations, copyright applications and unregistered common law copyrights; (v) and all licenses for the Intellectual Property listed in items (</w:t>
      </w:r>
      <w:proofErr w:type="spellStart"/>
      <w:r>
        <w:rPr>
          <w:rFonts w:ascii="Times New Roman;Times;Serif" w:hAnsi="Times New Roman;Times;Serif"/>
          <w:sz w:val="20"/>
        </w:rPr>
        <w:t>i</w:t>
      </w:r>
      <w:proofErr w:type="spellEnd"/>
      <w:r>
        <w:rPr>
          <w:rFonts w:ascii="Times New Roman;Times;Serif" w:hAnsi="Times New Roman;Times;Serif"/>
          <w:sz w:val="20"/>
        </w:rPr>
        <w:t>) – (iv) above.</w:t>
      </w:r>
    </w:p>
    <w:p w14:paraId="1053F21C" w14:textId="77777777" w:rsidR="00E22AC0" w:rsidRDefault="00FC56F3">
      <w:pPr>
        <w:pStyle w:val="a3"/>
        <w:spacing w:after="0"/>
        <w:ind w:firstLine="1440"/>
        <w:jc w:val="both"/>
      </w:pPr>
      <w:r>
        <w:t> </w:t>
      </w:r>
    </w:p>
    <w:p w14:paraId="7F7BE838"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(b) </w:t>
      </w:r>
      <w:r>
        <w:rPr>
          <w:rFonts w:ascii="Times New Roman;Times;Serif" w:hAnsi="Times New Roman;Times;Serif"/>
          <w:sz w:val="20"/>
          <w:u w:val="single"/>
        </w:rPr>
        <w:t>Section 4.11(b) of the Disclosure Schedul</w:t>
      </w:r>
      <w:r>
        <w:rPr>
          <w:rFonts w:ascii="Times New Roman;Times;Serif" w:hAnsi="Times New Roman;Times;Serif"/>
          <w:sz w:val="20"/>
          <w:u w:val="single"/>
        </w:rPr>
        <w:t>e</w:t>
      </w:r>
      <w:r>
        <w:rPr>
          <w:rFonts w:ascii="Times New Roman;Times;Serif" w:hAnsi="Times New Roman;Times;Serif"/>
          <w:sz w:val="20"/>
        </w:rPr>
        <w:t xml:space="preserve"> sets forth a list that includes all material Intellectual Property owned by the Company (the “</w:t>
      </w:r>
      <w:r>
        <w:rPr>
          <w:rFonts w:ascii="Times New Roman;Times;Serif" w:hAnsi="Times New Roman;Times;Serif"/>
          <w:b/>
          <w:sz w:val="20"/>
        </w:rPr>
        <w:t>Company-Owned Intellectual Property</w:t>
      </w:r>
      <w:r>
        <w:rPr>
          <w:rFonts w:ascii="Times New Roman;Times;Serif" w:hAnsi="Times New Roman;Times;Serif"/>
          <w:sz w:val="20"/>
        </w:rPr>
        <w:t>”) that is registered or subject to an application for registration (including the jurisdictions where such Company-Owned Int</w:t>
      </w:r>
      <w:r>
        <w:rPr>
          <w:rFonts w:ascii="Times New Roman;Times;Serif" w:hAnsi="Times New Roman;Times;Serif"/>
          <w:sz w:val="20"/>
        </w:rPr>
        <w:t>ellectual Property is registered or where applications have been filed, and all registration or application numbers, as appropriate).</w:t>
      </w:r>
    </w:p>
    <w:p w14:paraId="4F88BA8F" w14:textId="77777777" w:rsidR="00E22AC0" w:rsidRDefault="00FC56F3">
      <w:pPr>
        <w:pStyle w:val="a3"/>
        <w:spacing w:after="0"/>
        <w:ind w:firstLine="1440"/>
        <w:jc w:val="both"/>
      </w:pPr>
      <w:r>
        <w:t> </w:t>
      </w:r>
    </w:p>
    <w:p w14:paraId="4B69D07F"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(c) All necessary registration, maintenance and renewal fees have been paid and all necessary documents have been filed </w:t>
      </w:r>
      <w:r>
        <w:rPr>
          <w:rFonts w:ascii="Times New Roman;Times;Serif" w:hAnsi="Times New Roman;Times;Serif"/>
          <w:sz w:val="20"/>
        </w:rPr>
        <w:t>with the United States Patent and Trademark Office or foreign patent and trademark office in the relevant foreign jurisdiction for the purposes of maintaining the registered Company-Owned Intellectual Property.</w:t>
      </w:r>
    </w:p>
    <w:p w14:paraId="35707C18" w14:textId="77777777" w:rsidR="00E22AC0" w:rsidRDefault="00FC56F3">
      <w:pPr>
        <w:pStyle w:val="a3"/>
        <w:spacing w:after="0"/>
        <w:ind w:firstLine="1440"/>
        <w:jc w:val="both"/>
      </w:pPr>
      <w:r>
        <w:t> </w:t>
      </w:r>
    </w:p>
    <w:p w14:paraId="37556409"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(d) Except as set forth on </w:t>
      </w:r>
      <w:r>
        <w:rPr>
          <w:rFonts w:ascii="Times New Roman;Times;Serif" w:hAnsi="Times New Roman;Times;Serif"/>
          <w:sz w:val="20"/>
          <w:u w:val="single"/>
        </w:rPr>
        <w:t xml:space="preserve">Section 4.11(d) </w:t>
      </w:r>
      <w:r>
        <w:rPr>
          <w:rFonts w:ascii="Times New Roman;Times;Serif" w:hAnsi="Times New Roman;Times;Serif"/>
          <w:sz w:val="20"/>
          <w:u w:val="single"/>
        </w:rPr>
        <w:t>of the Disclosure Schedule</w:t>
      </w:r>
      <w:r>
        <w:rPr>
          <w:rFonts w:ascii="Times New Roman;Times;Serif" w:hAnsi="Times New Roman;Times;Serif"/>
          <w:sz w:val="20"/>
        </w:rPr>
        <w:t>, (</w:t>
      </w:r>
      <w:proofErr w:type="spellStart"/>
      <w:r>
        <w:rPr>
          <w:rFonts w:ascii="Times New Roman;Times;Serif" w:hAnsi="Times New Roman;Times;Serif"/>
          <w:sz w:val="20"/>
        </w:rPr>
        <w:t>i</w:t>
      </w:r>
      <w:proofErr w:type="spellEnd"/>
      <w:r>
        <w:rPr>
          <w:rFonts w:ascii="Times New Roman;Times;Serif" w:hAnsi="Times New Roman;Times;Serif"/>
          <w:sz w:val="20"/>
        </w:rPr>
        <w:t>) the Company is the exclusive owner of the Company-Owned Intellectual Property free and clear of all Liens (other than Permitted Liens); (ii) to the Knowledge of the Sellers no proceedings have been instituted, are pending or</w:t>
      </w:r>
      <w:r>
        <w:rPr>
          <w:rFonts w:ascii="Times New Roman;Times;Serif" w:hAnsi="Times New Roman;Times;Serif"/>
          <w:sz w:val="20"/>
        </w:rPr>
        <w:t xml:space="preserve"> are threatened that challenge the rights of the Company in or the validity or enforceability of the Company-Owned Intellectual Property; (iii) to the Knowledge of the Sellers, neither the use of the Company-Owned Intellectual Property as currently used by</w:t>
      </w:r>
      <w:r>
        <w:rPr>
          <w:rFonts w:ascii="Times New Roman;Times;Serif" w:hAnsi="Times New Roman;Times;Serif"/>
          <w:sz w:val="20"/>
        </w:rPr>
        <w:t xml:space="preserve"> the Company in the conduct of the Company’s business, nor the conduct of the business as presently conducted by the Company infringes, dilutes, misappropriates or otherwise violates in any material respect the Intellectual Property rights of any Person; a</w:t>
      </w:r>
      <w:r>
        <w:rPr>
          <w:rFonts w:ascii="Times New Roman;Times;Serif" w:hAnsi="Times New Roman;Times;Serif"/>
          <w:sz w:val="20"/>
        </w:rPr>
        <w:t xml:space="preserve">nd (iv) as of the date of this Agreement, the Company has made no claim of a violation, infringement, misuse or misappropriation by any Person, of their rights to, or in connection with, </w:t>
      </w:r>
      <w:r>
        <w:rPr>
          <w:rFonts w:ascii="Times New Roman;Times;Serif" w:hAnsi="Times New Roman;Times;Serif"/>
          <w:sz w:val="20"/>
        </w:rPr>
        <w:lastRenderedPageBreak/>
        <w:t>the Company-Owned Intellectual Property.</w:t>
      </w:r>
    </w:p>
    <w:p w14:paraId="61EB7367" w14:textId="77777777" w:rsidR="00E22AC0" w:rsidRDefault="00FC56F3">
      <w:pPr>
        <w:pStyle w:val="a3"/>
        <w:spacing w:after="0"/>
        <w:ind w:firstLine="1440"/>
        <w:jc w:val="both"/>
      </w:pPr>
      <w:r>
        <w:t> </w:t>
      </w:r>
    </w:p>
    <w:p w14:paraId="20B710DC" w14:textId="77777777" w:rsidR="00E22AC0" w:rsidRDefault="00FC56F3">
      <w:pPr>
        <w:pStyle w:val="a3"/>
        <w:spacing w:after="0"/>
        <w:ind w:firstLine="144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14</w:t>
      </w:r>
    </w:p>
    <w:p w14:paraId="2A0E849E" w14:textId="77777777" w:rsidR="00E22AC0" w:rsidRDefault="00FC56F3">
      <w:pPr>
        <w:pStyle w:val="a3"/>
        <w:spacing w:after="0"/>
      </w:pPr>
      <w:r>
        <w:t> </w:t>
      </w:r>
    </w:p>
    <w:p w14:paraId="0A0259D3" w14:textId="77777777" w:rsidR="00E22AC0" w:rsidRDefault="00FC56F3">
      <w:pPr>
        <w:pStyle w:val="a3"/>
        <w:spacing w:after="0"/>
        <w:ind w:firstLine="1440"/>
        <w:jc w:val="both"/>
      </w:pPr>
      <w:r>
        <w:t> </w:t>
      </w:r>
    </w:p>
    <w:p w14:paraId="173C9E84"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(e) Except as set f</w:t>
      </w:r>
      <w:r>
        <w:rPr>
          <w:rFonts w:ascii="Times New Roman;Times;Serif" w:hAnsi="Times New Roman;Times;Serif"/>
          <w:sz w:val="20"/>
        </w:rPr>
        <w:t xml:space="preserve">orth in </w:t>
      </w:r>
      <w:r>
        <w:rPr>
          <w:rFonts w:ascii="Times New Roman;Times;Serif" w:hAnsi="Times New Roman;Times;Serif"/>
          <w:sz w:val="20"/>
          <w:u w:val="single"/>
        </w:rPr>
        <w:t>Section 4.11(e) of the Disclosure Schedule</w:t>
      </w:r>
      <w:r>
        <w:rPr>
          <w:rFonts w:ascii="Times New Roman;Times;Serif" w:hAnsi="Times New Roman;Times;Serif"/>
          <w:sz w:val="20"/>
        </w:rPr>
        <w:t>, the Company has not permitted or licensed any Person to use any Company-Owned Intellectual Property.</w:t>
      </w:r>
    </w:p>
    <w:p w14:paraId="0B99DD89" w14:textId="77777777" w:rsidR="00E22AC0" w:rsidRDefault="00FC56F3">
      <w:pPr>
        <w:pStyle w:val="a3"/>
        <w:spacing w:after="0"/>
        <w:ind w:firstLine="1440"/>
        <w:jc w:val="both"/>
      </w:pPr>
      <w:r>
        <w:t> </w:t>
      </w:r>
    </w:p>
    <w:p w14:paraId="28D4915C"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(f) </w:t>
      </w:r>
      <w:r>
        <w:rPr>
          <w:rFonts w:ascii="Times New Roman;Times;Serif" w:hAnsi="Times New Roman;Times;Serif"/>
          <w:sz w:val="20"/>
          <w:u w:val="single"/>
        </w:rPr>
        <w:t>Section 4.11(f) of the Disclosure Schedule</w:t>
      </w:r>
      <w:r>
        <w:rPr>
          <w:rFonts w:ascii="Times New Roman;Times;Serif" w:hAnsi="Times New Roman;Times;Serif"/>
          <w:sz w:val="20"/>
        </w:rPr>
        <w:t xml:space="preserve"> sets forth a complete and accurate list of all license</w:t>
      </w:r>
      <w:r>
        <w:rPr>
          <w:rFonts w:ascii="Times New Roman;Times;Serif" w:hAnsi="Times New Roman;Times;Serif"/>
          <w:sz w:val="20"/>
        </w:rPr>
        <w:t>s, other than “off the shelf” commercially available software programs, pursuant to which the Company licenses from any Person Intellectual Property that is material to and used in the conduct of the business by the Company.</w:t>
      </w:r>
    </w:p>
    <w:p w14:paraId="7DD93FEC" w14:textId="77777777" w:rsidR="00E22AC0" w:rsidRDefault="00FC56F3">
      <w:pPr>
        <w:pStyle w:val="a3"/>
        <w:spacing w:after="0"/>
        <w:ind w:firstLine="1440"/>
        <w:jc w:val="both"/>
      </w:pPr>
      <w:r>
        <w:t> </w:t>
      </w:r>
    </w:p>
    <w:p w14:paraId="12764835"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(g) To the Knowledge of the S</w:t>
      </w:r>
      <w:r>
        <w:rPr>
          <w:rFonts w:ascii="Times New Roman;Times;Serif" w:hAnsi="Times New Roman;Times;Serif"/>
          <w:sz w:val="20"/>
        </w:rPr>
        <w:t>ellers, the Company is not in default in the performance, observance or fulfillment of any obligation, covenant or condition contained in any Contract pursuant to which any third party is authorized to use any Company-Owned Intellectual Property or pursuan</w:t>
      </w:r>
      <w:r>
        <w:rPr>
          <w:rFonts w:ascii="Times New Roman;Times;Serif" w:hAnsi="Times New Roman;Times;Serif"/>
          <w:sz w:val="20"/>
        </w:rPr>
        <w:t>t to which the Company is licensed to use Intellectual Property owned by a third party, except where such default would not reasonably be expected to have, individually or in the aggregate, a Material Adverse Effect.</w:t>
      </w:r>
    </w:p>
    <w:p w14:paraId="5EBCDC50" w14:textId="77777777" w:rsidR="00E22AC0" w:rsidRDefault="00FC56F3">
      <w:pPr>
        <w:pStyle w:val="a3"/>
        <w:spacing w:after="0"/>
        <w:ind w:firstLine="720"/>
        <w:jc w:val="both"/>
      </w:pPr>
      <w:r>
        <w:t> </w:t>
      </w:r>
    </w:p>
    <w:p w14:paraId="0E5CD8B6"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4.12 </w:t>
      </w:r>
      <w:r>
        <w:rPr>
          <w:rFonts w:ascii="Times New Roman;Times;Serif" w:hAnsi="Times New Roman;Times;Serif"/>
          <w:sz w:val="20"/>
          <w:u w:val="single"/>
        </w:rPr>
        <w:t>Absence of Certain Changes or Ev</w:t>
      </w:r>
      <w:r>
        <w:rPr>
          <w:rFonts w:ascii="Times New Roman;Times;Serif" w:hAnsi="Times New Roman;Times;Serif"/>
          <w:sz w:val="20"/>
          <w:u w:val="single"/>
        </w:rPr>
        <w:t>ents</w:t>
      </w:r>
      <w:r>
        <w:rPr>
          <w:rFonts w:ascii="Times New Roman;Times;Serif" w:hAnsi="Times New Roman;Times;Serif"/>
          <w:sz w:val="20"/>
        </w:rPr>
        <w:t>. Since the date of the Interim Financial Statements, no event has occurred that has had, individually or in the aggregate, a Material Adverse Effect. Without limiting the generality of the foregoing, since that date:</w:t>
      </w:r>
    </w:p>
    <w:p w14:paraId="1AF263F5" w14:textId="77777777" w:rsidR="00E22AC0" w:rsidRDefault="00FC56F3">
      <w:pPr>
        <w:pStyle w:val="a3"/>
        <w:spacing w:after="0"/>
        <w:ind w:firstLine="1440"/>
        <w:jc w:val="both"/>
      </w:pPr>
      <w:r>
        <w:t> </w:t>
      </w:r>
    </w:p>
    <w:p w14:paraId="5FF17D6D"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the Company has not </w:t>
      </w:r>
      <w:r>
        <w:rPr>
          <w:rFonts w:ascii="Times New Roman;Times;Serif" w:hAnsi="Times New Roman;Times;Serif"/>
          <w:sz w:val="20"/>
        </w:rPr>
        <w:t>sold, leased, transferred, or assigned any of its assets, tangible or intangible, other than for a fair consideration in the ordinary course of business;</w:t>
      </w:r>
    </w:p>
    <w:p w14:paraId="4E65AD1E" w14:textId="77777777" w:rsidR="00E22AC0" w:rsidRDefault="00FC56F3">
      <w:pPr>
        <w:pStyle w:val="a3"/>
        <w:spacing w:after="0"/>
        <w:ind w:firstLine="1440"/>
        <w:jc w:val="both"/>
      </w:pPr>
      <w:r>
        <w:t> </w:t>
      </w:r>
    </w:p>
    <w:p w14:paraId="2DAF2EAB"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(b) the Company has not entered into any agreement, contract, lease, or license (or series of </w:t>
      </w:r>
      <w:r>
        <w:rPr>
          <w:rFonts w:ascii="Times New Roman;Times;Serif" w:hAnsi="Times New Roman;Times;Serif"/>
          <w:sz w:val="20"/>
        </w:rPr>
        <w:t>related agreements, contracts, leases, and licenses) either involving more than $50,000 or outside the ordinary course of business;</w:t>
      </w:r>
    </w:p>
    <w:p w14:paraId="349E16A3" w14:textId="77777777" w:rsidR="00E22AC0" w:rsidRDefault="00FC56F3">
      <w:pPr>
        <w:pStyle w:val="a3"/>
        <w:spacing w:after="0"/>
        <w:ind w:firstLine="1440"/>
        <w:jc w:val="both"/>
      </w:pPr>
      <w:r>
        <w:t> </w:t>
      </w:r>
    </w:p>
    <w:p w14:paraId="2FD72DC1"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(c) no party (including the Company) has accelerated, terminated, modified, or cancelled any agreement, contract, lease, o</w:t>
      </w:r>
      <w:r>
        <w:rPr>
          <w:rFonts w:ascii="Times New Roman;Times;Serif" w:hAnsi="Times New Roman;Times;Serif"/>
          <w:sz w:val="20"/>
        </w:rPr>
        <w:t>r license (or series of related agreements, contracts, leases, and licenses) involving more than $50,000 to which the Company is a party or by which any of them is bound;</w:t>
      </w:r>
    </w:p>
    <w:p w14:paraId="6D0303FA" w14:textId="77777777" w:rsidR="00E22AC0" w:rsidRDefault="00FC56F3">
      <w:pPr>
        <w:pStyle w:val="a3"/>
        <w:spacing w:after="0"/>
        <w:ind w:firstLine="1440"/>
        <w:jc w:val="both"/>
      </w:pPr>
      <w:r>
        <w:t> </w:t>
      </w:r>
    </w:p>
    <w:p w14:paraId="27BC76DF"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(d) the Company has not imposed any Liens upon any of its assets, tangible or intan</w:t>
      </w:r>
      <w:r>
        <w:rPr>
          <w:rFonts w:ascii="Times New Roman;Times;Serif" w:hAnsi="Times New Roman;Times;Serif"/>
          <w:sz w:val="20"/>
        </w:rPr>
        <w:t>gible;</w:t>
      </w:r>
    </w:p>
    <w:p w14:paraId="042915F8" w14:textId="77777777" w:rsidR="00E22AC0" w:rsidRDefault="00FC56F3">
      <w:pPr>
        <w:pStyle w:val="a3"/>
        <w:spacing w:after="0"/>
        <w:ind w:firstLine="1440"/>
        <w:jc w:val="both"/>
      </w:pPr>
      <w:r>
        <w:t> </w:t>
      </w:r>
    </w:p>
    <w:p w14:paraId="373C6D1D"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(e) the Company has not made any capital expenditure (or series of related capital expenditures) either involving more than $50,000 or outside the ordinary course of business;</w:t>
      </w:r>
    </w:p>
    <w:p w14:paraId="2432B6D9" w14:textId="77777777" w:rsidR="00E22AC0" w:rsidRDefault="00FC56F3">
      <w:pPr>
        <w:pStyle w:val="a3"/>
        <w:spacing w:after="0"/>
        <w:ind w:firstLine="1440"/>
        <w:jc w:val="both"/>
      </w:pPr>
      <w:r>
        <w:t> </w:t>
      </w:r>
    </w:p>
    <w:p w14:paraId="489D56FB"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(f) the Company has not made any capital investment in, any loan to, </w:t>
      </w:r>
      <w:r>
        <w:rPr>
          <w:rFonts w:ascii="Times New Roman;Times;Serif" w:hAnsi="Times New Roman;Times;Serif"/>
          <w:sz w:val="20"/>
        </w:rPr>
        <w:t>or any acquisition of the securities or assets of, any other Person (or series of related capital investments, loans, and acquisitions) either involving more than $50,000 or outside the ordinary course of business;</w:t>
      </w:r>
    </w:p>
    <w:p w14:paraId="571EC535" w14:textId="77777777" w:rsidR="00E22AC0" w:rsidRDefault="00FC56F3">
      <w:pPr>
        <w:pStyle w:val="a3"/>
        <w:spacing w:after="0"/>
        <w:ind w:firstLine="1440"/>
        <w:jc w:val="both"/>
      </w:pPr>
      <w:r>
        <w:t> </w:t>
      </w:r>
    </w:p>
    <w:p w14:paraId="52805CEB" w14:textId="77777777" w:rsidR="00E22AC0" w:rsidRDefault="00FC56F3">
      <w:pPr>
        <w:pStyle w:val="a3"/>
        <w:spacing w:after="0"/>
        <w:ind w:firstLine="144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15</w:t>
      </w:r>
    </w:p>
    <w:p w14:paraId="217974F8" w14:textId="77777777" w:rsidR="00E22AC0" w:rsidRDefault="00FC56F3">
      <w:pPr>
        <w:pStyle w:val="a3"/>
        <w:spacing w:after="0"/>
      </w:pPr>
      <w:r>
        <w:t> </w:t>
      </w:r>
    </w:p>
    <w:p w14:paraId="4B892084" w14:textId="77777777" w:rsidR="00E22AC0" w:rsidRDefault="00FC56F3">
      <w:pPr>
        <w:pStyle w:val="a3"/>
        <w:spacing w:after="0"/>
        <w:ind w:firstLine="1440"/>
        <w:jc w:val="both"/>
      </w:pPr>
      <w:r>
        <w:t> </w:t>
      </w:r>
    </w:p>
    <w:p w14:paraId="66B13A4C"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(g) the Company has not transfer</w:t>
      </w:r>
      <w:r>
        <w:rPr>
          <w:rFonts w:ascii="Times New Roman;Times;Serif" w:hAnsi="Times New Roman;Times;Serif"/>
          <w:sz w:val="20"/>
        </w:rPr>
        <w:t>red, assigned, or granted any license or sublicense of any rights under or with respect to any Intellectual Property;</w:t>
      </w:r>
    </w:p>
    <w:p w14:paraId="3816675A" w14:textId="77777777" w:rsidR="00E22AC0" w:rsidRDefault="00FC56F3">
      <w:pPr>
        <w:pStyle w:val="a3"/>
        <w:spacing w:after="0"/>
        <w:ind w:firstLine="1440"/>
        <w:jc w:val="both"/>
      </w:pPr>
      <w:r>
        <w:t> </w:t>
      </w:r>
    </w:p>
    <w:p w14:paraId="4E87B732"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(h) there has been no change made or authorized in the certificate of incorporation or bylaws of the Company;</w:t>
      </w:r>
    </w:p>
    <w:p w14:paraId="478BC84A" w14:textId="77777777" w:rsidR="00E22AC0" w:rsidRDefault="00FC56F3">
      <w:pPr>
        <w:pStyle w:val="a3"/>
        <w:spacing w:after="0"/>
        <w:ind w:firstLine="1440"/>
        <w:jc w:val="both"/>
      </w:pPr>
      <w:r>
        <w:t> </w:t>
      </w:r>
    </w:p>
    <w:p w14:paraId="588F9187"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xml:space="preserve">) the Company has not </w:t>
      </w:r>
      <w:r>
        <w:rPr>
          <w:rFonts w:ascii="Times New Roman;Times;Serif" w:hAnsi="Times New Roman;Times;Serif"/>
          <w:sz w:val="20"/>
        </w:rPr>
        <w:t>issued, sold, or otherwise disposed of any of its capital stock, or granted any options, warrants, or other rights to purchase or obtain (including upon conversion, exchange, or exercise) any of its capital stock;</w:t>
      </w:r>
    </w:p>
    <w:p w14:paraId="16CECF4C" w14:textId="77777777" w:rsidR="00E22AC0" w:rsidRDefault="00FC56F3">
      <w:pPr>
        <w:pStyle w:val="a3"/>
        <w:spacing w:after="0"/>
        <w:ind w:firstLine="1440"/>
        <w:jc w:val="both"/>
      </w:pPr>
      <w:r>
        <w:t> </w:t>
      </w:r>
    </w:p>
    <w:p w14:paraId="16F355A0"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(j) the Company has not made any loan to</w:t>
      </w:r>
      <w:r>
        <w:rPr>
          <w:rFonts w:ascii="Times New Roman;Times;Serif" w:hAnsi="Times New Roman;Times;Serif"/>
          <w:sz w:val="20"/>
        </w:rPr>
        <w:t>, or entered into any other transaction with, any of its directors, officers, and employees outside the ordinary course of business;</w:t>
      </w:r>
    </w:p>
    <w:p w14:paraId="1028ABC0" w14:textId="77777777" w:rsidR="00E22AC0" w:rsidRDefault="00FC56F3">
      <w:pPr>
        <w:pStyle w:val="a3"/>
        <w:spacing w:after="0"/>
        <w:ind w:firstLine="1440"/>
        <w:jc w:val="both"/>
      </w:pPr>
      <w:r>
        <w:lastRenderedPageBreak/>
        <w:t> </w:t>
      </w:r>
    </w:p>
    <w:p w14:paraId="0351A950"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(k) the Company has not entered into any employment contract or modified the terms of any existing such contract or agree</w:t>
      </w:r>
      <w:r>
        <w:rPr>
          <w:rFonts w:ascii="Times New Roman;Times;Serif" w:hAnsi="Times New Roman;Times;Serif"/>
          <w:sz w:val="20"/>
        </w:rPr>
        <w:t>ment;</w:t>
      </w:r>
    </w:p>
    <w:p w14:paraId="6ED91D41" w14:textId="77777777" w:rsidR="00E22AC0" w:rsidRDefault="00FC56F3">
      <w:pPr>
        <w:pStyle w:val="a3"/>
        <w:spacing w:after="0"/>
        <w:ind w:firstLine="1440"/>
        <w:jc w:val="both"/>
      </w:pPr>
      <w:r>
        <w:t> </w:t>
      </w:r>
    </w:p>
    <w:p w14:paraId="1A44337D"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(l) the Company has not granted any increase in the base compensation of any of its directors, officers, and employees outside the ordinary course of business;</w:t>
      </w:r>
    </w:p>
    <w:p w14:paraId="457809F7" w14:textId="77777777" w:rsidR="00E22AC0" w:rsidRDefault="00FC56F3">
      <w:pPr>
        <w:pStyle w:val="a3"/>
        <w:spacing w:after="0"/>
        <w:ind w:firstLine="1440"/>
        <w:jc w:val="both"/>
      </w:pPr>
      <w:r>
        <w:t> </w:t>
      </w:r>
    </w:p>
    <w:p w14:paraId="2923347B"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(m) the Company has not committed to any of the foregoing.</w:t>
      </w:r>
    </w:p>
    <w:p w14:paraId="46A10DCD" w14:textId="77777777" w:rsidR="00E22AC0" w:rsidRDefault="00FC56F3">
      <w:pPr>
        <w:pStyle w:val="a3"/>
        <w:spacing w:after="0"/>
        <w:ind w:firstLine="720"/>
        <w:jc w:val="both"/>
      </w:pPr>
      <w:r>
        <w:t> </w:t>
      </w:r>
    </w:p>
    <w:p w14:paraId="2B9B5760"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4.13 </w:t>
      </w:r>
      <w:r>
        <w:rPr>
          <w:rFonts w:ascii="Times New Roman;Times;Serif" w:hAnsi="Times New Roman;Times;Serif"/>
          <w:sz w:val="20"/>
          <w:u w:val="single"/>
        </w:rPr>
        <w:t>Contracts</w:t>
      </w:r>
      <w:r>
        <w:rPr>
          <w:rFonts w:ascii="Times New Roman;Times;Serif" w:hAnsi="Times New Roman;Times;Serif"/>
          <w:sz w:val="20"/>
        </w:rPr>
        <w:t>.</w:t>
      </w:r>
    </w:p>
    <w:p w14:paraId="0173D8EB" w14:textId="77777777" w:rsidR="00E22AC0" w:rsidRDefault="00FC56F3">
      <w:pPr>
        <w:pStyle w:val="a3"/>
        <w:spacing w:after="0"/>
        <w:ind w:firstLine="1440"/>
        <w:jc w:val="both"/>
      </w:pPr>
      <w:r>
        <w:t> </w:t>
      </w:r>
    </w:p>
    <w:p w14:paraId="54555715"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Except as set forth in </w:t>
      </w:r>
      <w:r>
        <w:rPr>
          <w:rFonts w:ascii="Times New Roman;Times;Serif" w:hAnsi="Times New Roman;Times;Serif"/>
          <w:sz w:val="20"/>
          <w:u w:val="single"/>
        </w:rPr>
        <w:t>Section 4.13(a) of the Disclosure Schedule</w:t>
      </w:r>
      <w:r>
        <w:rPr>
          <w:rFonts w:ascii="Times New Roman;Times;Serif" w:hAnsi="Times New Roman;Times;Serif"/>
          <w:sz w:val="20"/>
        </w:rPr>
        <w:t>, as of the date hereof, the Company is not a party to or bound by any: (</w:t>
      </w:r>
      <w:proofErr w:type="spellStart"/>
      <w:r>
        <w:rPr>
          <w:rFonts w:ascii="Times New Roman;Times;Serif" w:hAnsi="Times New Roman;Times;Serif"/>
          <w:sz w:val="20"/>
        </w:rPr>
        <w:t>i</w:t>
      </w:r>
      <w:proofErr w:type="spellEnd"/>
      <w:r>
        <w:rPr>
          <w:rFonts w:ascii="Times New Roman;Times;Serif" w:hAnsi="Times New Roman;Times;Serif"/>
          <w:sz w:val="20"/>
        </w:rPr>
        <w:t xml:space="preserve">) Contract not contemplated by this Agreement that materially limits the ability of the Company to engage or </w:t>
      </w:r>
      <w:r>
        <w:rPr>
          <w:rFonts w:ascii="Times New Roman;Times;Serif" w:hAnsi="Times New Roman;Times;Serif"/>
          <w:sz w:val="20"/>
        </w:rPr>
        <w:t>compete in any manner of the business presently conducted by the Company; (ii) Contract that creates a partnership or joint venture or similar arrangement with respect to any material business of the Company; (iii) indenture, credit agreement, loan agreeme</w:t>
      </w:r>
      <w:r>
        <w:rPr>
          <w:rFonts w:ascii="Times New Roman;Times;Serif" w:hAnsi="Times New Roman;Times;Serif"/>
          <w:sz w:val="20"/>
        </w:rPr>
        <w:t>nt, security agreement, guarantee, note, mortgage or other evidence of indebtedness or agreement providing for indebtedness in excess of $50,000; (iv) Contract that relates to the acquisition or disposition of any material business (whether by merger, sale</w:t>
      </w:r>
      <w:r>
        <w:rPr>
          <w:rFonts w:ascii="Times New Roman;Times;Serif" w:hAnsi="Times New Roman;Times;Serif"/>
          <w:sz w:val="20"/>
        </w:rPr>
        <w:t xml:space="preserve"> of stock, sale of assets or otherwise) other than this Agreement; and (v) Contract that involves performance of services or delivery of goods or materials by or to the Company in an amount or with a value in excess of $50,000 in any 12-month period (which</w:t>
      </w:r>
      <w:r>
        <w:rPr>
          <w:rFonts w:ascii="Times New Roman;Times;Serif" w:hAnsi="Times New Roman;Times;Serif"/>
          <w:sz w:val="20"/>
        </w:rPr>
        <w:t xml:space="preserve"> period may extend past the Closing).</w:t>
      </w:r>
    </w:p>
    <w:p w14:paraId="68FAA4CF" w14:textId="77777777" w:rsidR="00E22AC0" w:rsidRDefault="00FC56F3">
      <w:pPr>
        <w:pStyle w:val="a3"/>
        <w:spacing w:after="0"/>
        <w:ind w:firstLine="1440"/>
        <w:jc w:val="both"/>
      </w:pPr>
      <w:r>
        <w:t> </w:t>
      </w:r>
    </w:p>
    <w:p w14:paraId="729178E1"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(b) The Sellers have heretofore made available to the Buyer true and complete copies of each of the Contracts set forth in </w:t>
      </w:r>
      <w:r>
        <w:rPr>
          <w:rFonts w:ascii="Times New Roman;Times;Serif" w:hAnsi="Times New Roman;Times;Serif"/>
          <w:sz w:val="20"/>
          <w:u w:val="single"/>
        </w:rPr>
        <w:t>Section 4.13(a) of the Disclosure Schedule</w:t>
      </w:r>
      <w:r>
        <w:rPr>
          <w:rFonts w:ascii="Times New Roman;Times;Serif" w:hAnsi="Times New Roman;Times;Serif"/>
          <w:sz w:val="20"/>
        </w:rPr>
        <w:t>. To the Knowledge of the Sellers, (</w:t>
      </w:r>
      <w:proofErr w:type="spellStart"/>
      <w:r>
        <w:rPr>
          <w:rFonts w:ascii="Times New Roman;Times;Serif" w:hAnsi="Times New Roman;Times;Serif"/>
          <w:sz w:val="20"/>
        </w:rPr>
        <w:t>i</w:t>
      </w:r>
      <w:proofErr w:type="spellEnd"/>
      <w:r>
        <w:rPr>
          <w:rFonts w:ascii="Times New Roman;Times;Serif" w:hAnsi="Times New Roman;Times;Serif"/>
          <w:sz w:val="20"/>
        </w:rPr>
        <w:t>) all such Con</w:t>
      </w:r>
      <w:r>
        <w:rPr>
          <w:rFonts w:ascii="Times New Roman;Times;Serif" w:hAnsi="Times New Roman;Times;Serif"/>
          <w:sz w:val="20"/>
        </w:rPr>
        <w:t>tracts are valid and binding, (ii) all such Contracts are in full force and effect (except for those that have terminated or will terminate by their own terms), and (iii) neither the Company nor any other party thereto, is in violation or breach of or defa</w:t>
      </w:r>
      <w:r>
        <w:rPr>
          <w:rFonts w:ascii="Times New Roman;Times;Serif" w:hAnsi="Times New Roman;Times;Serif"/>
          <w:sz w:val="20"/>
        </w:rPr>
        <w:t xml:space="preserve">ult under (or with notice or lapse of time, or both, would be in violation or breach of or default under) the terms of any such Contract, in each case, except where such default would not reasonably be expected to have, individually or in the aggregate, a </w:t>
      </w:r>
      <w:r>
        <w:rPr>
          <w:rFonts w:ascii="Times New Roman;Times;Serif" w:hAnsi="Times New Roman;Times;Serif"/>
          <w:sz w:val="20"/>
        </w:rPr>
        <w:t>Material Adverse Effect.</w:t>
      </w:r>
    </w:p>
    <w:p w14:paraId="51D74E37" w14:textId="77777777" w:rsidR="00E22AC0" w:rsidRDefault="00FC56F3">
      <w:pPr>
        <w:pStyle w:val="a3"/>
        <w:spacing w:after="0"/>
        <w:ind w:firstLine="720"/>
        <w:jc w:val="both"/>
      </w:pPr>
      <w:r>
        <w:t> </w:t>
      </w:r>
    </w:p>
    <w:p w14:paraId="4BE08532"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4.14 </w:t>
      </w:r>
      <w:r>
        <w:rPr>
          <w:rFonts w:ascii="Times New Roman;Times;Serif" w:hAnsi="Times New Roman;Times;Serif"/>
          <w:sz w:val="20"/>
          <w:u w:val="single"/>
        </w:rPr>
        <w:t>Litigation</w:t>
      </w:r>
      <w:r>
        <w:rPr>
          <w:rFonts w:ascii="Times New Roman;Times;Serif" w:hAnsi="Times New Roman;Times;Serif"/>
          <w:sz w:val="20"/>
        </w:rPr>
        <w:t xml:space="preserve">. Except as set forth in </w:t>
      </w:r>
      <w:r>
        <w:rPr>
          <w:rFonts w:ascii="Times New Roman;Times;Serif" w:hAnsi="Times New Roman;Times;Serif"/>
          <w:sz w:val="20"/>
          <w:u w:val="single"/>
        </w:rPr>
        <w:t>Section 4.14 of the Disclosure Schedule</w:t>
      </w:r>
      <w:r>
        <w:rPr>
          <w:rFonts w:ascii="Times New Roman;Times;Serif" w:hAnsi="Times New Roman;Times;Serif"/>
          <w:sz w:val="20"/>
        </w:rPr>
        <w:t>, there is no Action pending or, to the Knowledge of the Sellers, threatened against the Company that (a) challenges or seeks to enjoin, alter or mate</w:t>
      </w:r>
      <w:r>
        <w:rPr>
          <w:rFonts w:ascii="Times New Roman;Times;Serif" w:hAnsi="Times New Roman;Times;Serif"/>
          <w:sz w:val="20"/>
        </w:rPr>
        <w:t>rially delay the Acquisition or (b) would reasonably be expected to have, individually or in the aggregate, a Material Adverse Effect.</w:t>
      </w:r>
    </w:p>
    <w:p w14:paraId="7F62BA9C" w14:textId="77777777" w:rsidR="00E22AC0" w:rsidRDefault="00FC56F3">
      <w:pPr>
        <w:pStyle w:val="a3"/>
        <w:spacing w:after="0"/>
        <w:ind w:firstLine="720"/>
        <w:jc w:val="both"/>
      </w:pPr>
      <w:r>
        <w:t> </w:t>
      </w:r>
    </w:p>
    <w:p w14:paraId="099DDEA6"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16</w:t>
      </w:r>
    </w:p>
    <w:p w14:paraId="0873300B" w14:textId="77777777" w:rsidR="00E22AC0" w:rsidRDefault="00FC56F3">
      <w:pPr>
        <w:pStyle w:val="a3"/>
        <w:spacing w:after="0"/>
      </w:pPr>
      <w:r>
        <w:t> </w:t>
      </w:r>
    </w:p>
    <w:p w14:paraId="4606D024" w14:textId="77777777" w:rsidR="00E22AC0" w:rsidRDefault="00FC56F3">
      <w:pPr>
        <w:pStyle w:val="a3"/>
        <w:spacing w:after="0"/>
        <w:ind w:firstLine="720"/>
        <w:jc w:val="both"/>
      </w:pPr>
      <w:r>
        <w:t> </w:t>
      </w:r>
    </w:p>
    <w:p w14:paraId="0E6BCD1F"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4.15 </w:t>
      </w:r>
      <w:r>
        <w:rPr>
          <w:rFonts w:ascii="Times New Roman;Times;Serif" w:hAnsi="Times New Roman;Times;Serif"/>
          <w:sz w:val="20"/>
          <w:u w:val="single"/>
        </w:rPr>
        <w:t>Employee Benefits</w:t>
      </w:r>
      <w:r>
        <w:rPr>
          <w:rFonts w:ascii="Times New Roman;Times;Serif" w:hAnsi="Times New Roman;Times;Serif"/>
          <w:sz w:val="20"/>
        </w:rPr>
        <w:t>.</w:t>
      </w:r>
    </w:p>
    <w:p w14:paraId="58A8E225" w14:textId="77777777" w:rsidR="00E22AC0" w:rsidRDefault="00FC56F3">
      <w:pPr>
        <w:pStyle w:val="a3"/>
        <w:spacing w:after="0"/>
        <w:ind w:firstLine="1440"/>
        <w:jc w:val="both"/>
      </w:pPr>
      <w:r>
        <w:t> </w:t>
      </w:r>
    </w:p>
    <w:p w14:paraId="61F89502"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w:t>
      </w:r>
      <w:r>
        <w:rPr>
          <w:rFonts w:ascii="Times New Roman;Times;Serif" w:hAnsi="Times New Roman;Times;Serif"/>
          <w:sz w:val="20"/>
          <w:u w:val="single"/>
        </w:rPr>
        <w:t>Section 4.15(a) of the Disclosure Schedule</w:t>
      </w:r>
      <w:r>
        <w:rPr>
          <w:rFonts w:ascii="Times New Roman;Times;Serif" w:hAnsi="Times New Roman;Times;Serif"/>
          <w:sz w:val="20"/>
        </w:rPr>
        <w:t xml:space="preserve"> includes a list of all Benefit Plans ma</w:t>
      </w:r>
      <w:r>
        <w:rPr>
          <w:rFonts w:ascii="Times New Roman;Times;Serif" w:hAnsi="Times New Roman;Times;Serif"/>
          <w:sz w:val="20"/>
        </w:rPr>
        <w:t>intained or contributed to by the Company (the “</w:t>
      </w:r>
      <w:r>
        <w:rPr>
          <w:rFonts w:ascii="Times New Roman;Times;Serif" w:hAnsi="Times New Roman;Times;Serif"/>
          <w:b/>
          <w:sz w:val="20"/>
        </w:rPr>
        <w:t>Company Benefit Plans</w:t>
      </w:r>
      <w:r>
        <w:rPr>
          <w:rFonts w:ascii="Times New Roman;Times;Serif" w:hAnsi="Times New Roman;Times;Serif"/>
          <w:sz w:val="20"/>
        </w:rPr>
        <w:t>”). The Sellers have delivered or made available to the Buyer copies of (</w:t>
      </w:r>
      <w:proofErr w:type="spellStart"/>
      <w:r>
        <w:rPr>
          <w:rFonts w:ascii="Times New Roman;Times;Serif" w:hAnsi="Times New Roman;Times;Serif"/>
          <w:sz w:val="20"/>
        </w:rPr>
        <w:t>i</w:t>
      </w:r>
      <w:proofErr w:type="spellEnd"/>
      <w:r>
        <w:rPr>
          <w:rFonts w:ascii="Times New Roman;Times;Serif" w:hAnsi="Times New Roman;Times;Serif"/>
          <w:sz w:val="20"/>
        </w:rPr>
        <w:t>) each Company Benefit Plan, (ii) the most recent summary plan description for each Company Benefit Plan for whic</w:t>
      </w:r>
      <w:r>
        <w:rPr>
          <w:rFonts w:ascii="Times New Roman;Times;Serif" w:hAnsi="Times New Roman;Times;Serif"/>
          <w:sz w:val="20"/>
        </w:rPr>
        <w:t>h such a summary plan description is required and (iii) the most recent favorable determination letters from the IRS with respect to each Company Benefit Plan intended to qualify under Section 401(a) of the Code.</w:t>
      </w:r>
    </w:p>
    <w:p w14:paraId="18795954" w14:textId="77777777" w:rsidR="00E22AC0" w:rsidRDefault="00FC56F3">
      <w:pPr>
        <w:pStyle w:val="a3"/>
        <w:spacing w:after="0"/>
        <w:ind w:firstLine="1440"/>
        <w:jc w:val="both"/>
      </w:pPr>
      <w:r>
        <w:t> </w:t>
      </w:r>
    </w:p>
    <w:p w14:paraId="026498B4"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(b) Except as set forth in </w:t>
      </w:r>
      <w:r>
        <w:rPr>
          <w:rFonts w:ascii="Times New Roman;Times;Serif" w:hAnsi="Times New Roman;Times;Serif"/>
          <w:sz w:val="20"/>
          <w:u w:val="single"/>
        </w:rPr>
        <w:t>Section 4.15(b</w:t>
      </w:r>
      <w:r>
        <w:rPr>
          <w:rFonts w:ascii="Times New Roman;Times;Serif" w:hAnsi="Times New Roman;Times;Serif"/>
          <w:sz w:val="20"/>
          <w:u w:val="single"/>
        </w:rPr>
        <w:t>) of the Disclosure Schedule</w:t>
      </w:r>
      <w:r>
        <w:rPr>
          <w:rFonts w:ascii="Times New Roman;Times;Serif" w:hAnsi="Times New Roman;Times;Serif"/>
          <w:sz w:val="20"/>
        </w:rPr>
        <w:t>, (</w:t>
      </w:r>
      <w:proofErr w:type="spellStart"/>
      <w:r>
        <w:rPr>
          <w:rFonts w:ascii="Times New Roman;Times;Serif" w:hAnsi="Times New Roman;Times;Serif"/>
          <w:sz w:val="20"/>
        </w:rPr>
        <w:t>i</w:t>
      </w:r>
      <w:proofErr w:type="spellEnd"/>
      <w:r>
        <w:rPr>
          <w:rFonts w:ascii="Times New Roman;Times;Serif" w:hAnsi="Times New Roman;Times;Serif"/>
          <w:sz w:val="20"/>
        </w:rPr>
        <w:t>) none of the Company Benefit Plans is subject to Title IV of ERISA; (ii) each Company Benefit Plan that is intended to be qualified under Section 401(a) of the Code is subject to a favorable determination letter from the IR</w:t>
      </w:r>
      <w:r>
        <w:rPr>
          <w:rFonts w:ascii="Times New Roman;Times;Serif" w:hAnsi="Times New Roman;Times;Serif"/>
          <w:sz w:val="20"/>
        </w:rPr>
        <w:t>S and, to the Knowledge of the Sellers, no event has occurred and no condition exists that is reasonably likely to result in the revocation of any such determination; and (iii) each Company Benefit Plan is in compliance with all applicable provisions of ER</w:t>
      </w:r>
      <w:r>
        <w:rPr>
          <w:rFonts w:ascii="Times New Roman;Times;Serif" w:hAnsi="Times New Roman;Times;Serif"/>
          <w:sz w:val="20"/>
        </w:rPr>
        <w:t>ISA and the Code, except for instances of noncompliance that would not reasonably be expected to have, individually or in the aggregate, a Material Adverse Effect.</w:t>
      </w:r>
    </w:p>
    <w:p w14:paraId="6842D2CE" w14:textId="77777777" w:rsidR="00E22AC0" w:rsidRDefault="00FC56F3">
      <w:pPr>
        <w:pStyle w:val="a3"/>
        <w:spacing w:after="0"/>
        <w:ind w:firstLine="720"/>
        <w:jc w:val="both"/>
      </w:pPr>
      <w:r>
        <w:t> </w:t>
      </w:r>
    </w:p>
    <w:p w14:paraId="669E297D"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4.16 </w:t>
      </w:r>
      <w:r>
        <w:rPr>
          <w:rFonts w:ascii="Times New Roman;Times;Serif" w:hAnsi="Times New Roman;Times;Serif"/>
          <w:sz w:val="20"/>
          <w:u w:val="single"/>
        </w:rPr>
        <w:t>Labor and Employment Matters</w:t>
      </w:r>
      <w:r>
        <w:rPr>
          <w:rFonts w:ascii="Times New Roman;Times;Serif" w:hAnsi="Times New Roman;Times;Serif"/>
          <w:sz w:val="20"/>
        </w:rPr>
        <w:t xml:space="preserve">. </w:t>
      </w:r>
      <w:r>
        <w:rPr>
          <w:rFonts w:ascii="Times New Roman;Times;Serif" w:hAnsi="Times New Roman;Times;Serif"/>
          <w:sz w:val="20"/>
          <w:u w:val="single"/>
        </w:rPr>
        <w:t>Section 4.16 of the Disclosure Schedule</w:t>
      </w:r>
      <w:r>
        <w:rPr>
          <w:rFonts w:ascii="Times New Roman;Times;Serif" w:hAnsi="Times New Roman;Times;Serif"/>
          <w:sz w:val="20"/>
        </w:rPr>
        <w:t xml:space="preserve"> sets forth a li</w:t>
      </w:r>
      <w:r>
        <w:rPr>
          <w:rFonts w:ascii="Times New Roman;Times;Serif" w:hAnsi="Times New Roman;Times;Serif"/>
          <w:sz w:val="20"/>
        </w:rPr>
        <w:t>st of all written employment agreements that obligate the Company to pay an annual salary of $50,000 or more and to which the Company is a party. To the Knowledge of the Sellers, there are no pending labor disputes, work stoppages, requests for representat</w:t>
      </w:r>
      <w:r>
        <w:rPr>
          <w:rFonts w:ascii="Times New Roman;Times;Serif" w:hAnsi="Times New Roman;Times;Serif"/>
          <w:sz w:val="20"/>
        </w:rPr>
        <w:t>ion, pickets, work slow-downs due to labor disagreements or any actions or arbitrations that involve the labor or employment relations of the Company. The Company is not party to any collective bargaining agreement.</w:t>
      </w:r>
    </w:p>
    <w:p w14:paraId="5CAA8C88" w14:textId="77777777" w:rsidR="00E22AC0" w:rsidRDefault="00FC56F3">
      <w:pPr>
        <w:pStyle w:val="a3"/>
        <w:spacing w:after="0"/>
        <w:ind w:firstLine="720"/>
        <w:jc w:val="both"/>
      </w:pPr>
      <w:r>
        <w:lastRenderedPageBreak/>
        <w:t> </w:t>
      </w:r>
    </w:p>
    <w:p w14:paraId="15DE1B5F"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4.17 </w:t>
      </w:r>
      <w:r>
        <w:rPr>
          <w:rFonts w:ascii="Times New Roman;Times;Serif" w:hAnsi="Times New Roman;Times;Serif"/>
          <w:sz w:val="20"/>
          <w:u w:val="single"/>
        </w:rPr>
        <w:t>Environmental</w:t>
      </w:r>
      <w:r>
        <w:rPr>
          <w:rFonts w:ascii="Times New Roman;Times;Serif" w:hAnsi="Times New Roman;Times;Serif"/>
          <w:sz w:val="20"/>
        </w:rPr>
        <w:t>. Except (</w:t>
      </w:r>
      <w:proofErr w:type="spellStart"/>
      <w:r>
        <w:rPr>
          <w:rFonts w:ascii="Times New Roman;Times;Serif" w:hAnsi="Times New Roman;Times;Serif"/>
          <w:sz w:val="20"/>
        </w:rPr>
        <w:t>i</w:t>
      </w:r>
      <w:proofErr w:type="spellEnd"/>
      <w:r>
        <w:rPr>
          <w:rFonts w:ascii="Times New Roman;Times;Serif" w:hAnsi="Times New Roman;Times;Serif"/>
          <w:sz w:val="20"/>
        </w:rPr>
        <w:t xml:space="preserve">) as set </w:t>
      </w:r>
      <w:r>
        <w:rPr>
          <w:rFonts w:ascii="Times New Roman;Times;Serif" w:hAnsi="Times New Roman;Times;Serif"/>
          <w:sz w:val="20"/>
        </w:rPr>
        <w:t xml:space="preserve">forth in </w:t>
      </w:r>
      <w:r>
        <w:rPr>
          <w:rFonts w:ascii="Times New Roman;Times;Serif" w:hAnsi="Times New Roman;Times;Serif"/>
          <w:sz w:val="20"/>
          <w:u w:val="single"/>
        </w:rPr>
        <w:t>Section 4.17 of the Disclosure Schedule</w:t>
      </w:r>
      <w:r>
        <w:rPr>
          <w:rFonts w:ascii="Times New Roman;Times;Serif" w:hAnsi="Times New Roman;Times;Serif"/>
          <w:sz w:val="20"/>
        </w:rPr>
        <w:t xml:space="preserve"> or (ii) for any matter that would not reasonably be expected to have, individually or in the aggregate, a Material Adverse Effect, (a) the Company is in compliance with all applicable Laws relating to protec</w:t>
      </w:r>
      <w:r>
        <w:rPr>
          <w:rFonts w:ascii="Times New Roman;Times;Serif" w:hAnsi="Times New Roman;Times;Serif"/>
          <w:sz w:val="20"/>
        </w:rPr>
        <w:t>tion of the environment (“</w:t>
      </w:r>
      <w:r>
        <w:rPr>
          <w:rFonts w:ascii="Times New Roman;Times;Serif" w:hAnsi="Times New Roman;Times;Serif"/>
          <w:b/>
          <w:sz w:val="20"/>
        </w:rPr>
        <w:t>Environmental Laws</w:t>
      </w:r>
      <w:r>
        <w:rPr>
          <w:rFonts w:ascii="Times New Roman;Times;Serif" w:hAnsi="Times New Roman;Times;Serif"/>
          <w:sz w:val="20"/>
        </w:rPr>
        <w:t>”), (b) the Company possesses and is in compliance with all Permits required under any Environmental Law for the conduct of its operations and (c) there are no Actions pending against the Company alleging a viola</w:t>
      </w:r>
      <w:r>
        <w:rPr>
          <w:rFonts w:ascii="Times New Roman;Times;Serif" w:hAnsi="Times New Roman;Times;Serif"/>
          <w:sz w:val="20"/>
        </w:rPr>
        <w:t>tion of any Environmental Law. No property currently or formerly owned or operated by the Company or has been contaminated with any Hazardous Substance in a manner that could reasonably be expected to require remediation or other action pursuant to any Env</w:t>
      </w:r>
      <w:r>
        <w:rPr>
          <w:rFonts w:ascii="Times New Roman;Times;Serif" w:hAnsi="Times New Roman;Times;Serif"/>
          <w:sz w:val="20"/>
        </w:rPr>
        <w:t xml:space="preserve">ironmental Law. Neither the Sellers, nor the Company has received any written notice, demand, letter, claim or request for information alleging that the Company or the Sellers are in violation of or liable under any Environmental Law. For purposes of this </w:t>
      </w:r>
      <w:r>
        <w:rPr>
          <w:rFonts w:ascii="Times New Roman;Times;Serif" w:hAnsi="Times New Roman;Times;Serif"/>
          <w:sz w:val="20"/>
        </w:rPr>
        <w:t>Agreement, “Hazardous Substance” means any substance that is: (</w:t>
      </w:r>
      <w:proofErr w:type="spellStart"/>
      <w:r>
        <w:rPr>
          <w:rFonts w:ascii="Times New Roman;Times;Serif" w:hAnsi="Times New Roman;Times;Serif"/>
          <w:sz w:val="20"/>
        </w:rPr>
        <w:t>i</w:t>
      </w:r>
      <w:proofErr w:type="spellEnd"/>
      <w:r>
        <w:rPr>
          <w:rFonts w:ascii="Times New Roman;Times;Serif" w:hAnsi="Times New Roman;Times;Serif"/>
          <w:sz w:val="20"/>
        </w:rPr>
        <w:t>) listed, classified, regulated or defined pursuant to any Environmental Law or (ii) any petroleum product or by-product, asbestos-containing material, polychlorinated biphenyls or radioactive</w:t>
      </w:r>
      <w:r>
        <w:rPr>
          <w:rFonts w:ascii="Times New Roman;Times;Serif" w:hAnsi="Times New Roman;Times;Serif"/>
          <w:sz w:val="20"/>
        </w:rPr>
        <w:t xml:space="preserve"> material.</w:t>
      </w:r>
    </w:p>
    <w:p w14:paraId="04CCB673" w14:textId="77777777" w:rsidR="00E22AC0" w:rsidRDefault="00FC56F3">
      <w:pPr>
        <w:pStyle w:val="a3"/>
        <w:spacing w:after="0"/>
        <w:ind w:firstLine="720"/>
        <w:jc w:val="both"/>
      </w:pPr>
      <w:r>
        <w:t> </w:t>
      </w:r>
    </w:p>
    <w:p w14:paraId="3C801053"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17</w:t>
      </w:r>
    </w:p>
    <w:p w14:paraId="17FF22FC" w14:textId="77777777" w:rsidR="00E22AC0" w:rsidRDefault="00FC56F3">
      <w:pPr>
        <w:pStyle w:val="a3"/>
        <w:spacing w:after="0"/>
      </w:pPr>
      <w:r>
        <w:t> </w:t>
      </w:r>
    </w:p>
    <w:p w14:paraId="31EDE76D" w14:textId="77777777" w:rsidR="00E22AC0" w:rsidRDefault="00FC56F3">
      <w:pPr>
        <w:pStyle w:val="a3"/>
        <w:spacing w:after="0"/>
        <w:ind w:firstLine="720"/>
        <w:jc w:val="both"/>
      </w:pPr>
      <w:r>
        <w:t> </w:t>
      </w:r>
    </w:p>
    <w:p w14:paraId="0ED41E30"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4.18 </w:t>
      </w:r>
      <w:r>
        <w:rPr>
          <w:rFonts w:ascii="Times New Roman;Times;Serif" w:hAnsi="Times New Roman;Times;Serif"/>
          <w:sz w:val="20"/>
          <w:u w:val="single"/>
        </w:rPr>
        <w:t>Insurance</w:t>
      </w:r>
      <w:r>
        <w:rPr>
          <w:rFonts w:ascii="Times New Roman;Times;Serif" w:hAnsi="Times New Roman;Times;Serif"/>
          <w:sz w:val="20"/>
        </w:rPr>
        <w:t xml:space="preserve">. </w:t>
      </w:r>
      <w:r>
        <w:rPr>
          <w:rFonts w:ascii="Times New Roman;Times;Serif" w:hAnsi="Times New Roman;Times;Serif"/>
          <w:sz w:val="20"/>
          <w:u w:val="single"/>
        </w:rPr>
        <w:t>Section 4.18 of the Disclosure Schedule</w:t>
      </w:r>
      <w:r>
        <w:rPr>
          <w:rFonts w:ascii="Times New Roman;Times;Serif" w:hAnsi="Times New Roman;Times;Serif"/>
          <w:sz w:val="20"/>
        </w:rPr>
        <w:t xml:space="preserve"> sets forth a list of each insurance policy that covers the Company or its businesses, properties, assets, directors, officers or employees (the “</w:t>
      </w:r>
      <w:r>
        <w:rPr>
          <w:rFonts w:ascii="Times New Roman;Times;Serif" w:hAnsi="Times New Roman;Times;Serif"/>
          <w:b/>
          <w:sz w:val="20"/>
        </w:rPr>
        <w:t>Policies</w:t>
      </w:r>
      <w:r>
        <w:rPr>
          <w:rFonts w:ascii="Times New Roman;Times;Serif" w:hAnsi="Times New Roman;Times;Serif"/>
          <w:sz w:val="20"/>
        </w:rPr>
        <w:t>”). Such Policies are in full force and effect in all material respects and the Company is not in viol</w:t>
      </w:r>
      <w:r>
        <w:rPr>
          <w:rFonts w:ascii="Times New Roman;Times;Serif" w:hAnsi="Times New Roman;Times;Serif"/>
          <w:sz w:val="20"/>
        </w:rPr>
        <w:t>ation or breach of or default under any of its obligations under any such Policy, except where such default would not reasonably be expected to have, individually or in the aggregate, a Material Adverse Effect.</w:t>
      </w:r>
    </w:p>
    <w:p w14:paraId="7A96C5E4" w14:textId="77777777" w:rsidR="00E22AC0" w:rsidRDefault="00FC56F3">
      <w:pPr>
        <w:pStyle w:val="a3"/>
        <w:spacing w:after="0"/>
        <w:ind w:firstLine="720"/>
        <w:jc w:val="both"/>
      </w:pPr>
      <w:r>
        <w:t> </w:t>
      </w:r>
    </w:p>
    <w:p w14:paraId="0532AD59"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4.19 </w:t>
      </w:r>
      <w:r>
        <w:rPr>
          <w:rFonts w:ascii="Times New Roman;Times;Serif" w:hAnsi="Times New Roman;Times;Serif"/>
          <w:sz w:val="20"/>
          <w:u w:val="single"/>
        </w:rPr>
        <w:t>Inventory</w:t>
      </w:r>
      <w:r>
        <w:rPr>
          <w:rFonts w:ascii="Times New Roman;Times;Serif" w:hAnsi="Times New Roman;Times;Serif"/>
          <w:sz w:val="20"/>
        </w:rPr>
        <w:t>. The inventory of the Compan</w:t>
      </w:r>
      <w:r>
        <w:rPr>
          <w:rFonts w:ascii="Times New Roman;Times;Serif" w:hAnsi="Times New Roman;Times;Serif"/>
          <w:sz w:val="20"/>
        </w:rPr>
        <w:t>y consists of raw materials and supplies, manufactured and purchased parts, goods in process, and finished goods, all of which is merchantable and fit for the purpose for which it was procured or manufactured, and none of which is slow moving, obsolete, da</w:t>
      </w:r>
      <w:r>
        <w:rPr>
          <w:rFonts w:ascii="Times New Roman;Times;Serif" w:hAnsi="Times New Roman;Times;Serif"/>
          <w:sz w:val="20"/>
        </w:rPr>
        <w:t>maged, or defective, subject only to the reserve for inventory write down set forth on the face of the balance sheet included in the Interim Financial Statements (rather than in any notes thereto) as adjusted for the passage of time through the Closing Dat</w:t>
      </w:r>
      <w:r>
        <w:rPr>
          <w:rFonts w:ascii="Times New Roman;Times;Serif" w:hAnsi="Times New Roman;Times;Serif"/>
          <w:sz w:val="20"/>
        </w:rPr>
        <w:t>e in accordance with the past custom and practice of the Company.</w:t>
      </w:r>
    </w:p>
    <w:p w14:paraId="0430EA01" w14:textId="77777777" w:rsidR="00E22AC0" w:rsidRDefault="00FC56F3">
      <w:pPr>
        <w:pStyle w:val="a3"/>
        <w:spacing w:after="0"/>
        <w:ind w:firstLine="720"/>
        <w:jc w:val="both"/>
      </w:pPr>
      <w:r>
        <w:t> </w:t>
      </w:r>
    </w:p>
    <w:p w14:paraId="638DE474"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4.20 </w:t>
      </w:r>
      <w:r>
        <w:rPr>
          <w:rFonts w:ascii="Times New Roman;Times;Serif" w:hAnsi="Times New Roman;Times;Serif"/>
          <w:sz w:val="20"/>
          <w:u w:val="single"/>
        </w:rPr>
        <w:t>Notes and Accounts Receivable</w:t>
      </w:r>
      <w:r>
        <w:rPr>
          <w:rFonts w:ascii="Times New Roman;Times;Serif" w:hAnsi="Times New Roman;Times;Serif"/>
          <w:sz w:val="20"/>
        </w:rPr>
        <w:t>. All notes and accounts receivable of the Company are reflected properly on their books and records, are valid receivables subject to no setoffs or count</w:t>
      </w:r>
      <w:r>
        <w:rPr>
          <w:rFonts w:ascii="Times New Roman;Times;Serif" w:hAnsi="Times New Roman;Times;Serif"/>
          <w:sz w:val="20"/>
        </w:rPr>
        <w:t>erclaims, are current and collectible, and will be collected in accordance with their terms at their recorded amounts, subject only to the reserve for bad debts set forth on the face of the balance sheet included in the Interim Financial Statements (rather</w:t>
      </w:r>
      <w:r>
        <w:rPr>
          <w:rFonts w:ascii="Times New Roman;Times;Serif" w:hAnsi="Times New Roman;Times;Serif"/>
          <w:sz w:val="20"/>
        </w:rPr>
        <w:t xml:space="preserve"> than in any notes thereto) as adjusted for the passage of time through the Closing Date in accordance with the past custom and practice of the Company.</w:t>
      </w:r>
    </w:p>
    <w:p w14:paraId="558229E7" w14:textId="77777777" w:rsidR="00E22AC0" w:rsidRDefault="00FC56F3">
      <w:pPr>
        <w:pStyle w:val="a3"/>
        <w:spacing w:after="0"/>
        <w:ind w:firstLine="720"/>
        <w:jc w:val="both"/>
      </w:pPr>
      <w:r>
        <w:t> </w:t>
      </w:r>
    </w:p>
    <w:p w14:paraId="7D8E751B"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4.21 </w:t>
      </w:r>
      <w:r>
        <w:rPr>
          <w:rFonts w:ascii="Times New Roman;Times;Serif" w:hAnsi="Times New Roman;Times;Serif"/>
          <w:sz w:val="20"/>
          <w:u w:val="single"/>
        </w:rPr>
        <w:t>Powers of Attorney</w:t>
      </w:r>
      <w:r>
        <w:rPr>
          <w:rFonts w:ascii="Times New Roman;Times;Serif" w:hAnsi="Times New Roman;Times;Serif"/>
          <w:sz w:val="20"/>
        </w:rPr>
        <w:t>. There are no outstanding powers of attorney executed on behalf of any of the</w:t>
      </w:r>
      <w:r>
        <w:rPr>
          <w:rFonts w:ascii="Times New Roman;Times;Serif" w:hAnsi="Times New Roman;Times;Serif"/>
          <w:sz w:val="20"/>
        </w:rPr>
        <w:t xml:space="preserve"> Company.</w:t>
      </w:r>
    </w:p>
    <w:p w14:paraId="5D2F861E" w14:textId="77777777" w:rsidR="00E22AC0" w:rsidRDefault="00FC56F3">
      <w:pPr>
        <w:pStyle w:val="a3"/>
        <w:spacing w:after="0"/>
        <w:ind w:firstLine="720"/>
        <w:jc w:val="both"/>
      </w:pPr>
      <w:r>
        <w:t> </w:t>
      </w:r>
    </w:p>
    <w:p w14:paraId="033909BD"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4.22 </w:t>
      </w:r>
      <w:r>
        <w:rPr>
          <w:rFonts w:ascii="Times New Roman;Times;Serif" w:hAnsi="Times New Roman;Times;Serif"/>
          <w:sz w:val="20"/>
          <w:u w:val="single"/>
        </w:rPr>
        <w:t>Product Warranty</w:t>
      </w:r>
      <w:r>
        <w:rPr>
          <w:rFonts w:ascii="Times New Roman;Times;Serif" w:hAnsi="Times New Roman;Times;Serif"/>
          <w:sz w:val="20"/>
        </w:rPr>
        <w:t>. Each product manufactured, sold, leased, or delivered by the Company has been in conformity with all applicable contractual commitments and all express and implied warranties, and the Company has no Liability (and there i</w:t>
      </w:r>
      <w:r>
        <w:rPr>
          <w:rFonts w:ascii="Times New Roman;Times;Serif" w:hAnsi="Times New Roman;Times;Serif"/>
          <w:sz w:val="20"/>
        </w:rPr>
        <w:t>s no basis for any present or future action, suit, proceeding, hearing, investigation, charge, complaint, claim, or demand against any of them giving rise to any Liability) for replacement or repair thereof or other damages in connection therewith, subject</w:t>
      </w:r>
      <w:r>
        <w:rPr>
          <w:rFonts w:ascii="Times New Roman;Times;Serif" w:hAnsi="Times New Roman;Times;Serif"/>
          <w:sz w:val="20"/>
        </w:rPr>
        <w:t xml:space="preserve"> only to the reserve for product warranty claims set forth on the face of the balance sheet included in the Interim Financial Statements (rather than in any notes thereto) as adjusted for the passage of time through the Closing Date in accordance with the </w:t>
      </w:r>
      <w:r>
        <w:rPr>
          <w:rFonts w:ascii="Times New Roman;Times;Serif" w:hAnsi="Times New Roman;Times;Serif"/>
          <w:sz w:val="20"/>
        </w:rPr>
        <w:t xml:space="preserve">past custom and practice of the Company. No product manufactured, sold, leased, or delivered by the Company is subject to any guaranty, warranty, or other indemnity beyond the applicable standard terms and conditions of sale or lease. </w:t>
      </w:r>
      <w:r>
        <w:rPr>
          <w:rFonts w:ascii="Times New Roman;Times;Serif" w:hAnsi="Times New Roman;Times;Serif"/>
          <w:sz w:val="20"/>
          <w:u w:val="single"/>
        </w:rPr>
        <w:t>Section 4.22 of the D</w:t>
      </w:r>
      <w:r>
        <w:rPr>
          <w:rFonts w:ascii="Times New Roman;Times;Serif" w:hAnsi="Times New Roman;Times;Serif"/>
          <w:sz w:val="20"/>
          <w:u w:val="single"/>
        </w:rPr>
        <w:t>isclosure Schedule</w:t>
      </w:r>
      <w:r>
        <w:rPr>
          <w:rFonts w:ascii="Times New Roman;Times;Serif" w:hAnsi="Times New Roman;Times;Serif"/>
          <w:sz w:val="20"/>
        </w:rPr>
        <w:t xml:space="preserve"> includes copies of the standard terms and conditions of sale or lease for the Company (containing applicable guaranty, warranty, and indemnity provisions).</w:t>
      </w:r>
    </w:p>
    <w:p w14:paraId="3E374D29" w14:textId="77777777" w:rsidR="00E22AC0" w:rsidRDefault="00FC56F3">
      <w:pPr>
        <w:pStyle w:val="a3"/>
        <w:spacing w:after="0"/>
        <w:ind w:firstLine="720"/>
        <w:jc w:val="both"/>
      </w:pPr>
      <w:r>
        <w:t> </w:t>
      </w:r>
    </w:p>
    <w:p w14:paraId="6A97EBE5"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4.23 </w:t>
      </w:r>
      <w:r>
        <w:rPr>
          <w:rFonts w:ascii="Times New Roman;Times;Serif" w:hAnsi="Times New Roman;Times;Serif"/>
          <w:sz w:val="20"/>
          <w:u w:val="single"/>
        </w:rPr>
        <w:t>Product Liability</w:t>
      </w:r>
      <w:r>
        <w:rPr>
          <w:rFonts w:ascii="Times New Roman;Times;Serif" w:hAnsi="Times New Roman;Times;Serif"/>
          <w:sz w:val="20"/>
        </w:rPr>
        <w:t>. The Company has no Liability (and there is no basis for</w:t>
      </w:r>
      <w:r>
        <w:rPr>
          <w:rFonts w:ascii="Times New Roman;Times;Serif" w:hAnsi="Times New Roman;Times;Serif"/>
          <w:sz w:val="20"/>
        </w:rPr>
        <w:t xml:space="preserve"> any present or future action, suit, proceeding, hearing, investigation, charge, complaint, claim, or demand against any of them giving rise to any Liability) arising out of any injury to individuals or property as a result of the ownership, possession, or</w:t>
      </w:r>
      <w:r>
        <w:rPr>
          <w:rFonts w:ascii="Times New Roman;Times;Serif" w:hAnsi="Times New Roman;Times;Serif"/>
          <w:sz w:val="20"/>
        </w:rPr>
        <w:t xml:space="preserve"> use of any product manufactured, sold, leased, or delivered by the Company.</w:t>
      </w:r>
    </w:p>
    <w:p w14:paraId="6141A467" w14:textId="77777777" w:rsidR="00E22AC0" w:rsidRDefault="00FC56F3">
      <w:pPr>
        <w:pStyle w:val="a3"/>
        <w:spacing w:after="0"/>
        <w:ind w:firstLine="720"/>
        <w:jc w:val="both"/>
      </w:pPr>
      <w:r>
        <w:t> </w:t>
      </w:r>
    </w:p>
    <w:p w14:paraId="2E4CF90F"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4.24 </w:t>
      </w:r>
      <w:r>
        <w:rPr>
          <w:rFonts w:ascii="Times New Roman;Times;Serif" w:hAnsi="Times New Roman;Times;Serif"/>
          <w:sz w:val="20"/>
          <w:u w:val="single"/>
        </w:rPr>
        <w:t>Brokers’ Fees</w:t>
      </w:r>
      <w:r>
        <w:rPr>
          <w:rFonts w:ascii="Times New Roman;Times;Serif" w:hAnsi="Times New Roman;Times;Serif"/>
          <w:sz w:val="20"/>
        </w:rPr>
        <w:t xml:space="preserve">. Except as set forth in </w:t>
      </w:r>
      <w:r>
        <w:rPr>
          <w:rFonts w:ascii="Times New Roman;Times;Serif" w:hAnsi="Times New Roman;Times;Serif"/>
          <w:sz w:val="20"/>
          <w:u w:val="single"/>
        </w:rPr>
        <w:t>Section 4.24 of the Disclosure Schedule</w:t>
      </w:r>
      <w:r>
        <w:rPr>
          <w:rFonts w:ascii="Times New Roman;Times;Serif" w:hAnsi="Times New Roman;Times;Serif"/>
          <w:sz w:val="20"/>
        </w:rPr>
        <w:t>, which such fees shall be paid prior to or at Closing with the Company’s cash, the Company has</w:t>
      </w:r>
      <w:r>
        <w:rPr>
          <w:rFonts w:ascii="Times New Roman;Times;Serif" w:hAnsi="Times New Roman;Times;Serif"/>
          <w:sz w:val="20"/>
        </w:rPr>
        <w:t xml:space="preserve"> no Liability to pay any fees or commissions to any broker, finder or agent with respect to this Agreement, the Acquisition or the transactions contemplated by this Agreement.</w:t>
      </w:r>
    </w:p>
    <w:p w14:paraId="59FB6EAB" w14:textId="77777777" w:rsidR="00E22AC0" w:rsidRDefault="00FC56F3">
      <w:pPr>
        <w:pStyle w:val="a3"/>
        <w:spacing w:after="0"/>
        <w:ind w:firstLine="720"/>
        <w:jc w:val="both"/>
      </w:pPr>
      <w:r>
        <w:lastRenderedPageBreak/>
        <w:t> </w:t>
      </w:r>
    </w:p>
    <w:p w14:paraId="1DD17522"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18</w:t>
      </w:r>
    </w:p>
    <w:p w14:paraId="0787591F" w14:textId="77777777" w:rsidR="00E22AC0" w:rsidRDefault="00FC56F3">
      <w:pPr>
        <w:pStyle w:val="a3"/>
        <w:spacing w:after="0"/>
      </w:pPr>
      <w:r>
        <w:t> </w:t>
      </w:r>
    </w:p>
    <w:p w14:paraId="6E729D7A" w14:textId="77777777" w:rsidR="00E22AC0" w:rsidRDefault="00FC56F3">
      <w:pPr>
        <w:pStyle w:val="a3"/>
        <w:spacing w:after="0"/>
        <w:ind w:firstLine="720"/>
        <w:jc w:val="both"/>
      </w:pPr>
      <w:r>
        <w:t> </w:t>
      </w:r>
    </w:p>
    <w:p w14:paraId="3E103965"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4.25 </w:t>
      </w:r>
      <w:r>
        <w:rPr>
          <w:rFonts w:ascii="Times New Roman;Times;Serif" w:hAnsi="Times New Roman;Times;Serif"/>
          <w:sz w:val="20"/>
          <w:u w:val="single"/>
        </w:rPr>
        <w:t>Certain Business Relationships with the Company</w:t>
      </w:r>
      <w:r>
        <w:rPr>
          <w:rFonts w:ascii="Times New Roman;Times;Serif" w:hAnsi="Times New Roman;Times;Serif"/>
          <w:sz w:val="20"/>
        </w:rPr>
        <w:t xml:space="preserve">. Except as set forth in </w:t>
      </w:r>
      <w:r>
        <w:rPr>
          <w:rFonts w:ascii="Times New Roman;Times;Serif" w:hAnsi="Times New Roman;Times;Serif"/>
          <w:sz w:val="20"/>
          <w:u w:val="single"/>
        </w:rPr>
        <w:t>Section 4.25 of the Disclosure Schedule</w:t>
      </w:r>
      <w:r>
        <w:rPr>
          <w:rFonts w:ascii="Times New Roman;Times;Serif" w:hAnsi="Times New Roman;Times;Serif"/>
          <w:sz w:val="20"/>
        </w:rPr>
        <w:t xml:space="preserve">, neither the Sellers, nor any Affiliate of the Sellers, has been involved in any business arrangement or relationship with the Company within the past 12 months, and neither the Sellers, nor </w:t>
      </w:r>
      <w:r>
        <w:rPr>
          <w:rFonts w:ascii="Times New Roman;Times;Serif" w:hAnsi="Times New Roman;Times;Serif"/>
          <w:sz w:val="20"/>
        </w:rPr>
        <w:t>any Affiliate of the Sellers, owns any asset, tangible or intangible, which is used in the Business.</w:t>
      </w:r>
    </w:p>
    <w:p w14:paraId="0F76BD13" w14:textId="77777777" w:rsidR="00E22AC0" w:rsidRDefault="00FC56F3">
      <w:pPr>
        <w:pStyle w:val="a3"/>
        <w:spacing w:after="0"/>
        <w:ind w:firstLine="720"/>
        <w:jc w:val="both"/>
      </w:pPr>
      <w:r>
        <w:t> </w:t>
      </w:r>
    </w:p>
    <w:p w14:paraId="59402C29"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4.26 </w:t>
      </w:r>
      <w:r>
        <w:rPr>
          <w:rFonts w:ascii="Times New Roman;Times;Serif" w:hAnsi="Times New Roman;Times;Serif"/>
          <w:sz w:val="20"/>
          <w:u w:val="single"/>
        </w:rPr>
        <w:t>Disclosure</w:t>
      </w:r>
      <w:r>
        <w:rPr>
          <w:rFonts w:ascii="Times New Roman;Times;Serif" w:hAnsi="Times New Roman;Times;Serif"/>
          <w:sz w:val="20"/>
        </w:rPr>
        <w:t xml:space="preserve">. The representations and warranties contained in this Article IV do not contain any untrue statement of a material fact or omit to state </w:t>
      </w:r>
      <w:r>
        <w:rPr>
          <w:rFonts w:ascii="Times New Roman;Times;Serif" w:hAnsi="Times New Roman;Times;Serif"/>
          <w:sz w:val="20"/>
        </w:rPr>
        <w:t>any material fact necessary in order to make the statements and information contained in this Article IV not misleading.</w:t>
      </w:r>
    </w:p>
    <w:p w14:paraId="0DEB0BD2" w14:textId="77777777" w:rsidR="00E22AC0" w:rsidRDefault="00FC56F3">
      <w:pPr>
        <w:pStyle w:val="a3"/>
        <w:spacing w:after="0"/>
        <w:jc w:val="center"/>
      </w:pPr>
      <w:r>
        <w:t> </w:t>
      </w:r>
    </w:p>
    <w:p w14:paraId="0D31327C" w14:textId="77777777" w:rsidR="00E22AC0" w:rsidRDefault="00FC56F3">
      <w:pPr>
        <w:pStyle w:val="a3"/>
        <w:spacing w:after="0"/>
        <w:jc w:val="center"/>
        <w:rPr>
          <w:rFonts w:ascii="Times New Roman;Times;Serif" w:hAnsi="Times New Roman;Times;Serif"/>
          <w:sz w:val="20"/>
        </w:rPr>
      </w:pPr>
      <w:r>
        <w:rPr>
          <w:rFonts w:ascii="Times New Roman;Times;Serif" w:hAnsi="Times New Roman;Times;Serif"/>
          <w:sz w:val="20"/>
        </w:rPr>
        <w:t>ARTICLE V</w:t>
      </w:r>
      <w:r>
        <w:rPr>
          <w:rFonts w:ascii="Times New Roman;Times;Serif" w:hAnsi="Times New Roman;Times;Serif"/>
          <w:sz w:val="20"/>
        </w:rPr>
        <w:br/>
        <w:t>REPRESENTATIONS AND WARRANTIES OF THE BUYER</w:t>
      </w:r>
    </w:p>
    <w:p w14:paraId="336A858E" w14:textId="77777777" w:rsidR="00E22AC0" w:rsidRDefault="00FC56F3">
      <w:pPr>
        <w:pStyle w:val="a3"/>
        <w:spacing w:after="0"/>
        <w:jc w:val="both"/>
      </w:pPr>
      <w:r>
        <w:t> </w:t>
      </w:r>
    </w:p>
    <w:p w14:paraId="18926F81"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The Buyer represents and warrants to the Sellers that each statement containe</w:t>
      </w:r>
      <w:r>
        <w:rPr>
          <w:rFonts w:ascii="Times New Roman;Times;Serif" w:hAnsi="Times New Roman;Times;Serif"/>
          <w:sz w:val="20"/>
        </w:rPr>
        <w:t>d in this Article V is true and correct as of the date hereof.</w:t>
      </w:r>
    </w:p>
    <w:p w14:paraId="44CC7650" w14:textId="77777777" w:rsidR="00E22AC0" w:rsidRDefault="00FC56F3">
      <w:pPr>
        <w:pStyle w:val="a3"/>
        <w:spacing w:after="0"/>
        <w:ind w:firstLine="720"/>
        <w:jc w:val="both"/>
      </w:pPr>
      <w:r>
        <w:t> </w:t>
      </w:r>
    </w:p>
    <w:p w14:paraId="72E3BBB8"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5.1 </w:t>
      </w:r>
      <w:r>
        <w:rPr>
          <w:rFonts w:ascii="Times New Roman;Times;Serif" w:hAnsi="Times New Roman;Times;Serif"/>
          <w:sz w:val="20"/>
          <w:u w:val="single"/>
        </w:rPr>
        <w:t>Organization</w:t>
      </w:r>
      <w:r>
        <w:rPr>
          <w:rFonts w:ascii="Times New Roman;Times;Serif" w:hAnsi="Times New Roman;Times;Serif"/>
          <w:sz w:val="20"/>
        </w:rPr>
        <w:t>. The Buyer is a corporation, duly organized, validly existing and in good standing under the laws of the state of Delaware.</w:t>
      </w:r>
    </w:p>
    <w:p w14:paraId="25A567D3" w14:textId="77777777" w:rsidR="00E22AC0" w:rsidRDefault="00FC56F3">
      <w:pPr>
        <w:pStyle w:val="a3"/>
        <w:spacing w:after="0"/>
        <w:ind w:firstLine="720"/>
        <w:jc w:val="both"/>
      </w:pPr>
      <w:r>
        <w:t> </w:t>
      </w:r>
    </w:p>
    <w:p w14:paraId="558CC55F"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5.2 </w:t>
      </w:r>
      <w:r>
        <w:rPr>
          <w:rFonts w:ascii="Times New Roman;Times;Serif" w:hAnsi="Times New Roman;Times;Serif"/>
          <w:sz w:val="20"/>
          <w:u w:val="single"/>
        </w:rPr>
        <w:t>Authorization</w:t>
      </w:r>
      <w:r>
        <w:rPr>
          <w:rFonts w:ascii="Times New Roman;Times;Serif" w:hAnsi="Times New Roman;Times;Serif"/>
          <w:sz w:val="20"/>
        </w:rPr>
        <w:t xml:space="preserve">. The Buyer has the </w:t>
      </w:r>
      <w:r>
        <w:rPr>
          <w:rFonts w:ascii="Times New Roman;Times;Serif" w:hAnsi="Times New Roman;Times;Serif"/>
          <w:sz w:val="20"/>
        </w:rPr>
        <w:t>requisite power and authority to execute and deliver this Agreement, to perform its obligations hereunder and to consummate the transactions contemplated hereby. The execution, delivery and performance by the Buyer of this Agreement, and the consummation o</w:t>
      </w:r>
      <w:r>
        <w:rPr>
          <w:rFonts w:ascii="Times New Roman;Times;Serif" w:hAnsi="Times New Roman;Times;Serif"/>
          <w:sz w:val="20"/>
        </w:rPr>
        <w:t>f the transactions contemplated hereby, have been duly authorized by all necessary action, and no other action on the part of the Buyer is necessary to authorize this Agreement or to consummate the transactions contemplated hereby (other than compliance wi</w:t>
      </w:r>
      <w:r>
        <w:rPr>
          <w:rFonts w:ascii="Times New Roman;Times;Serif" w:hAnsi="Times New Roman;Times;Serif"/>
          <w:sz w:val="20"/>
        </w:rPr>
        <w:t>th the filing and notice requirements set forth in Section 5.3(b)(</w:t>
      </w:r>
      <w:proofErr w:type="spellStart"/>
      <w:r>
        <w:rPr>
          <w:rFonts w:ascii="Times New Roman;Times;Serif" w:hAnsi="Times New Roman;Times;Serif"/>
          <w:sz w:val="20"/>
        </w:rPr>
        <w:t>i</w:t>
      </w:r>
      <w:proofErr w:type="spellEnd"/>
      <w:r>
        <w:rPr>
          <w:rFonts w:ascii="Times New Roman;Times;Serif" w:hAnsi="Times New Roman;Times;Serif"/>
          <w:sz w:val="20"/>
        </w:rPr>
        <w:t>)). This Agreement has been duly executed and delivered by the Buyer and, assuming the due authorization, execution and delivery by each of the other parties hereto, constitutes a legal, va</w:t>
      </w:r>
      <w:r>
        <w:rPr>
          <w:rFonts w:ascii="Times New Roman;Times;Serif" w:hAnsi="Times New Roman;Times;Serif"/>
          <w:sz w:val="20"/>
        </w:rPr>
        <w:t>lid and binding obligation of the Buyer enforceable against the Buyer in accordance with its terms, except as limited by (a) bankruptcy, insolvency, reorganization, moratorium, fraudulent conveyance or other similar Laws relating to creditors’ rights gener</w:t>
      </w:r>
      <w:r>
        <w:rPr>
          <w:rFonts w:ascii="Times New Roman;Times;Serif" w:hAnsi="Times New Roman;Times;Serif"/>
          <w:sz w:val="20"/>
        </w:rPr>
        <w:t>ally and (b) general principles of equity, whether such enforceability is considered in a proceeding in equity or at Law.</w:t>
      </w:r>
    </w:p>
    <w:p w14:paraId="147C9E70" w14:textId="77777777" w:rsidR="00E22AC0" w:rsidRDefault="00FC56F3">
      <w:pPr>
        <w:pStyle w:val="a3"/>
        <w:spacing w:after="0"/>
        <w:ind w:firstLine="720"/>
        <w:jc w:val="both"/>
      </w:pPr>
      <w:r>
        <w:t> </w:t>
      </w:r>
    </w:p>
    <w:p w14:paraId="0BD6E8C3"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5.3 </w:t>
      </w:r>
      <w:proofErr w:type="spellStart"/>
      <w:r>
        <w:rPr>
          <w:rFonts w:ascii="Times New Roman;Times;Serif" w:hAnsi="Times New Roman;Times;Serif"/>
          <w:sz w:val="20"/>
          <w:u w:val="single"/>
        </w:rPr>
        <w:t>Noncontravention</w:t>
      </w:r>
      <w:proofErr w:type="spellEnd"/>
      <w:r>
        <w:rPr>
          <w:rFonts w:ascii="Times New Roman;Times;Serif" w:hAnsi="Times New Roman;Times;Serif"/>
          <w:sz w:val="20"/>
        </w:rPr>
        <w:t>.</w:t>
      </w:r>
    </w:p>
    <w:p w14:paraId="4EAC2B8C" w14:textId="77777777" w:rsidR="00E22AC0" w:rsidRDefault="00FC56F3">
      <w:pPr>
        <w:pStyle w:val="a3"/>
        <w:spacing w:after="0"/>
        <w:ind w:firstLine="1440"/>
        <w:jc w:val="both"/>
      </w:pPr>
      <w:r>
        <w:t> </w:t>
      </w:r>
    </w:p>
    <w:p w14:paraId="3E0F883B"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(a) Neither the execution and the delivery of this Agreement, nor the consummation of the Acquisition and th</w:t>
      </w:r>
      <w:r>
        <w:rPr>
          <w:rFonts w:ascii="Times New Roman;Times;Serif" w:hAnsi="Times New Roman;Times;Serif"/>
          <w:sz w:val="20"/>
        </w:rPr>
        <w:t>e other transactions contemplated by this Agreement, will, with or without the giving of notice or the lapse of time or both, (</w:t>
      </w:r>
      <w:proofErr w:type="spellStart"/>
      <w:r>
        <w:rPr>
          <w:rFonts w:ascii="Times New Roman;Times;Serif" w:hAnsi="Times New Roman;Times;Serif"/>
          <w:sz w:val="20"/>
        </w:rPr>
        <w:t>i</w:t>
      </w:r>
      <w:proofErr w:type="spellEnd"/>
      <w:r>
        <w:rPr>
          <w:rFonts w:ascii="Times New Roman;Times;Serif" w:hAnsi="Times New Roman;Times;Serif"/>
          <w:sz w:val="20"/>
        </w:rPr>
        <w:t>) violate any provision of the certificate of incorporation or bylaws (or comparable organization documents, as applicable) of t</w:t>
      </w:r>
      <w:r>
        <w:rPr>
          <w:rFonts w:ascii="Times New Roman;Times;Serif" w:hAnsi="Times New Roman;Times;Serif"/>
          <w:sz w:val="20"/>
        </w:rPr>
        <w:t>he Buyer, (ii) violate any Law applicable to the Buyer on the date hereof or (iii) violate any Contract to which the Buyer is a party, except in the case of clauses (ii) and (iii) to the extent that any such violation would not reasonably be expected to pr</w:t>
      </w:r>
      <w:r>
        <w:rPr>
          <w:rFonts w:ascii="Times New Roman;Times;Serif" w:hAnsi="Times New Roman;Times;Serif"/>
          <w:sz w:val="20"/>
        </w:rPr>
        <w:t>event or materially delay the consummation of the Acquisition and the other transactions contemplated by this Agreement.</w:t>
      </w:r>
    </w:p>
    <w:p w14:paraId="74EA0843" w14:textId="77777777" w:rsidR="00E22AC0" w:rsidRDefault="00FC56F3">
      <w:pPr>
        <w:pStyle w:val="a3"/>
        <w:spacing w:after="0"/>
        <w:ind w:firstLine="1440"/>
        <w:jc w:val="both"/>
      </w:pPr>
      <w:r>
        <w:t> </w:t>
      </w:r>
    </w:p>
    <w:p w14:paraId="514BE175" w14:textId="77777777" w:rsidR="00E22AC0" w:rsidRDefault="00FC56F3">
      <w:pPr>
        <w:pStyle w:val="a3"/>
        <w:spacing w:after="0"/>
        <w:ind w:firstLine="144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19</w:t>
      </w:r>
    </w:p>
    <w:p w14:paraId="67152DBA" w14:textId="77777777" w:rsidR="00E22AC0" w:rsidRDefault="00FC56F3">
      <w:pPr>
        <w:pStyle w:val="a3"/>
        <w:spacing w:after="0"/>
      </w:pPr>
      <w:r>
        <w:t> </w:t>
      </w:r>
    </w:p>
    <w:p w14:paraId="32882BD0" w14:textId="77777777" w:rsidR="00E22AC0" w:rsidRDefault="00FC56F3">
      <w:pPr>
        <w:pStyle w:val="a3"/>
        <w:spacing w:after="0"/>
        <w:ind w:firstLine="1440"/>
        <w:jc w:val="both"/>
      </w:pPr>
      <w:r>
        <w:t> </w:t>
      </w:r>
    </w:p>
    <w:p w14:paraId="2D058BFA"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 The execution and delivery of this Agreement by the Buyer does not, and the performance of this Agreement by the Buyer wil</w:t>
      </w:r>
      <w:r>
        <w:rPr>
          <w:rFonts w:ascii="Times New Roman;Times;Serif" w:hAnsi="Times New Roman;Times;Serif"/>
          <w:sz w:val="20"/>
        </w:rPr>
        <w:t>l not, require any consent, approval, authorization or Permit of, or filing with or notification to, any Governmental Entity, except for (</w:t>
      </w:r>
      <w:proofErr w:type="spellStart"/>
      <w:r>
        <w:rPr>
          <w:rFonts w:ascii="Times New Roman;Times;Serif" w:hAnsi="Times New Roman;Times;Serif"/>
          <w:sz w:val="20"/>
        </w:rPr>
        <w:t>i</w:t>
      </w:r>
      <w:proofErr w:type="spellEnd"/>
      <w:r>
        <w:rPr>
          <w:rFonts w:ascii="Times New Roman;Times;Serif" w:hAnsi="Times New Roman;Times;Serif"/>
          <w:sz w:val="20"/>
        </w:rPr>
        <w:t>) the filings set forth in Section 5.3(b)(</w:t>
      </w:r>
      <w:proofErr w:type="spellStart"/>
      <w:r>
        <w:rPr>
          <w:rFonts w:ascii="Times New Roman;Times;Serif" w:hAnsi="Times New Roman;Times;Serif"/>
          <w:sz w:val="20"/>
        </w:rPr>
        <w:t>i</w:t>
      </w:r>
      <w:proofErr w:type="spellEnd"/>
      <w:r>
        <w:rPr>
          <w:rFonts w:ascii="Times New Roman;Times;Serif" w:hAnsi="Times New Roman;Times;Serif"/>
          <w:sz w:val="20"/>
        </w:rPr>
        <w:t>) or (ii) where the failure to take such action would not reasonably be ex</w:t>
      </w:r>
      <w:r>
        <w:rPr>
          <w:rFonts w:ascii="Times New Roman;Times;Serif" w:hAnsi="Times New Roman;Times;Serif"/>
          <w:sz w:val="20"/>
        </w:rPr>
        <w:t>pected to have, individually or in the aggregate, a Material Adverse Effect.</w:t>
      </w:r>
    </w:p>
    <w:p w14:paraId="48D7BF40" w14:textId="77777777" w:rsidR="00E22AC0" w:rsidRDefault="00FC56F3">
      <w:pPr>
        <w:pStyle w:val="a3"/>
        <w:spacing w:after="0"/>
        <w:ind w:firstLine="1440"/>
        <w:jc w:val="both"/>
      </w:pPr>
      <w:r>
        <w:t> </w:t>
      </w:r>
    </w:p>
    <w:p w14:paraId="17D0D464"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(c) </w:t>
      </w:r>
      <w:r>
        <w:rPr>
          <w:rFonts w:ascii="Times New Roman;Times;Serif" w:hAnsi="Times New Roman;Times;Serif"/>
          <w:sz w:val="20"/>
          <w:u w:val="single"/>
        </w:rPr>
        <w:t>Brokers’ Fees</w:t>
      </w:r>
      <w:r>
        <w:rPr>
          <w:rFonts w:ascii="Times New Roman;Times;Serif" w:hAnsi="Times New Roman;Times;Serif"/>
          <w:sz w:val="20"/>
        </w:rPr>
        <w:t>. The Buyer has no Liability to pay any fees or commissions to any broker, finder or agent with respect to this Agreement, the Acquisition or the transactions c</w:t>
      </w:r>
      <w:r>
        <w:rPr>
          <w:rFonts w:ascii="Times New Roman;Times;Serif" w:hAnsi="Times New Roman;Times;Serif"/>
          <w:sz w:val="20"/>
        </w:rPr>
        <w:t>ontemplated by this Agreement that could result in any Liability being imposed on the Sellers or the Company.</w:t>
      </w:r>
    </w:p>
    <w:p w14:paraId="4170C783" w14:textId="77777777" w:rsidR="00E22AC0" w:rsidRDefault="00FC56F3">
      <w:pPr>
        <w:pStyle w:val="a3"/>
        <w:spacing w:after="0"/>
        <w:jc w:val="center"/>
      </w:pPr>
      <w:r>
        <w:t> </w:t>
      </w:r>
    </w:p>
    <w:p w14:paraId="1EA2B57F" w14:textId="77777777" w:rsidR="00E22AC0" w:rsidRDefault="00FC56F3">
      <w:pPr>
        <w:pStyle w:val="a3"/>
        <w:spacing w:after="0"/>
        <w:jc w:val="center"/>
        <w:rPr>
          <w:rFonts w:ascii="Times New Roman;Times;Serif" w:hAnsi="Times New Roman;Times;Serif"/>
          <w:sz w:val="20"/>
        </w:rPr>
      </w:pPr>
      <w:r>
        <w:rPr>
          <w:rFonts w:ascii="Times New Roman;Times;Serif" w:hAnsi="Times New Roman;Times;Serif"/>
          <w:sz w:val="20"/>
        </w:rPr>
        <w:t>ARTICLE VI</w:t>
      </w:r>
      <w:r>
        <w:rPr>
          <w:rFonts w:ascii="Times New Roman;Times;Serif" w:hAnsi="Times New Roman;Times;Serif"/>
          <w:sz w:val="20"/>
        </w:rPr>
        <w:br/>
      </w:r>
      <w:r>
        <w:rPr>
          <w:rFonts w:ascii="Times New Roman;Times;Serif" w:hAnsi="Times New Roman;Times;Serif"/>
          <w:sz w:val="20"/>
        </w:rPr>
        <w:lastRenderedPageBreak/>
        <w:t>REPRESENTATIONS AND WARRANTIES OF THE BUYER PARENT</w:t>
      </w:r>
    </w:p>
    <w:p w14:paraId="631998DC" w14:textId="77777777" w:rsidR="00E22AC0" w:rsidRDefault="00FC56F3">
      <w:pPr>
        <w:pStyle w:val="a3"/>
        <w:spacing w:after="0"/>
        <w:ind w:firstLine="720"/>
        <w:jc w:val="both"/>
      </w:pPr>
      <w:r>
        <w:t> </w:t>
      </w:r>
    </w:p>
    <w:p w14:paraId="680A13F3"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6.1 </w:t>
      </w:r>
      <w:r>
        <w:rPr>
          <w:rFonts w:ascii="Times New Roman;Times;Serif" w:hAnsi="Times New Roman;Times;Serif"/>
          <w:sz w:val="20"/>
          <w:u w:val="single"/>
        </w:rPr>
        <w:t>Organization</w:t>
      </w:r>
      <w:r>
        <w:rPr>
          <w:rFonts w:ascii="Times New Roman;Times;Serif" w:hAnsi="Times New Roman;Times;Serif"/>
          <w:sz w:val="20"/>
        </w:rPr>
        <w:t>. The Buyer Parent is a limited liability company, duly organize</w:t>
      </w:r>
      <w:r>
        <w:rPr>
          <w:rFonts w:ascii="Times New Roman;Times;Serif" w:hAnsi="Times New Roman;Times;Serif"/>
          <w:sz w:val="20"/>
        </w:rPr>
        <w:t>d, validly existing and in good standing under the laws of the State of Delaware.</w:t>
      </w:r>
    </w:p>
    <w:p w14:paraId="65AC3DEC" w14:textId="77777777" w:rsidR="00E22AC0" w:rsidRDefault="00FC56F3">
      <w:pPr>
        <w:pStyle w:val="a3"/>
        <w:spacing w:after="0"/>
        <w:ind w:firstLine="720"/>
        <w:jc w:val="both"/>
      </w:pPr>
      <w:r>
        <w:t> </w:t>
      </w:r>
    </w:p>
    <w:p w14:paraId="1BD06F1D"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6.2 </w:t>
      </w:r>
      <w:r>
        <w:rPr>
          <w:rFonts w:ascii="Times New Roman;Times;Serif" w:hAnsi="Times New Roman;Times;Serif"/>
          <w:sz w:val="20"/>
          <w:u w:val="single"/>
        </w:rPr>
        <w:t>Authorization</w:t>
      </w:r>
      <w:r>
        <w:rPr>
          <w:rFonts w:ascii="Times New Roman;Times;Serif" w:hAnsi="Times New Roman;Times;Serif"/>
          <w:sz w:val="20"/>
        </w:rPr>
        <w:t xml:space="preserve">. The Buyer Parent has the requisite power and authority to execute and deliver this Agreement, to perform its obligations hereunder and to </w:t>
      </w:r>
      <w:r>
        <w:rPr>
          <w:rFonts w:ascii="Times New Roman;Times;Serif" w:hAnsi="Times New Roman;Times;Serif"/>
          <w:sz w:val="20"/>
        </w:rPr>
        <w:t>consummate the transactions contemplated hereby. The execution, delivery and performance by the Buyer Parent of this Agreement, and the consummation of the transactions contemplated hereby, have been duly authorized by all necessary action, and no other ac</w:t>
      </w:r>
      <w:r>
        <w:rPr>
          <w:rFonts w:ascii="Times New Roman;Times;Serif" w:hAnsi="Times New Roman;Times;Serif"/>
          <w:sz w:val="20"/>
        </w:rPr>
        <w:t>tion on the part of the Buyer Parent is necessary to authorize this Agreement or to consummate the transactions contemplated hereby (other than compliance with the filing and notice requirements set forth in Section 6.3(b)(</w:t>
      </w:r>
      <w:proofErr w:type="spellStart"/>
      <w:r>
        <w:rPr>
          <w:rFonts w:ascii="Times New Roman;Times;Serif" w:hAnsi="Times New Roman;Times;Serif"/>
          <w:sz w:val="20"/>
        </w:rPr>
        <w:t>i</w:t>
      </w:r>
      <w:proofErr w:type="spellEnd"/>
      <w:r>
        <w:rPr>
          <w:rFonts w:ascii="Times New Roman;Times;Serif" w:hAnsi="Times New Roman;Times;Serif"/>
          <w:sz w:val="20"/>
        </w:rPr>
        <w:t>)). This Agreement has been duly</w:t>
      </w:r>
      <w:r>
        <w:rPr>
          <w:rFonts w:ascii="Times New Roman;Times;Serif" w:hAnsi="Times New Roman;Times;Serif"/>
          <w:sz w:val="20"/>
        </w:rPr>
        <w:t xml:space="preserve"> executed and delivered by the Buyer Parent and, assuming the due authorization, execution and delivery by each of the other parties hereto, constitutes a legal, valid and binding obligation of the Buyer Parent enforceable against the Buyer Parent in accor</w:t>
      </w:r>
      <w:r>
        <w:rPr>
          <w:rFonts w:ascii="Times New Roman;Times;Serif" w:hAnsi="Times New Roman;Times;Serif"/>
          <w:sz w:val="20"/>
        </w:rPr>
        <w:t>dance with its terms, except as limited by (a) bankruptcy, insolvency, reorganization, moratorium, fraudulent conveyance or other similar Laws relating to creditors’ rights generally and (b) general principles of equity, whether such enforceability is cons</w:t>
      </w:r>
      <w:r>
        <w:rPr>
          <w:rFonts w:ascii="Times New Roman;Times;Serif" w:hAnsi="Times New Roman;Times;Serif"/>
          <w:sz w:val="20"/>
        </w:rPr>
        <w:t>idered in a proceeding in equity or at Law.</w:t>
      </w:r>
    </w:p>
    <w:p w14:paraId="26435FFD" w14:textId="77777777" w:rsidR="00E22AC0" w:rsidRDefault="00FC56F3">
      <w:pPr>
        <w:pStyle w:val="a3"/>
        <w:spacing w:after="0"/>
        <w:ind w:firstLine="720"/>
        <w:jc w:val="both"/>
      </w:pPr>
      <w:r>
        <w:t> </w:t>
      </w:r>
    </w:p>
    <w:p w14:paraId="01C62616"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6.3 </w:t>
      </w:r>
      <w:proofErr w:type="spellStart"/>
      <w:r>
        <w:rPr>
          <w:rFonts w:ascii="Times New Roman;Times;Serif" w:hAnsi="Times New Roman;Times;Serif"/>
          <w:sz w:val="20"/>
          <w:u w:val="single"/>
        </w:rPr>
        <w:t>Noncontravention</w:t>
      </w:r>
      <w:proofErr w:type="spellEnd"/>
      <w:r>
        <w:rPr>
          <w:rFonts w:ascii="Times New Roman;Times;Serif" w:hAnsi="Times New Roman;Times;Serif"/>
          <w:sz w:val="20"/>
        </w:rPr>
        <w:t>.</w:t>
      </w:r>
    </w:p>
    <w:p w14:paraId="29AFBDCF" w14:textId="77777777" w:rsidR="00E22AC0" w:rsidRDefault="00FC56F3">
      <w:pPr>
        <w:pStyle w:val="a3"/>
        <w:spacing w:after="0"/>
        <w:ind w:firstLine="1440"/>
        <w:jc w:val="both"/>
      </w:pPr>
      <w:r>
        <w:t> </w:t>
      </w:r>
    </w:p>
    <w:p w14:paraId="5611814C"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Neither the execution and the delivery of this Agreement, nor the consummation of the Acquisition and the other transactions contemplated by this Agreement, will, with or </w:t>
      </w:r>
      <w:r>
        <w:rPr>
          <w:rFonts w:ascii="Times New Roman;Times;Serif" w:hAnsi="Times New Roman;Times;Serif"/>
          <w:sz w:val="20"/>
        </w:rPr>
        <w:t>without the giving of notice or the lapse of time or both, (</w:t>
      </w:r>
      <w:proofErr w:type="spellStart"/>
      <w:r>
        <w:rPr>
          <w:rFonts w:ascii="Times New Roman;Times;Serif" w:hAnsi="Times New Roman;Times;Serif"/>
          <w:sz w:val="20"/>
        </w:rPr>
        <w:t>i</w:t>
      </w:r>
      <w:proofErr w:type="spellEnd"/>
      <w:r>
        <w:rPr>
          <w:rFonts w:ascii="Times New Roman;Times;Serif" w:hAnsi="Times New Roman;Times;Serif"/>
          <w:sz w:val="20"/>
        </w:rPr>
        <w:t>) violate any provision of the certificate of incorporation or bylaws (or comparable organization documents, as applicable) of the Buyer Parent, (ii) violate any Law applicable to the Buyer Paren</w:t>
      </w:r>
      <w:r>
        <w:rPr>
          <w:rFonts w:ascii="Times New Roman;Times;Serif" w:hAnsi="Times New Roman;Times;Serif"/>
          <w:sz w:val="20"/>
        </w:rPr>
        <w:t xml:space="preserve">t on the date hereof or (iii) violate any Contract to which the Buyer Parent is a party, except in the case of clauses (ii) and (iii) to the extent that any such violation would not reasonably be expected to prevent or materially delay the consummation of </w:t>
      </w:r>
      <w:r>
        <w:rPr>
          <w:rFonts w:ascii="Times New Roman;Times;Serif" w:hAnsi="Times New Roman;Times;Serif"/>
          <w:sz w:val="20"/>
        </w:rPr>
        <w:t>the Acquisition and the other transactions contemplated by this Agreement.</w:t>
      </w:r>
    </w:p>
    <w:p w14:paraId="789A1BF2" w14:textId="77777777" w:rsidR="00E22AC0" w:rsidRDefault="00FC56F3">
      <w:pPr>
        <w:pStyle w:val="a3"/>
        <w:spacing w:after="0"/>
        <w:ind w:firstLine="1440"/>
        <w:jc w:val="both"/>
      </w:pPr>
      <w:r>
        <w:t> </w:t>
      </w:r>
    </w:p>
    <w:p w14:paraId="4B2EFCDD"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 The execution and delivery of this Agreement by the Buyer Parent does not, and the performance of this Agreement by the Buyer Parent will not, require any consent, approval, a</w:t>
      </w:r>
      <w:r>
        <w:rPr>
          <w:rFonts w:ascii="Times New Roman;Times;Serif" w:hAnsi="Times New Roman;Times;Serif"/>
          <w:sz w:val="20"/>
        </w:rPr>
        <w:t>uthorization or Permit of, or filing with or notification to, any Governmental Entity, except for (</w:t>
      </w:r>
      <w:proofErr w:type="spellStart"/>
      <w:r>
        <w:rPr>
          <w:rFonts w:ascii="Times New Roman;Times;Serif" w:hAnsi="Times New Roman;Times;Serif"/>
          <w:sz w:val="20"/>
        </w:rPr>
        <w:t>i</w:t>
      </w:r>
      <w:proofErr w:type="spellEnd"/>
      <w:r>
        <w:rPr>
          <w:rFonts w:ascii="Times New Roman;Times;Serif" w:hAnsi="Times New Roman;Times;Serif"/>
          <w:sz w:val="20"/>
        </w:rPr>
        <w:t>) the filings set forth in Section 5.3(b) (</w:t>
      </w:r>
      <w:proofErr w:type="spellStart"/>
      <w:r>
        <w:rPr>
          <w:rFonts w:ascii="Times New Roman;Times;Serif" w:hAnsi="Times New Roman;Times;Serif"/>
          <w:sz w:val="20"/>
        </w:rPr>
        <w:t>i</w:t>
      </w:r>
      <w:proofErr w:type="spellEnd"/>
      <w:r>
        <w:rPr>
          <w:rFonts w:ascii="Times New Roman;Times;Serif" w:hAnsi="Times New Roman;Times;Serif"/>
          <w:sz w:val="20"/>
        </w:rPr>
        <w:t>) or (ii) where the failure to take such action would not reasonably be expected to have, individually or in the</w:t>
      </w:r>
      <w:r>
        <w:rPr>
          <w:rFonts w:ascii="Times New Roman;Times;Serif" w:hAnsi="Times New Roman;Times;Serif"/>
          <w:sz w:val="20"/>
        </w:rPr>
        <w:t xml:space="preserve"> aggregate, a Material Adverse Effect.</w:t>
      </w:r>
    </w:p>
    <w:p w14:paraId="64A77E21" w14:textId="77777777" w:rsidR="00E22AC0" w:rsidRDefault="00FC56F3">
      <w:pPr>
        <w:pStyle w:val="a3"/>
        <w:spacing w:after="0"/>
        <w:ind w:firstLine="720"/>
        <w:jc w:val="both"/>
      </w:pPr>
      <w:r>
        <w:t> </w:t>
      </w:r>
    </w:p>
    <w:p w14:paraId="089E9BA6"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20</w:t>
      </w:r>
    </w:p>
    <w:p w14:paraId="47C5D2BF" w14:textId="77777777" w:rsidR="00E22AC0" w:rsidRDefault="00FC56F3">
      <w:pPr>
        <w:pStyle w:val="a3"/>
        <w:spacing w:after="0"/>
      </w:pPr>
      <w:r>
        <w:t> </w:t>
      </w:r>
    </w:p>
    <w:p w14:paraId="0B32C002" w14:textId="77777777" w:rsidR="00E22AC0" w:rsidRDefault="00FC56F3">
      <w:pPr>
        <w:pStyle w:val="a3"/>
        <w:spacing w:after="0"/>
        <w:ind w:firstLine="720"/>
        <w:jc w:val="both"/>
      </w:pPr>
      <w:r>
        <w:t> </w:t>
      </w:r>
    </w:p>
    <w:p w14:paraId="34FCBF4E"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6.4 </w:t>
      </w:r>
      <w:r>
        <w:rPr>
          <w:rFonts w:ascii="Times New Roman;Times;Serif" w:hAnsi="Times New Roman;Times;Serif"/>
          <w:sz w:val="20"/>
          <w:u w:val="single"/>
        </w:rPr>
        <w:t>Capitalization</w:t>
      </w:r>
      <w:r>
        <w:rPr>
          <w:rFonts w:ascii="Times New Roman;Times;Serif" w:hAnsi="Times New Roman;Times;Serif"/>
          <w:sz w:val="20"/>
        </w:rPr>
        <w:t>. The authorized capital of Buyer Parent consists, immediately prior to the Closing of Five Hundred Million (500,000,000) common shares of the Buyer Parent, 3,830,625 shares of which are iss</w:t>
      </w:r>
      <w:r>
        <w:rPr>
          <w:rFonts w:ascii="Times New Roman;Times;Serif" w:hAnsi="Times New Roman;Times;Serif"/>
          <w:sz w:val="20"/>
        </w:rPr>
        <w:t xml:space="preserve">ued and outstanding immediately prior to the Closing. All of the outstanding common shares of the Buyer Parent have been duly authorized, are fully paid and nonassessable and were issued in compliance with all applicable federal and state securities laws. </w:t>
      </w:r>
      <w:r>
        <w:rPr>
          <w:rFonts w:ascii="Times New Roman;Times;Serif" w:hAnsi="Times New Roman;Times;Serif"/>
          <w:sz w:val="20"/>
        </w:rPr>
        <w:t>Upon issuance pursuant to this Agreement, the Buyer Shares will be duly authorized, fully paid and nonassessable and issued in compliance with all applicable federal and state securities laws. Buyer Parent holds no common shares in its treasury. The rights</w:t>
      </w:r>
      <w:r>
        <w:rPr>
          <w:rFonts w:ascii="Times New Roman;Times;Serif" w:hAnsi="Times New Roman;Times;Serif"/>
          <w:sz w:val="20"/>
        </w:rPr>
        <w:t>, privileges and preferences of the common shares of Buyer Parent are as stated in Buyer Parent’s Second Amended and Restated Operating Agreement and as provided by the Delaware Limited Liability Company Act.</w:t>
      </w:r>
    </w:p>
    <w:p w14:paraId="5F43DE1D" w14:textId="77777777" w:rsidR="00E22AC0" w:rsidRDefault="00FC56F3">
      <w:pPr>
        <w:pStyle w:val="a3"/>
        <w:spacing w:after="0"/>
        <w:ind w:firstLine="720"/>
        <w:jc w:val="both"/>
      </w:pPr>
      <w:r>
        <w:t> </w:t>
      </w:r>
    </w:p>
    <w:p w14:paraId="49ACE304"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6.5 </w:t>
      </w:r>
      <w:r>
        <w:rPr>
          <w:rFonts w:ascii="Times New Roman;Times;Serif" w:hAnsi="Times New Roman;Times;Serif"/>
          <w:sz w:val="20"/>
          <w:u w:val="single"/>
        </w:rPr>
        <w:t>Brokers’ Fees</w:t>
      </w:r>
      <w:r>
        <w:rPr>
          <w:rFonts w:ascii="Times New Roman;Times;Serif" w:hAnsi="Times New Roman;Times;Serif"/>
          <w:sz w:val="20"/>
        </w:rPr>
        <w:t>. The Buyer Parent has no Li</w:t>
      </w:r>
      <w:r>
        <w:rPr>
          <w:rFonts w:ascii="Times New Roman;Times;Serif" w:hAnsi="Times New Roman;Times;Serif"/>
          <w:sz w:val="20"/>
        </w:rPr>
        <w:t>ability to pay any fees or commissions to any broker, finder or agent with respect to this Agreement, the Acquisition or the transactions contemplated by this Agreement that could result in any Liability being imposed on the Sellers or the Company.</w:t>
      </w:r>
    </w:p>
    <w:p w14:paraId="088DDA30" w14:textId="77777777" w:rsidR="00E22AC0" w:rsidRDefault="00FC56F3">
      <w:pPr>
        <w:pStyle w:val="a3"/>
        <w:spacing w:after="0"/>
        <w:jc w:val="center"/>
      </w:pPr>
      <w:r>
        <w:t> </w:t>
      </w:r>
    </w:p>
    <w:p w14:paraId="44F80CB9" w14:textId="77777777" w:rsidR="00E22AC0" w:rsidRDefault="00FC56F3">
      <w:pPr>
        <w:pStyle w:val="a3"/>
        <w:spacing w:after="0"/>
        <w:jc w:val="center"/>
        <w:rPr>
          <w:rFonts w:ascii="Times New Roman;Times;Serif" w:hAnsi="Times New Roman;Times;Serif"/>
          <w:sz w:val="20"/>
        </w:rPr>
      </w:pPr>
      <w:r>
        <w:rPr>
          <w:rFonts w:ascii="Times New Roman;Times;Serif" w:hAnsi="Times New Roman;Times;Serif"/>
          <w:sz w:val="20"/>
        </w:rPr>
        <w:t>ARTIC</w:t>
      </w:r>
      <w:r>
        <w:rPr>
          <w:rFonts w:ascii="Times New Roman;Times;Serif" w:hAnsi="Times New Roman;Times;Serif"/>
          <w:sz w:val="20"/>
        </w:rPr>
        <w:t>LE VII</w:t>
      </w:r>
      <w:r>
        <w:rPr>
          <w:rFonts w:ascii="Times New Roman;Times;Serif" w:hAnsi="Times New Roman;Times;Serif"/>
          <w:sz w:val="20"/>
        </w:rPr>
        <w:br/>
        <w:t>COVENANTS</w:t>
      </w:r>
    </w:p>
    <w:p w14:paraId="7B0CF244" w14:textId="77777777" w:rsidR="00E22AC0" w:rsidRDefault="00FC56F3">
      <w:pPr>
        <w:pStyle w:val="a3"/>
        <w:spacing w:after="0"/>
        <w:ind w:firstLine="720"/>
        <w:jc w:val="both"/>
      </w:pPr>
      <w:r>
        <w:t> </w:t>
      </w:r>
    </w:p>
    <w:p w14:paraId="3AB70B79"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7.1 </w:t>
      </w:r>
      <w:r>
        <w:rPr>
          <w:rFonts w:ascii="Times New Roman;Times;Serif" w:hAnsi="Times New Roman;Times;Serif"/>
          <w:sz w:val="20"/>
          <w:u w:val="single"/>
        </w:rPr>
        <w:t>Consents</w:t>
      </w:r>
      <w:r>
        <w:rPr>
          <w:rFonts w:ascii="Times New Roman;Times;Serif" w:hAnsi="Times New Roman;Times;Serif"/>
          <w:sz w:val="20"/>
        </w:rPr>
        <w:t>. The Company will use its commercially reasonable efforts to obtain any required third-party consents to the Acquisition and the other transactions contemplated by this Agreement in writing from each Person.</w:t>
      </w:r>
    </w:p>
    <w:p w14:paraId="1B3FE2AC" w14:textId="77777777" w:rsidR="00E22AC0" w:rsidRDefault="00FC56F3">
      <w:pPr>
        <w:pStyle w:val="a3"/>
        <w:spacing w:after="0"/>
        <w:ind w:firstLine="720"/>
        <w:jc w:val="both"/>
      </w:pPr>
      <w:r>
        <w:t> </w:t>
      </w:r>
    </w:p>
    <w:p w14:paraId="7CE79F6C"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7.2 </w:t>
      </w:r>
      <w:r>
        <w:rPr>
          <w:rFonts w:ascii="Times New Roman;Times;Serif" w:hAnsi="Times New Roman;Times;Serif"/>
          <w:sz w:val="20"/>
          <w:u w:val="single"/>
        </w:rPr>
        <w:t xml:space="preserve">Operation </w:t>
      </w:r>
      <w:r>
        <w:rPr>
          <w:rFonts w:ascii="Times New Roman;Times;Serif" w:hAnsi="Times New Roman;Times;Serif"/>
          <w:sz w:val="20"/>
          <w:u w:val="single"/>
        </w:rPr>
        <w:t>of the Company’s Business</w:t>
      </w:r>
      <w:r>
        <w:rPr>
          <w:rFonts w:ascii="Times New Roman;Times;Serif" w:hAnsi="Times New Roman;Times;Serif"/>
          <w:sz w:val="20"/>
        </w:rPr>
        <w:t>. During the period commencing on the date hereof and ending at the earlier of the Closing and the termination of this Agreement in accordance with Article IX, the Company, except (</w:t>
      </w:r>
      <w:proofErr w:type="spellStart"/>
      <w:r>
        <w:rPr>
          <w:rFonts w:ascii="Times New Roman;Times;Serif" w:hAnsi="Times New Roman;Times;Serif"/>
          <w:sz w:val="20"/>
        </w:rPr>
        <w:t>i</w:t>
      </w:r>
      <w:proofErr w:type="spellEnd"/>
      <w:r>
        <w:rPr>
          <w:rFonts w:ascii="Times New Roman;Times;Serif" w:hAnsi="Times New Roman;Times;Serif"/>
          <w:sz w:val="20"/>
        </w:rPr>
        <w:t xml:space="preserve">) as otherwise </w:t>
      </w:r>
      <w:r>
        <w:rPr>
          <w:rFonts w:ascii="Times New Roman;Times;Serif" w:hAnsi="Times New Roman;Times;Serif"/>
          <w:sz w:val="20"/>
        </w:rPr>
        <w:lastRenderedPageBreak/>
        <w:t>contemplated by this Agreement, (i</w:t>
      </w:r>
      <w:r>
        <w:rPr>
          <w:rFonts w:ascii="Times New Roman;Times;Serif" w:hAnsi="Times New Roman;Times;Serif"/>
          <w:sz w:val="20"/>
        </w:rPr>
        <w:t xml:space="preserve">i) as required by applicable Law or (iii) with the prior written consent of the Buyer (which consent will not be unreasonably withheld or delayed), will use commercially reasonable efforts to carry on its business in a manner consistent with past practice </w:t>
      </w:r>
      <w:r>
        <w:rPr>
          <w:rFonts w:ascii="Times New Roman;Times;Serif" w:hAnsi="Times New Roman;Times;Serif"/>
          <w:sz w:val="20"/>
        </w:rPr>
        <w:t>and not take any action or enter into any transaction that would result in the following:</w:t>
      </w:r>
    </w:p>
    <w:p w14:paraId="5CDBE240" w14:textId="77777777" w:rsidR="00E22AC0" w:rsidRDefault="00FC56F3">
      <w:pPr>
        <w:pStyle w:val="a3"/>
        <w:spacing w:after="0"/>
        <w:ind w:firstLine="1440"/>
        <w:jc w:val="both"/>
      </w:pPr>
      <w:r>
        <w:t> </w:t>
      </w:r>
    </w:p>
    <w:p w14:paraId="7A83A05E"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any change in the articles of incorporation, as amended or bylaws, as amended, of the Company or any amendment of any material term of any outstanding security </w:t>
      </w:r>
      <w:r>
        <w:rPr>
          <w:rFonts w:ascii="Times New Roman;Times;Serif" w:hAnsi="Times New Roman;Times;Serif"/>
          <w:sz w:val="20"/>
        </w:rPr>
        <w:t>of the Company;</w:t>
      </w:r>
    </w:p>
    <w:p w14:paraId="26AC1E4D" w14:textId="77777777" w:rsidR="00E22AC0" w:rsidRDefault="00FC56F3">
      <w:pPr>
        <w:pStyle w:val="a3"/>
        <w:spacing w:after="0"/>
        <w:ind w:firstLine="1440"/>
        <w:jc w:val="both"/>
      </w:pPr>
      <w:r>
        <w:t> </w:t>
      </w:r>
    </w:p>
    <w:p w14:paraId="34133608"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 any issuance or sale of any additional shares of, or rights of any kind to acquire any shares of, any capital stock of any class of the Company (whether through the issuance or granting of options or otherwise);</w:t>
      </w:r>
    </w:p>
    <w:p w14:paraId="600CA460" w14:textId="77777777" w:rsidR="00E22AC0" w:rsidRDefault="00FC56F3">
      <w:pPr>
        <w:pStyle w:val="a3"/>
        <w:spacing w:after="0"/>
        <w:ind w:firstLine="1440"/>
        <w:jc w:val="both"/>
      </w:pPr>
      <w:r>
        <w:t> </w:t>
      </w:r>
    </w:p>
    <w:p w14:paraId="600ADE0D"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(c) any incurrence, </w:t>
      </w:r>
      <w:r>
        <w:rPr>
          <w:rFonts w:ascii="Times New Roman;Times;Serif" w:hAnsi="Times New Roman;Times;Serif"/>
          <w:sz w:val="20"/>
        </w:rPr>
        <w:t>guarantee or assumption by the Company of any indebtedness for borrowed money other than in the ordinary course of business in amounts and on terms consistent with past practice;</w:t>
      </w:r>
    </w:p>
    <w:p w14:paraId="1BF57723" w14:textId="77777777" w:rsidR="00E22AC0" w:rsidRDefault="00FC56F3">
      <w:pPr>
        <w:pStyle w:val="a3"/>
        <w:spacing w:after="0"/>
        <w:ind w:firstLine="1440"/>
        <w:jc w:val="both"/>
      </w:pPr>
      <w:r>
        <w:t> </w:t>
      </w:r>
    </w:p>
    <w:p w14:paraId="32E82819"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(d) any distributions to the Sellers, other than expense reimbursements con</w:t>
      </w:r>
      <w:r>
        <w:rPr>
          <w:rFonts w:ascii="Times New Roman;Times;Serif" w:hAnsi="Times New Roman;Times;Serif"/>
          <w:sz w:val="20"/>
        </w:rPr>
        <w:t>sistent with past practice;</w:t>
      </w:r>
    </w:p>
    <w:p w14:paraId="0F570B45" w14:textId="77777777" w:rsidR="00E22AC0" w:rsidRDefault="00FC56F3">
      <w:pPr>
        <w:pStyle w:val="a3"/>
        <w:spacing w:after="0"/>
        <w:ind w:firstLine="1440"/>
        <w:jc w:val="both"/>
      </w:pPr>
      <w:r>
        <w:t> </w:t>
      </w:r>
    </w:p>
    <w:p w14:paraId="195814C9" w14:textId="77777777" w:rsidR="00E22AC0" w:rsidRDefault="00FC56F3">
      <w:pPr>
        <w:pStyle w:val="a3"/>
        <w:spacing w:after="0"/>
        <w:ind w:firstLine="144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21</w:t>
      </w:r>
    </w:p>
    <w:p w14:paraId="632217C4" w14:textId="77777777" w:rsidR="00E22AC0" w:rsidRDefault="00FC56F3">
      <w:pPr>
        <w:pStyle w:val="a3"/>
        <w:spacing w:after="0"/>
      </w:pPr>
      <w:r>
        <w:t> </w:t>
      </w:r>
    </w:p>
    <w:p w14:paraId="2DF6B59D" w14:textId="77777777" w:rsidR="00E22AC0" w:rsidRDefault="00FC56F3">
      <w:pPr>
        <w:pStyle w:val="a3"/>
        <w:spacing w:after="0"/>
        <w:ind w:firstLine="1440"/>
        <w:jc w:val="both"/>
      </w:pPr>
      <w:r>
        <w:t> </w:t>
      </w:r>
    </w:p>
    <w:p w14:paraId="6CA201BA"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(e) any change in any method of accounting, accounting principle or accounting practice by the Company which would reasonably be expected to have, individually or in the aggregate, a Material Adverse Effect;</w:t>
      </w:r>
    </w:p>
    <w:p w14:paraId="1E293788" w14:textId="77777777" w:rsidR="00E22AC0" w:rsidRDefault="00FC56F3">
      <w:pPr>
        <w:pStyle w:val="a3"/>
        <w:spacing w:after="0"/>
        <w:ind w:firstLine="1440"/>
        <w:jc w:val="both"/>
      </w:pPr>
      <w:r>
        <w:t> </w:t>
      </w:r>
    </w:p>
    <w:p w14:paraId="2E4412BB"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(f) except in the ordinary course of business (</w:t>
      </w:r>
      <w:proofErr w:type="spellStart"/>
      <w:r>
        <w:rPr>
          <w:rFonts w:ascii="Times New Roman;Times;Serif" w:hAnsi="Times New Roman;Times;Serif"/>
          <w:sz w:val="20"/>
        </w:rPr>
        <w:t>i</w:t>
      </w:r>
      <w:proofErr w:type="spellEnd"/>
      <w:r>
        <w:rPr>
          <w:rFonts w:ascii="Times New Roman;Times;Serif" w:hAnsi="Times New Roman;Times;Serif"/>
          <w:sz w:val="20"/>
        </w:rPr>
        <w:t xml:space="preserve">) any adoption or material amendment of any Company Benefit Plan, (ii) any entry into any collective bargaining agreement with any labor organization or union, (iii) any entry into an employment agreement or </w:t>
      </w:r>
      <w:r>
        <w:rPr>
          <w:rFonts w:ascii="Times New Roman;Times;Serif" w:hAnsi="Times New Roman;Times;Serif"/>
          <w:sz w:val="20"/>
        </w:rPr>
        <w:t xml:space="preserve">(iv) any increase in the rate of compensation to any employee in an amount that exceeds 10% of such employee’s current compensation; </w:t>
      </w:r>
      <w:r>
        <w:rPr>
          <w:rFonts w:ascii="Times New Roman;Times;Serif" w:hAnsi="Times New Roman;Times;Serif"/>
          <w:sz w:val="20"/>
          <w:u w:val="single"/>
        </w:rPr>
        <w:t>provided</w:t>
      </w:r>
      <w:r>
        <w:rPr>
          <w:rFonts w:ascii="Times New Roman;Times;Serif" w:hAnsi="Times New Roman;Times;Serif"/>
          <w:sz w:val="20"/>
        </w:rPr>
        <w:t>, that the Company may (A) take any such action for employees in the ordinary course of business or pursuant to any</w:t>
      </w:r>
      <w:r>
        <w:rPr>
          <w:rFonts w:ascii="Times New Roman;Times;Serif" w:hAnsi="Times New Roman;Times;Serif"/>
          <w:sz w:val="20"/>
        </w:rPr>
        <w:t xml:space="preserve"> existing Contracts or Company Benefit Plans and (B) adopt or amend any Company Benefit Plan if the cost to such Person of providing benefits thereunder is not materially increased;</w:t>
      </w:r>
    </w:p>
    <w:p w14:paraId="048F5DDD" w14:textId="77777777" w:rsidR="00E22AC0" w:rsidRDefault="00FC56F3">
      <w:pPr>
        <w:pStyle w:val="a3"/>
        <w:spacing w:after="0"/>
        <w:ind w:firstLine="1440"/>
        <w:jc w:val="both"/>
      </w:pPr>
      <w:r>
        <w:t> </w:t>
      </w:r>
    </w:p>
    <w:p w14:paraId="0B10972B"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(g) except in the ordinary course of business, any cancellation, modific</w:t>
      </w:r>
      <w:r>
        <w:rPr>
          <w:rFonts w:ascii="Times New Roman;Times;Serif" w:hAnsi="Times New Roman;Times;Serif"/>
          <w:sz w:val="20"/>
        </w:rPr>
        <w:t>ation, termination or grant of waiver of any material Permits or Contracts to which the Company is a party, which cancellation, modification, termination or grant of waiver would, individually or in the aggregate, have a Material Adverse Effect;</w:t>
      </w:r>
    </w:p>
    <w:p w14:paraId="168402B9" w14:textId="77777777" w:rsidR="00E22AC0" w:rsidRDefault="00FC56F3">
      <w:pPr>
        <w:pStyle w:val="a3"/>
        <w:spacing w:after="0"/>
        <w:ind w:firstLine="1440"/>
        <w:jc w:val="both"/>
      </w:pPr>
      <w:r>
        <w:t> </w:t>
      </w:r>
    </w:p>
    <w:p w14:paraId="61692C3A"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(h) any </w:t>
      </w:r>
      <w:r>
        <w:rPr>
          <w:rFonts w:ascii="Times New Roman;Times;Serif" w:hAnsi="Times New Roman;Times;Serif"/>
          <w:sz w:val="20"/>
        </w:rPr>
        <w:t xml:space="preserve">change in the Tax elections made by the Company or in any accounting method used by the Company for Tax purposes, where such Tax election or change in accounting method may have a material effect upon the Tax Liability of the Company for any period or set </w:t>
      </w:r>
      <w:r>
        <w:rPr>
          <w:rFonts w:ascii="Times New Roman;Times;Serif" w:hAnsi="Times New Roman;Times;Serif"/>
          <w:sz w:val="20"/>
        </w:rPr>
        <w:t>of periods, or the settlement or compromise of any material income Tax Liability of the Company;</w:t>
      </w:r>
    </w:p>
    <w:p w14:paraId="1AD28FAE" w14:textId="77777777" w:rsidR="00E22AC0" w:rsidRDefault="00FC56F3">
      <w:pPr>
        <w:pStyle w:val="a3"/>
        <w:spacing w:after="0"/>
        <w:ind w:firstLine="1440"/>
        <w:jc w:val="both"/>
      </w:pPr>
      <w:r>
        <w:t> </w:t>
      </w:r>
    </w:p>
    <w:p w14:paraId="1ADEBB30"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except in the ordinary course of business, any acquisition or disposition of any business or any material property or asset of any Person (whether by mer</w:t>
      </w:r>
      <w:r>
        <w:rPr>
          <w:rFonts w:ascii="Times New Roman;Times;Serif" w:hAnsi="Times New Roman;Times;Serif"/>
          <w:sz w:val="20"/>
        </w:rPr>
        <w:t>ger, consolidation or otherwise) by the Company;</w:t>
      </w:r>
    </w:p>
    <w:p w14:paraId="6DBFE405" w14:textId="77777777" w:rsidR="00E22AC0" w:rsidRDefault="00FC56F3">
      <w:pPr>
        <w:pStyle w:val="a3"/>
        <w:spacing w:after="0"/>
        <w:ind w:firstLine="1440"/>
        <w:jc w:val="both"/>
      </w:pPr>
      <w:r>
        <w:t> </w:t>
      </w:r>
    </w:p>
    <w:p w14:paraId="759B8DDF"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(j) any grant of a Lien on any properties and assets of the Company that would have, individually or in the aggregate, a Material Adverse Effect;</w:t>
      </w:r>
    </w:p>
    <w:p w14:paraId="6B9EA02A" w14:textId="77777777" w:rsidR="00E22AC0" w:rsidRDefault="00FC56F3">
      <w:pPr>
        <w:pStyle w:val="a3"/>
        <w:spacing w:after="0"/>
        <w:ind w:firstLine="1440"/>
        <w:jc w:val="both"/>
      </w:pPr>
      <w:r>
        <w:t> </w:t>
      </w:r>
    </w:p>
    <w:p w14:paraId="3F736AB6"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(k) any entry into any agreement or commitment to do any </w:t>
      </w:r>
      <w:r>
        <w:rPr>
          <w:rFonts w:ascii="Times New Roman;Times;Serif" w:hAnsi="Times New Roman;Times;Serif"/>
          <w:sz w:val="20"/>
        </w:rPr>
        <w:t>of the foregoing.</w:t>
      </w:r>
    </w:p>
    <w:p w14:paraId="49D1A0E8" w14:textId="77777777" w:rsidR="00E22AC0" w:rsidRDefault="00FC56F3">
      <w:pPr>
        <w:pStyle w:val="a3"/>
        <w:spacing w:after="0"/>
        <w:ind w:firstLine="720"/>
        <w:jc w:val="both"/>
      </w:pPr>
      <w:r>
        <w:t> </w:t>
      </w:r>
    </w:p>
    <w:p w14:paraId="0A16C77D"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7.3 </w:t>
      </w:r>
      <w:r>
        <w:rPr>
          <w:rFonts w:ascii="Times New Roman;Times;Serif" w:hAnsi="Times New Roman;Times;Serif"/>
          <w:sz w:val="20"/>
          <w:u w:val="single"/>
        </w:rPr>
        <w:t>Access</w:t>
      </w:r>
      <w:r>
        <w:rPr>
          <w:rFonts w:ascii="Times New Roman;Times;Serif" w:hAnsi="Times New Roman;Times;Serif"/>
          <w:sz w:val="20"/>
        </w:rPr>
        <w:t>. The Company will permit the Buyer and its Representatives to have reasonable access at all reasonable times, and in a manner so as not to interfere with the normal business operations of the Company, to the premises, propert</w:t>
      </w:r>
      <w:r>
        <w:rPr>
          <w:rFonts w:ascii="Times New Roman;Times;Serif" w:hAnsi="Times New Roman;Times;Serif"/>
          <w:sz w:val="20"/>
        </w:rPr>
        <w:t>ies, personnel, books, records (including Tax records), Contracts and documents of or pertaining to the Company.</w:t>
      </w:r>
    </w:p>
    <w:p w14:paraId="26EFCCC5" w14:textId="77777777" w:rsidR="00E22AC0" w:rsidRDefault="00FC56F3">
      <w:pPr>
        <w:pStyle w:val="a3"/>
        <w:spacing w:after="0"/>
        <w:ind w:firstLine="720"/>
        <w:jc w:val="both"/>
      </w:pPr>
      <w:r>
        <w:t> </w:t>
      </w:r>
    </w:p>
    <w:p w14:paraId="588F6A8C"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7.4 </w:t>
      </w:r>
      <w:r>
        <w:rPr>
          <w:rFonts w:ascii="Times New Roman;Times;Serif" w:hAnsi="Times New Roman;Times;Serif"/>
          <w:sz w:val="20"/>
          <w:u w:val="single"/>
        </w:rPr>
        <w:t>Transfer of Cash and Cash Equivalents</w:t>
      </w:r>
      <w:r>
        <w:rPr>
          <w:rFonts w:ascii="Times New Roman;Times;Serif" w:hAnsi="Times New Roman;Times;Serif"/>
          <w:sz w:val="20"/>
        </w:rPr>
        <w:t xml:space="preserve">. On or prior to the Closing, the Company and Sellers will transfer, or cause to be distributed all </w:t>
      </w:r>
      <w:r>
        <w:rPr>
          <w:rFonts w:ascii="Times New Roman;Times;Serif" w:hAnsi="Times New Roman;Times;Serif"/>
          <w:sz w:val="20"/>
        </w:rPr>
        <w:t>cash and cash equivalents of the Company to, among other things, pay any fees owed by Company to brokers or advisors (including termination fees under any advisory agreement) and any indebtedness for borrowed money; provided, however, that the Company shal</w:t>
      </w:r>
      <w:r>
        <w:rPr>
          <w:rFonts w:ascii="Times New Roman;Times;Serif" w:hAnsi="Times New Roman;Times;Serif"/>
          <w:sz w:val="20"/>
        </w:rPr>
        <w:t>l have an amount in cash in its corporate bank account and on hand at its store locations at the Closing that is equal to $91,000 in the aggregate.</w:t>
      </w:r>
    </w:p>
    <w:p w14:paraId="10F7538E" w14:textId="77777777" w:rsidR="00E22AC0" w:rsidRDefault="00FC56F3">
      <w:pPr>
        <w:pStyle w:val="a3"/>
        <w:spacing w:after="0"/>
        <w:ind w:firstLine="720"/>
        <w:jc w:val="both"/>
      </w:pPr>
      <w:r>
        <w:t> </w:t>
      </w:r>
    </w:p>
    <w:p w14:paraId="7B4D2821"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lastRenderedPageBreak/>
        <w:t>22</w:t>
      </w:r>
    </w:p>
    <w:p w14:paraId="5A096702" w14:textId="77777777" w:rsidR="00E22AC0" w:rsidRDefault="00FC56F3">
      <w:pPr>
        <w:pStyle w:val="a3"/>
        <w:spacing w:after="0"/>
      </w:pPr>
      <w:r>
        <w:t> </w:t>
      </w:r>
    </w:p>
    <w:p w14:paraId="35C19CA8" w14:textId="77777777" w:rsidR="00E22AC0" w:rsidRDefault="00FC56F3">
      <w:pPr>
        <w:pStyle w:val="a3"/>
        <w:spacing w:after="0"/>
        <w:ind w:firstLine="720"/>
        <w:jc w:val="both"/>
      </w:pPr>
      <w:r>
        <w:t> </w:t>
      </w:r>
    </w:p>
    <w:p w14:paraId="5FA3A635"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7.5 </w:t>
      </w:r>
      <w:r>
        <w:rPr>
          <w:rFonts w:ascii="Times New Roman;Times;Serif" w:hAnsi="Times New Roman;Times;Serif"/>
          <w:sz w:val="20"/>
          <w:u w:val="single"/>
        </w:rPr>
        <w:t>Notice of Developments</w:t>
      </w:r>
      <w:r>
        <w:rPr>
          <w:rFonts w:ascii="Times New Roman;Times;Serif" w:hAnsi="Times New Roman;Times;Serif"/>
          <w:sz w:val="20"/>
        </w:rPr>
        <w:t xml:space="preserve">. The Sellers and the Company will give prompt written notice to the </w:t>
      </w:r>
      <w:r>
        <w:rPr>
          <w:rFonts w:ascii="Times New Roman;Times;Serif" w:hAnsi="Times New Roman;Times;Serif"/>
          <w:sz w:val="20"/>
        </w:rPr>
        <w:t>Buyer of any event that would reasonably be expected to give rise to, individually or in the aggregate, a Material Adverse Effect or would reasonably be expected to cause a breach of any of its respective representations, warranties, covenants or other agr</w:t>
      </w:r>
      <w:r>
        <w:rPr>
          <w:rFonts w:ascii="Times New Roman;Times;Serif" w:hAnsi="Times New Roman;Times;Serif"/>
          <w:sz w:val="20"/>
        </w:rPr>
        <w:t>eements contained herein. The Buyer will give prompt written notice to the Sellers and the Company of any event that could reasonably be expected to cause a breach of any of its representations, warranties, covenants or other agreements contained herein or</w:t>
      </w:r>
      <w:r>
        <w:rPr>
          <w:rFonts w:ascii="Times New Roman;Times;Serif" w:hAnsi="Times New Roman;Times;Serif"/>
          <w:sz w:val="20"/>
        </w:rPr>
        <w:t xml:space="preserve"> could reasonably be expected to, individually or in the aggregate, prevent or materially delay the consummation of the Acquisition and the other transactions contemplated by this Agreement. The delivery of any notice pursuant to this Section 7.5 will not </w:t>
      </w:r>
      <w:r>
        <w:rPr>
          <w:rFonts w:ascii="Times New Roman;Times;Serif" w:hAnsi="Times New Roman;Times;Serif"/>
          <w:sz w:val="20"/>
        </w:rPr>
        <w:t>limit, expand or otherwise affect the remedies available hereunder (if any) to the party receiving such notice.</w:t>
      </w:r>
    </w:p>
    <w:p w14:paraId="242C1C8B" w14:textId="77777777" w:rsidR="00E22AC0" w:rsidRDefault="00FC56F3">
      <w:pPr>
        <w:pStyle w:val="a3"/>
        <w:spacing w:after="0"/>
        <w:ind w:firstLine="720"/>
        <w:jc w:val="both"/>
      </w:pPr>
      <w:r>
        <w:t> </w:t>
      </w:r>
    </w:p>
    <w:p w14:paraId="4B4FB971"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7.6 </w:t>
      </w:r>
      <w:r>
        <w:rPr>
          <w:rFonts w:ascii="Times New Roman;Times;Serif" w:hAnsi="Times New Roman;Times;Serif"/>
          <w:sz w:val="20"/>
          <w:u w:val="single"/>
        </w:rPr>
        <w:t>No Solicitation</w:t>
      </w:r>
      <w:r>
        <w:rPr>
          <w:rFonts w:ascii="Times New Roman;Times;Serif" w:hAnsi="Times New Roman;Times;Serif"/>
          <w:sz w:val="20"/>
        </w:rPr>
        <w:t>.</w:t>
      </w:r>
    </w:p>
    <w:p w14:paraId="4C89FFB0" w14:textId="77777777" w:rsidR="00E22AC0" w:rsidRDefault="00FC56F3">
      <w:pPr>
        <w:pStyle w:val="a3"/>
        <w:spacing w:after="0"/>
        <w:ind w:firstLine="1440"/>
        <w:jc w:val="both"/>
      </w:pPr>
      <w:r>
        <w:t> </w:t>
      </w:r>
    </w:p>
    <w:p w14:paraId="6522E265"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(a) The Sellers and the Company will, and will cause each of their Representatives to, cease immediately any existing d</w:t>
      </w:r>
      <w:r>
        <w:rPr>
          <w:rFonts w:ascii="Times New Roman;Times;Serif" w:hAnsi="Times New Roman;Times;Serif"/>
          <w:sz w:val="20"/>
        </w:rPr>
        <w:t>iscussions regarding a Transaction Proposal.</w:t>
      </w:r>
    </w:p>
    <w:p w14:paraId="06542645" w14:textId="77777777" w:rsidR="00E22AC0" w:rsidRDefault="00FC56F3">
      <w:pPr>
        <w:pStyle w:val="a3"/>
        <w:spacing w:after="0"/>
        <w:ind w:firstLine="1440"/>
        <w:jc w:val="both"/>
      </w:pPr>
      <w:r>
        <w:t> </w:t>
      </w:r>
    </w:p>
    <w:p w14:paraId="654CD5EB"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(b) From and after the date of this Agreement, without the prior consent of the Buyer, none of the Sellers nor the Company will, nor will they authorize or permit any of their respective </w:t>
      </w:r>
      <w:r>
        <w:rPr>
          <w:rFonts w:ascii="Times New Roman;Times;Serif" w:hAnsi="Times New Roman;Times;Serif"/>
          <w:sz w:val="20"/>
        </w:rPr>
        <w:t>Representatives to, directly or indirectly through another Person to, (</w:t>
      </w:r>
      <w:proofErr w:type="spellStart"/>
      <w:r>
        <w:rPr>
          <w:rFonts w:ascii="Times New Roman;Times;Serif" w:hAnsi="Times New Roman;Times;Serif"/>
          <w:sz w:val="20"/>
        </w:rPr>
        <w:t>i</w:t>
      </w:r>
      <w:proofErr w:type="spellEnd"/>
      <w:r>
        <w:rPr>
          <w:rFonts w:ascii="Times New Roman;Times;Serif" w:hAnsi="Times New Roman;Times;Serif"/>
          <w:sz w:val="20"/>
        </w:rPr>
        <w:t>) solicit, initiate or encourage (including by way of furnishing information), or take any other action designed to facilitate any inquiries, proposals or offers from any Person that c</w:t>
      </w:r>
      <w:r>
        <w:rPr>
          <w:rFonts w:ascii="Times New Roman;Times;Serif" w:hAnsi="Times New Roman;Times;Serif"/>
          <w:sz w:val="20"/>
        </w:rPr>
        <w:t>onstitute, or would reasonably be expected to constitute, a Transaction Proposal, (ii) participate in any discussions or negotiations (including by way of furnishing information) regarding any Transaction Proposal or (iii) otherwise cooperate in any way wi</w:t>
      </w:r>
      <w:r>
        <w:rPr>
          <w:rFonts w:ascii="Times New Roman;Times;Serif" w:hAnsi="Times New Roman;Times;Serif"/>
          <w:sz w:val="20"/>
        </w:rPr>
        <w:t>th, or assist or participate in, facilitate or encourage, any effort or attempt by any other Person to do or seek any of the foregoing.</w:t>
      </w:r>
    </w:p>
    <w:p w14:paraId="4FB782B2" w14:textId="77777777" w:rsidR="00E22AC0" w:rsidRDefault="00FC56F3">
      <w:pPr>
        <w:pStyle w:val="a3"/>
        <w:spacing w:after="0"/>
        <w:ind w:firstLine="1440"/>
        <w:jc w:val="both"/>
      </w:pPr>
      <w:r>
        <w:t> </w:t>
      </w:r>
    </w:p>
    <w:p w14:paraId="4E1DB6D6"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(c) In addition, the Sellers shall immediately communicate to the Buyer the terms of any Transaction Proposal received</w:t>
      </w:r>
      <w:r>
        <w:rPr>
          <w:rFonts w:ascii="Times New Roman;Times;Serif" w:hAnsi="Times New Roman;Times;Serif"/>
          <w:sz w:val="20"/>
        </w:rPr>
        <w:t xml:space="preserve"> by any of the Sellers or the Company, or any of their Representatives.</w:t>
      </w:r>
    </w:p>
    <w:p w14:paraId="64FC1737" w14:textId="77777777" w:rsidR="00E22AC0" w:rsidRDefault="00FC56F3">
      <w:pPr>
        <w:pStyle w:val="a3"/>
        <w:spacing w:after="0"/>
        <w:ind w:firstLine="720"/>
        <w:jc w:val="both"/>
      </w:pPr>
      <w:r>
        <w:t> </w:t>
      </w:r>
    </w:p>
    <w:p w14:paraId="36139344"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7.7 </w:t>
      </w:r>
      <w:r>
        <w:rPr>
          <w:rFonts w:ascii="Times New Roman;Times;Serif" w:hAnsi="Times New Roman;Times;Serif"/>
          <w:sz w:val="20"/>
          <w:u w:val="single"/>
        </w:rPr>
        <w:t>Confidentiality</w:t>
      </w:r>
      <w:r>
        <w:rPr>
          <w:rFonts w:ascii="Times New Roman;Times;Serif" w:hAnsi="Times New Roman;Times;Serif"/>
          <w:sz w:val="20"/>
        </w:rPr>
        <w:t>. Reference is made to that certain Non-Disclosure Agreement, executed by Buyer on April 8, 2020, in connection with this transaction (the “</w:t>
      </w:r>
      <w:r>
        <w:rPr>
          <w:rFonts w:ascii="Times New Roman;Times;Serif" w:hAnsi="Times New Roman;Times;Serif"/>
          <w:b/>
          <w:sz w:val="20"/>
        </w:rPr>
        <w:t>Confidentiality Agreeme</w:t>
      </w:r>
      <w:r>
        <w:rPr>
          <w:rFonts w:ascii="Times New Roman;Times;Serif" w:hAnsi="Times New Roman;Times;Serif"/>
          <w:b/>
          <w:sz w:val="20"/>
        </w:rPr>
        <w:t>nt</w:t>
      </w:r>
      <w:r>
        <w:rPr>
          <w:rFonts w:ascii="Times New Roman;Times;Serif" w:hAnsi="Times New Roman;Times;Serif"/>
          <w:sz w:val="20"/>
        </w:rPr>
        <w:t>”).  Buyer acknowledges and agrees that the Confidentiality Agreement remains and shall remain in full force and effect and, in addition, covenants and agrees to keep confidential, in accordance with the provisions of the Confidentiality Agreement, infor</w:t>
      </w:r>
      <w:r>
        <w:rPr>
          <w:rFonts w:ascii="Times New Roman;Times;Serif" w:hAnsi="Times New Roman;Times;Serif"/>
          <w:sz w:val="20"/>
        </w:rPr>
        <w:t>mation provided to Buyer pursuant to this Agreement provided; however, that prior to the Closing, in addition to any exclusions set forth in the Confidentiality Agreement, “Confidential Information” as defined in the Confidentiality Agreement shall not inc</w:t>
      </w:r>
      <w:r>
        <w:rPr>
          <w:rFonts w:ascii="Times New Roman;Times;Serif" w:hAnsi="Times New Roman;Times;Serif"/>
          <w:sz w:val="20"/>
        </w:rPr>
        <w:t>lude information which is disclosed pursuant to Applicable Law, the Securities Exchange Act of 1934, as amended, and applicable rules and regulations promulgated thereunder.  If this Agreement is, for any reason, terminated prior to the Closing, the Confid</w:t>
      </w:r>
      <w:r>
        <w:rPr>
          <w:rFonts w:ascii="Times New Roman;Times;Serif" w:hAnsi="Times New Roman;Times;Serif"/>
          <w:sz w:val="20"/>
        </w:rPr>
        <w:t>entiality Agreement and the provisions of this Section 7.7 shall nonetheless continue in full force and effect.</w:t>
      </w:r>
    </w:p>
    <w:p w14:paraId="28055BF7" w14:textId="77777777" w:rsidR="00E22AC0" w:rsidRDefault="00FC56F3">
      <w:pPr>
        <w:pStyle w:val="a3"/>
        <w:spacing w:after="0"/>
        <w:ind w:firstLine="720"/>
        <w:jc w:val="both"/>
      </w:pPr>
      <w:r>
        <w:t> </w:t>
      </w:r>
    </w:p>
    <w:p w14:paraId="70A5D869"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7.8 </w:t>
      </w:r>
      <w:r>
        <w:rPr>
          <w:rFonts w:ascii="Times New Roman;Times;Serif" w:hAnsi="Times New Roman;Times;Serif"/>
          <w:sz w:val="20"/>
          <w:u w:val="single"/>
        </w:rPr>
        <w:t>Taking of Necessary Action; Further Action; Taxes</w:t>
      </w:r>
      <w:r>
        <w:rPr>
          <w:rFonts w:ascii="Times New Roman;Times;Serif" w:hAnsi="Times New Roman;Times;Serif"/>
          <w:sz w:val="20"/>
        </w:rPr>
        <w:t xml:space="preserve">. </w:t>
      </w:r>
    </w:p>
    <w:p w14:paraId="256C3180" w14:textId="77777777" w:rsidR="00E22AC0" w:rsidRDefault="00FC56F3">
      <w:pPr>
        <w:pStyle w:val="a3"/>
        <w:spacing w:after="0"/>
        <w:ind w:firstLine="720"/>
        <w:jc w:val="both"/>
      </w:pPr>
      <w:r>
        <w:t> </w:t>
      </w:r>
    </w:p>
    <w:p w14:paraId="42B3D0FE"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Subject to the terms and conditions of this Agreement, each of the Sellers, the </w:t>
      </w:r>
      <w:r>
        <w:rPr>
          <w:rFonts w:ascii="Times New Roman;Times;Serif" w:hAnsi="Times New Roman;Times;Serif"/>
          <w:sz w:val="20"/>
        </w:rPr>
        <w:t>Company and the Buyer will take all such reasonable and lawful action as may be necessary or appropriate in order to effectuate the Acquisition in accordance with this Agreement as promptly as practicable.</w:t>
      </w:r>
    </w:p>
    <w:p w14:paraId="076583C8" w14:textId="77777777" w:rsidR="00E22AC0" w:rsidRDefault="00FC56F3">
      <w:pPr>
        <w:pStyle w:val="a3"/>
        <w:spacing w:after="0"/>
        <w:ind w:firstLine="1440"/>
        <w:jc w:val="both"/>
      </w:pPr>
      <w:r>
        <w:t> </w:t>
      </w:r>
    </w:p>
    <w:p w14:paraId="5C7D4B86" w14:textId="77777777" w:rsidR="00E22AC0" w:rsidRDefault="00FC56F3">
      <w:pPr>
        <w:pStyle w:val="a3"/>
        <w:spacing w:after="0"/>
        <w:ind w:firstLine="144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23</w:t>
      </w:r>
    </w:p>
    <w:p w14:paraId="4DC7328A" w14:textId="77777777" w:rsidR="00E22AC0" w:rsidRDefault="00FC56F3">
      <w:pPr>
        <w:pStyle w:val="a3"/>
        <w:spacing w:after="0"/>
      </w:pPr>
      <w:r>
        <w:t> </w:t>
      </w:r>
    </w:p>
    <w:p w14:paraId="6DEAB052" w14:textId="77777777" w:rsidR="00E22AC0" w:rsidRDefault="00FC56F3">
      <w:pPr>
        <w:pStyle w:val="a3"/>
        <w:spacing w:after="0"/>
        <w:ind w:firstLine="1440"/>
        <w:jc w:val="both"/>
      </w:pPr>
      <w:r>
        <w:t> </w:t>
      </w:r>
    </w:p>
    <w:p w14:paraId="5F7B31F9"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 The Parties shall cooperate fully, as</w:t>
      </w:r>
      <w:r>
        <w:rPr>
          <w:rFonts w:ascii="Times New Roman;Times;Serif" w:hAnsi="Times New Roman;Times;Serif"/>
          <w:sz w:val="20"/>
        </w:rPr>
        <w:t xml:space="preserve"> and to the extent reasonably requested by the other Party, in connection with the filing of any tax returns by or on behalf of the Company and any audit, examination, litigation or other proceeding with respect to the taxes of either Company. Such coopera</w:t>
      </w:r>
      <w:r>
        <w:rPr>
          <w:rFonts w:ascii="Times New Roman;Times;Serif" w:hAnsi="Times New Roman;Times;Serif"/>
          <w:sz w:val="20"/>
        </w:rPr>
        <w:t>tion shall include the retention and (upon the other party’s request) the provision of records and information which are reasonably relevant to any such tax return, audit, litigation or other proceeding.</w:t>
      </w:r>
    </w:p>
    <w:p w14:paraId="143904C9" w14:textId="77777777" w:rsidR="00E22AC0" w:rsidRDefault="00FC56F3">
      <w:pPr>
        <w:pStyle w:val="a3"/>
        <w:spacing w:after="0"/>
        <w:ind w:firstLine="1440"/>
        <w:jc w:val="both"/>
      </w:pPr>
      <w:r>
        <w:t> </w:t>
      </w:r>
    </w:p>
    <w:p w14:paraId="6A795900"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(c) Seller shall prepare and file or cause to be p</w:t>
      </w:r>
      <w:r>
        <w:rPr>
          <w:rFonts w:ascii="Times New Roman;Times;Serif" w:hAnsi="Times New Roman;Times;Serif"/>
          <w:sz w:val="20"/>
        </w:rPr>
        <w:t>repared and filed all income tax returns of the Company for taxable periods ending on the Closing Date. Buyer shall prepare and file or cause to be prepared and filed all tax returns of the Company, following the Closing Date.</w:t>
      </w:r>
    </w:p>
    <w:p w14:paraId="4C5847DD" w14:textId="77777777" w:rsidR="00E22AC0" w:rsidRDefault="00FC56F3">
      <w:pPr>
        <w:pStyle w:val="a3"/>
        <w:spacing w:after="0"/>
        <w:ind w:firstLine="1440"/>
        <w:jc w:val="both"/>
      </w:pPr>
      <w:r>
        <w:lastRenderedPageBreak/>
        <w:t> </w:t>
      </w:r>
    </w:p>
    <w:p w14:paraId="71C9D494"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(d) Buyer shall not, and sh</w:t>
      </w:r>
      <w:r>
        <w:rPr>
          <w:rFonts w:ascii="Times New Roman;Times;Serif" w:hAnsi="Times New Roman;Times;Serif"/>
          <w:sz w:val="20"/>
        </w:rPr>
        <w:t>all not permit the Company to, (</w:t>
      </w:r>
      <w:proofErr w:type="spellStart"/>
      <w:r>
        <w:rPr>
          <w:rFonts w:ascii="Times New Roman;Times;Serif" w:hAnsi="Times New Roman;Times;Serif"/>
          <w:sz w:val="20"/>
        </w:rPr>
        <w:t>i</w:t>
      </w:r>
      <w:proofErr w:type="spellEnd"/>
      <w:r>
        <w:rPr>
          <w:rFonts w:ascii="Times New Roman;Times;Serif" w:hAnsi="Times New Roman;Times;Serif"/>
          <w:sz w:val="20"/>
        </w:rPr>
        <w:t xml:space="preserve">) amend any tax return filed with respect to any tax year ending on or before the Closing Date or (ii) make any tax election (including under Internal Revenue Code Section 336(e) and 338(h)(10)) that may have a retroactive </w:t>
      </w:r>
      <w:r>
        <w:rPr>
          <w:rFonts w:ascii="Times New Roman;Times;Serif" w:hAnsi="Times New Roman;Times;Serif"/>
          <w:sz w:val="20"/>
        </w:rPr>
        <w:t>effect to any such year, in each such case without the written consent of the Sellers.</w:t>
      </w:r>
    </w:p>
    <w:p w14:paraId="66ED3629" w14:textId="77777777" w:rsidR="00E22AC0" w:rsidRDefault="00FC56F3">
      <w:pPr>
        <w:pStyle w:val="a3"/>
        <w:spacing w:after="0"/>
        <w:ind w:firstLine="1440"/>
        <w:jc w:val="both"/>
      </w:pPr>
      <w:r>
        <w:t> </w:t>
      </w:r>
    </w:p>
    <w:p w14:paraId="3543C199"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(e) The Sellers shall have reasonable access to the books and records of the Company and shall be entitled to discuss such books and records with the Buyer and </w:t>
      </w:r>
      <w:r>
        <w:rPr>
          <w:rFonts w:ascii="Times New Roman;Times;Serif" w:hAnsi="Times New Roman;Times;Serif"/>
          <w:sz w:val="20"/>
        </w:rPr>
        <w:t>those persons responsible for the preparation thereof post-Closing for the purpose of, without limitation, claiming any tax credit (including Idaho’s R&amp;D Tax Credit) that may be applicable with respect to any tax year ending on or before the Closing Date.</w:t>
      </w:r>
    </w:p>
    <w:p w14:paraId="0366EA58" w14:textId="77777777" w:rsidR="00E22AC0" w:rsidRDefault="00FC56F3">
      <w:pPr>
        <w:pStyle w:val="a3"/>
        <w:spacing w:after="0"/>
        <w:ind w:firstLine="720"/>
        <w:jc w:val="both"/>
      </w:pPr>
      <w:r>
        <w:t> </w:t>
      </w:r>
    </w:p>
    <w:p w14:paraId="1E38EAB1"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7.9 </w:t>
      </w:r>
      <w:r>
        <w:rPr>
          <w:rFonts w:ascii="Times New Roman;Times;Serif" w:hAnsi="Times New Roman;Times;Serif"/>
          <w:sz w:val="20"/>
          <w:u w:val="single"/>
        </w:rPr>
        <w:t>Payroll Protection Plan Loan.</w:t>
      </w:r>
      <w:r>
        <w:rPr>
          <w:rFonts w:ascii="Times New Roman;Times;Serif" w:hAnsi="Times New Roman;Times;Serif"/>
          <w:sz w:val="20"/>
        </w:rPr>
        <w:t xml:space="preserve"> Company and Sellers will take all actions necessary to obtain forgiveness of the Payroll Protection Plan Loan. If the Payroll Protection Plan Loan is not forgiven by the Small Business Administration, Sellers will prompt</w:t>
      </w:r>
      <w:r>
        <w:rPr>
          <w:rFonts w:ascii="Times New Roman;Times;Serif" w:hAnsi="Times New Roman;Times;Serif"/>
          <w:sz w:val="20"/>
        </w:rPr>
        <w:t>ly payoff the Loan and will indemnify and hold the Buyer harmless of any claims by the Small Business Administration arising out of the loan to the Company. Buyer agrees to cooperate with Sellers and shall provide all reasonable information regarding the C</w:t>
      </w:r>
      <w:r>
        <w:rPr>
          <w:rFonts w:ascii="Times New Roman;Times;Serif" w:hAnsi="Times New Roman;Times;Serif"/>
          <w:sz w:val="20"/>
        </w:rPr>
        <w:t>ompany as necessary for Sellers to seek forgiveness of the Payroll Protection Plan Loan.</w:t>
      </w:r>
    </w:p>
    <w:p w14:paraId="08904F09" w14:textId="77777777" w:rsidR="00E22AC0" w:rsidRDefault="00FC56F3">
      <w:pPr>
        <w:pStyle w:val="a3"/>
        <w:spacing w:after="0"/>
        <w:ind w:firstLine="720"/>
        <w:jc w:val="both"/>
      </w:pPr>
      <w:r>
        <w:t> </w:t>
      </w:r>
    </w:p>
    <w:p w14:paraId="2334D1BB"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7.10 </w:t>
      </w:r>
      <w:r>
        <w:rPr>
          <w:rFonts w:ascii="Times New Roman;Times;Serif" w:hAnsi="Times New Roman;Times;Serif"/>
          <w:sz w:val="20"/>
          <w:u w:val="single"/>
        </w:rPr>
        <w:t>Covenant not to Compete</w:t>
      </w:r>
      <w:r>
        <w:rPr>
          <w:rFonts w:ascii="Times New Roman;Times;Serif" w:hAnsi="Times New Roman;Times;Serif"/>
          <w:sz w:val="20"/>
        </w:rPr>
        <w:t>. For a period of three years from and after the Closing (the “</w:t>
      </w:r>
      <w:r>
        <w:rPr>
          <w:rFonts w:ascii="Times New Roman;Times;Serif" w:hAnsi="Times New Roman;Times;Serif"/>
          <w:b/>
          <w:sz w:val="20"/>
        </w:rPr>
        <w:t>Noncompetition Period</w:t>
      </w:r>
      <w:r>
        <w:rPr>
          <w:rFonts w:ascii="Times New Roman;Times;Serif" w:hAnsi="Times New Roman;Times;Serif"/>
          <w:sz w:val="20"/>
        </w:rPr>
        <w:t>”), the Sellers shall not engage directly or indirect</w:t>
      </w:r>
      <w:r>
        <w:rPr>
          <w:rFonts w:ascii="Times New Roman;Times;Serif" w:hAnsi="Times New Roman;Times;Serif"/>
          <w:sz w:val="20"/>
        </w:rPr>
        <w:t>ly in any business that is competitive with the current business of the Company (the “</w:t>
      </w:r>
      <w:r>
        <w:rPr>
          <w:rFonts w:ascii="Times New Roman;Times;Serif" w:hAnsi="Times New Roman;Times;Serif"/>
          <w:b/>
          <w:sz w:val="20"/>
        </w:rPr>
        <w:t>Business</w:t>
      </w:r>
      <w:r>
        <w:rPr>
          <w:rFonts w:ascii="Times New Roman;Times;Serif" w:hAnsi="Times New Roman;Times;Serif"/>
          <w:sz w:val="20"/>
        </w:rPr>
        <w:t>”) within an area of one hundred miles of any geographic area in which the Business is conducted or in which the Buyer plans to conduct the Business as of the Clo</w:t>
      </w:r>
      <w:r>
        <w:rPr>
          <w:rFonts w:ascii="Times New Roman;Times;Serif" w:hAnsi="Times New Roman;Times;Serif"/>
          <w:sz w:val="20"/>
        </w:rPr>
        <w:t>sing Date; provided, however, that no owner of less than 1% of the outstanding stock of any publicly-traded corporation shall be deemed to engage solely by reason thereof in any of its businesses. During the Noncompetition Period, the Sellers shall not ind</w:t>
      </w:r>
      <w:r>
        <w:rPr>
          <w:rFonts w:ascii="Times New Roman;Times;Serif" w:hAnsi="Times New Roman;Times;Serif"/>
          <w:sz w:val="20"/>
        </w:rPr>
        <w:t>uce or attempt to induce any customer, or supplier of the Buyer or any affiliate of the Buyer to terminate its relationship with the Buyer or any Affiliate of the Buyer or to enter into any business relationship to provide or purchase the same or substanti</w:t>
      </w:r>
      <w:r>
        <w:rPr>
          <w:rFonts w:ascii="Times New Roman;Times;Serif" w:hAnsi="Times New Roman;Times;Serif"/>
          <w:sz w:val="20"/>
        </w:rPr>
        <w:t xml:space="preserve">ally the same services as are provided to or purchased from the Business which might harm the Buyer or any Affiliate of the Buyer. During the Noncompetition Period, the Sellers shall not, on behalf of any entity other than the Buyer or an Affiliate of the </w:t>
      </w:r>
      <w:r>
        <w:rPr>
          <w:rFonts w:ascii="Times New Roman;Times;Serif" w:hAnsi="Times New Roman;Times;Serif"/>
          <w:sz w:val="20"/>
        </w:rPr>
        <w:t>Buyer, hire or retain, or attempt to hire or retain, in any capacity any Person who is, or was at any time during the preceding twelve (12) months, an employee or officer of the Buyer or an Affiliate of the Buyer. If the final judgment of a court of compet</w:t>
      </w:r>
      <w:r>
        <w:rPr>
          <w:rFonts w:ascii="Times New Roman;Times;Serif" w:hAnsi="Times New Roman;Times;Serif"/>
          <w:sz w:val="20"/>
        </w:rPr>
        <w:t>ent jurisdiction declares that any term or provision of this Section 7.10 is invalid or unenforceable, the parties agree that the court making the determination of invalidity or unenforceability shall have the power to reduce the scope, duration, or area o</w:t>
      </w:r>
      <w:r>
        <w:rPr>
          <w:rFonts w:ascii="Times New Roman;Times;Serif" w:hAnsi="Times New Roman;Times;Serif"/>
          <w:sz w:val="20"/>
        </w:rPr>
        <w:t>f the term or provision, to delete specific words or phrases, or to replace any invalid or unenforceable term or provision with a term or provision that is valid and enforceable and that comes closest to expressing the intention of the invalid or unenforce</w:t>
      </w:r>
      <w:r>
        <w:rPr>
          <w:rFonts w:ascii="Times New Roman;Times;Serif" w:hAnsi="Times New Roman;Times;Serif"/>
          <w:sz w:val="20"/>
        </w:rPr>
        <w:t>able term or provision, and this Agreement shall be enforceable as so modified after the expiration of the time within which the judgment may be appealed.</w:t>
      </w:r>
    </w:p>
    <w:p w14:paraId="3C5EB505" w14:textId="77777777" w:rsidR="00E22AC0" w:rsidRDefault="00FC56F3">
      <w:pPr>
        <w:pStyle w:val="a3"/>
        <w:spacing w:after="0"/>
        <w:ind w:firstLine="720"/>
        <w:jc w:val="both"/>
      </w:pPr>
      <w:r>
        <w:t> </w:t>
      </w:r>
    </w:p>
    <w:p w14:paraId="1853629A"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24</w:t>
      </w:r>
    </w:p>
    <w:p w14:paraId="51FA62FE" w14:textId="77777777" w:rsidR="00E22AC0" w:rsidRDefault="00FC56F3">
      <w:pPr>
        <w:pStyle w:val="a3"/>
        <w:spacing w:after="0"/>
      </w:pPr>
      <w:r>
        <w:t> </w:t>
      </w:r>
    </w:p>
    <w:p w14:paraId="0DB49B32" w14:textId="77777777" w:rsidR="00E22AC0" w:rsidRDefault="00FC56F3">
      <w:pPr>
        <w:pStyle w:val="a3"/>
        <w:spacing w:after="0"/>
        <w:ind w:firstLine="720"/>
        <w:jc w:val="both"/>
      </w:pPr>
      <w:r>
        <w:t> </w:t>
      </w:r>
    </w:p>
    <w:p w14:paraId="64B2765F"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7.12 </w:t>
      </w:r>
      <w:r>
        <w:rPr>
          <w:rFonts w:ascii="Times New Roman;Times;Serif" w:hAnsi="Times New Roman;Times;Serif"/>
          <w:sz w:val="20"/>
          <w:u w:val="single"/>
        </w:rPr>
        <w:t>Financial Information</w:t>
      </w:r>
      <w:r>
        <w:rPr>
          <w:rFonts w:ascii="Times New Roman;Times;Serif" w:hAnsi="Times New Roman;Times;Serif"/>
          <w:sz w:val="20"/>
        </w:rPr>
        <w:t xml:space="preserve">. The Sellers shall cooperate with the Buyer and the </w:t>
      </w:r>
      <w:r>
        <w:rPr>
          <w:rFonts w:ascii="Times New Roman;Times;Serif" w:hAnsi="Times New Roman;Times;Serif"/>
          <w:sz w:val="20"/>
        </w:rPr>
        <w:t>Buyer’s independent certified public accounting firm in order to enable the Buyer to create audited financial statements prepared in accordance with the GAAP for the two full fiscal years preceding the Closing Date, by making available the Sellers’ records</w:t>
      </w:r>
      <w:r>
        <w:rPr>
          <w:rFonts w:ascii="Times New Roman;Times;Serif" w:hAnsi="Times New Roman;Times;Serif"/>
          <w:sz w:val="20"/>
        </w:rPr>
        <w:t xml:space="preserve"> as they are maintained in the ordinary course of business and answering reasonable questions.</w:t>
      </w:r>
    </w:p>
    <w:p w14:paraId="2D7416F8" w14:textId="77777777" w:rsidR="00E22AC0" w:rsidRDefault="00FC56F3">
      <w:pPr>
        <w:pStyle w:val="a3"/>
        <w:spacing w:after="0"/>
        <w:ind w:firstLine="720"/>
        <w:jc w:val="both"/>
      </w:pPr>
      <w:r>
        <w:t> </w:t>
      </w:r>
    </w:p>
    <w:p w14:paraId="59A1F69E"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7.13 </w:t>
      </w:r>
      <w:r>
        <w:rPr>
          <w:rFonts w:ascii="Times New Roman;Times;Serif" w:hAnsi="Times New Roman;Times;Serif"/>
          <w:sz w:val="20"/>
          <w:u w:val="single"/>
        </w:rPr>
        <w:t>Disclosure Schedule</w:t>
      </w:r>
      <w:r>
        <w:rPr>
          <w:rFonts w:ascii="Times New Roman;Times;Serif" w:hAnsi="Times New Roman;Times;Serif"/>
          <w:sz w:val="20"/>
        </w:rPr>
        <w:t>. The parties acknowledge and agree that (</w:t>
      </w:r>
      <w:proofErr w:type="spellStart"/>
      <w:r>
        <w:rPr>
          <w:rFonts w:ascii="Times New Roman;Times;Serif" w:hAnsi="Times New Roman;Times;Serif"/>
          <w:sz w:val="20"/>
        </w:rPr>
        <w:t>i</w:t>
      </w:r>
      <w:proofErr w:type="spellEnd"/>
      <w:r>
        <w:rPr>
          <w:rFonts w:ascii="Times New Roman;Times;Serif" w:hAnsi="Times New Roman;Times;Serif"/>
          <w:sz w:val="20"/>
        </w:rPr>
        <w:t>) the Sellers and the Company have not yet delivered a definitive Disclosure Schedule to thi</w:t>
      </w:r>
      <w:r>
        <w:rPr>
          <w:rFonts w:ascii="Times New Roman;Times;Serif" w:hAnsi="Times New Roman;Times;Serif"/>
          <w:sz w:val="20"/>
        </w:rPr>
        <w:t>s Agreement to the Buyer, and (ii) the Buyer has not been provided with copies of, nor had an opportunity to review, the items to be referred to on the Disclosure Schedule. The Sellers shall deliver (and shall cause the Company to deliver) to the Buyer all</w:t>
      </w:r>
      <w:r>
        <w:rPr>
          <w:rFonts w:ascii="Times New Roman;Times;Serif" w:hAnsi="Times New Roman;Times;Serif"/>
          <w:sz w:val="20"/>
        </w:rPr>
        <w:t xml:space="preserve"> of the schedules, including a definitive Disclosure Schedule to the Agreement, and documents referred to thereon, in final form within 20 days of the date hereof.  The Buyer shall have 20 days following delivery of such schedules and such documents in whi</w:t>
      </w:r>
      <w:r>
        <w:rPr>
          <w:rFonts w:ascii="Times New Roman;Times;Serif" w:hAnsi="Times New Roman;Times;Serif"/>
          <w:sz w:val="20"/>
        </w:rPr>
        <w:t>ch to terminate this Agreement if the Buyer objects to any information contained in such schedules or the contents of any such document and Buyer and Sellers cannot agree on mutually satisfactory modifications thereto.</w:t>
      </w:r>
    </w:p>
    <w:p w14:paraId="357EF306" w14:textId="77777777" w:rsidR="00E22AC0" w:rsidRDefault="00FC56F3">
      <w:pPr>
        <w:pStyle w:val="a3"/>
        <w:spacing w:after="0"/>
        <w:jc w:val="center"/>
      </w:pPr>
      <w:r>
        <w:t> </w:t>
      </w:r>
    </w:p>
    <w:p w14:paraId="623E0F09" w14:textId="77777777" w:rsidR="00E22AC0" w:rsidRDefault="00FC56F3">
      <w:pPr>
        <w:pStyle w:val="a3"/>
        <w:spacing w:after="0"/>
        <w:jc w:val="center"/>
        <w:rPr>
          <w:rFonts w:ascii="Times New Roman;Times;Serif" w:hAnsi="Times New Roman;Times;Serif"/>
          <w:sz w:val="20"/>
        </w:rPr>
      </w:pPr>
      <w:r>
        <w:rPr>
          <w:rFonts w:ascii="Times New Roman;Times;Serif" w:hAnsi="Times New Roman;Times;Serif"/>
          <w:sz w:val="20"/>
        </w:rPr>
        <w:t>ARTICLE VIII</w:t>
      </w:r>
      <w:r>
        <w:rPr>
          <w:rFonts w:ascii="Times New Roman;Times;Serif" w:hAnsi="Times New Roman;Times;Serif"/>
          <w:sz w:val="20"/>
        </w:rPr>
        <w:br/>
        <w:t>CONDITIONS TO OBLIGATI</w:t>
      </w:r>
      <w:r>
        <w:rPr>
          <w:rFonts w:ascii="Times New Roman;Times;Serif" w:hAnsi="Times New Roman;Times;Serif"/>
          <w:sz w:val="20"/>
        </w:rPr>
        <w:t>ONS TO CLOSE</w:t>
      </w:r>
    </w:p>
    <w:p w14:paraId="01D3AEA8" w14:textId="77777777" w:rsidR="00E22AC0" w:rsidRDefault="00FC56F3">
      <w:pPr>
        <w:pStyle w:val="a3"/>
        <w:spacing w:after="0"/>
        <w:ind w:firstLine="720"/>
        <w:jc w:val="both"/>
      </w:pPr>
      <w:r>
        <w:t> </w:t>
      </w:r>
    </w:p>
    <w:p w14:paraId="30E0031A"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8.1 </w:t>
      </w:r>
      <w:r>
        <w:rPr>
          <w:rFonts w:ascii="Times New Roman;Times;Serif" w:hAnsi="Times New Roman;Times;Serif"/>
          <w:sz w:val="20"/>
          <w:u w:val="single"/>
        </w:rPr>
        <w:t>Conditions to Obligation of the Buyer</w:t>
      </w:r>
      <w:r>
        <w:rPr>
          <w:rFonts w:ascii="Times New Roman;Times;Serif" w:hAnsi="Times New Roman;Times;Serif"/>
          <w:sz w:val="20"/>
        </w:rPr>
        <w:t>. The obligation of the Buyer to consummate the Acquisition is subject to the satisfaction or waiver by the Buyer of the following conditions:</w:t>
      </w:r>
    </w:p>
    <w:p w14:paraId="1CE3CC66" w14:textId="77777777" w:rsidR="00E22AC0" w:rsidRDefault="00FC56F3">
      <w:pPr>
        <w:pStyle w:val="a3"/>
        <w:spacing w:after="0"/>
        <w:ind w:firstLine="1440"/>
        <w:jc w:val="both"/>
      </w:pPr>
      <w:r>
        <w:lastRenderedPageBreak/>
        <w:t> </w:t>
      </w:r>
    </w:p>
    <w:p w14:paraId="6A252843"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(a) The representations and warranties of the Sellers s</w:t>
      </w:r>
      <w:r>
        <w:rPr>
          <w:rFonts w:ascii="Times New Roman;Times;Serif" w:hAnsi="Times New Roman;Times;Serif"/>
          <w:sz w:val="20"/>
        </w:rPr>
        <w:t>et forth in this Agreement will be true and correct in all respects as of the date of this Agreement and as of the Closing Date (except to the extent such representations and warranties speak as of another date, in which case such representations and warra</w:t>
      </w:r>
      <w:r>
        <w:rPr>
          <w:rFonts w:ascii="Times New Roman;Times;Serif" w:hAnsi="Times New Roman;Times;Serif"/>
          <w:sz w:val="20"/>
        </w:rPr>
        <w:t>nties will be true and correct as of such other date), except where the failure of such representations and warranties to be so true and correct (without giving effect to any limitation as to “materiality” or “Material Adverse Effect” set forth therein) do</w:t>
      </w:r>
      <w:r>
        <w:rPr>
          <w:rFonts w:ascii="Times New Roman;Times;Serif" w:hAnsi="Times New Roman;Times;Serif"/>
          <w:sz w:val="20"/>
        </w:rPr>
        <w:t>es not have, and would not reasonably be expected to have, individually or in the aggregate, a Material Adverse Effect. The Buyer will have received a certificate signed by the Sellers to such effect.</w:t>
      </w:r>
    </w:p>
    <w:p w14:paraId="2E868FEC" w14:textId="77777777" w:rsidR="00E22AC0" w:rsidRDefault="00FC56F3">
      <w:pPr>
        <w:pStyle w:val="a3"/>
        <w:spacing w:after="0"/>
        <w:ind w:firstLine="1440"/>
        <w:jc w:val="both"/>
      </w:pPr>
      <w:r>
        <w:t> </w:t>
      </w:r>
    </w:p>
    <w:p w14:paraId="7B4C14B1"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 Each of the Sellers and the Company will have per</w:t>
      </w:r>
      <w:r>
        <w:rPr>
          <w:rFonts w:ascii="Times New Roman;Times;Serif" w:hAnsi="Times New Roman;Times;Serif"/>
          <w:sz w:val="20"/>
        </w:rPr>
        <w:t>formed all of the covenants required to be performed by it under this Agreement at or prior to the Closing, except where the failure to perform does not have, and would not reasonably be expected to have, individually or in the aggregate, a Material Advers</w:t>
      </w:r>
      <w:r>
        <w:rPr>
          <w:rFonts w:ascii="Times New Roman;Times;Serif" w:hAnsi="Times New Roman;Times;Serif"/>
          <w:sz w:val="20"/>
        </w:rPr>
        <w:t>e Effect or materially adversely affect the ability of each of the Sellers and the Company to consummate the Acquisition or perform its other obligations hereunder. The Buyer will have received a certificate signed by the Sellers to such effect.</w:t>
      </w:r>
    </w:p>
    <w:p w14:paraId="30C2C0D7" w14:textId="77777777" w:rsidR="00E22AC0" w:rsidRDefault="00FC56F3">
      <w:pPr>
        <w:pStyle w:val="a3"/>
        <w:spacing w:after="0"/>
        <w:ind w:firstLine="1440"/>
        <w:jc w:val="both"/>
      </w:pPr>
      <w:r>
        <w:t> </w:t>
      </w:r>
    </w:p>
    <w:p w14:paraId="3A6CB95E" w14:textId="77777777" w:rsidR="00E22AC0" w:rsidRDefault="00FC56F3">
      <w:pPr>
        <w:pStyle w:val="a3"/>
        <w:spacing w:after="0"/>
        <w:ind w:firstLine="144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25</w:t>
      </w:r>
    </w:p>
    <w:p w14:paraId="78102D00" w14:textId="77777777" w:rsidR="00E22AC0" w:rsidRDefault="00FC56F3">
      <w:pPr>
        <w:pStyle w:val="a3"/>
        <w:spacing w:after="0"/>
      </w:pPr>
      <w:r>
        <w:t> </w:t>
      </w:r>
    </w:p>
    <w:p w14:paraId="1F9B61BF" w14:textId="77777777" w:rsidR="00E22AC0" w:rsidRDefault="00FC56F3">
      <w:pPr>
        <w:pStyle w:val="a3"/>
        <w:spacing w:after="0"/>
        <w:ind w:firstLine="1440"/>
        <w:jc w:val="both"/>
      </w:pPr>
      <w:r>
        <w:t> </w:t>
      </w:r>
    </w:p>
    <w:p w14:paraId="2701A2E5"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(c) The Buyer shall have completed its business, accounting and legal due diligence review of the Company and the Business, its assets and liabilities, and the results thereof shall be reasonably satisfactory to the Buyer.</w:t>
      </w:r>
    </w:p>
    <w:p w14:paraId="04D3021D" w14:textId="77777777" w:rsidR="00E22AC0" w:rsidRDefault="00FC56F3">
      <w:pPr>
        <w:pStyle w:val="a3"/>
        <w:spacing w:after="0"/>
        <w:ind w:firstLine="1440"/>
        <w:jc w:val="both"/>
      </w:pPr>
      <w:r>
        <w:t> </w:t>
      </w:r>
    </w:p>
    <w:p w14:paraId="2E04BAA0"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(d) There shall not have been a</w:t>
      </w:r>
      <w:r>
        <w:rPr>
          <w:rFonts w:ascii="Times New Roman;Times;Serif" w:hAnsi="Times New Roman;Times;Serif"/>
          <w:sz w:val="20"/>
        </w:rPr>
        <w:t>ny occurrence, event, incident, action, failure to act, or transaction since the date of the Interim Financial Statements which has had or is reasonably likely to cause a Material Adverse Effect.</w:t>
      </w:r>
    </w:p>
    <w:p w14:paraId="0678466C" w14:textId="77777777" w:rsidR="00E22AC0" w:rsidRDefault="00FC56F3">
      <w:pPr>
        <w:pStyle w:val="a3"/>
        <w:spacing w:after="0"/>
        <w:ind w:firstLine="1440"/>
        <w:jc w:val="both"/>
      </w:pPr>
      <w:r>
        <w:t> </w:t>
      </w:r>
    </w:p>
    <w:p w14:paraId="4F325CD9"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(e) All applicable waiting periods (and any extensions the</w:t>
      </w:r>
      <w:r>
        <w:rPr>
          <w:rFonts w:ascii="Times New Roman;Times;Serif" w:hAnsi="Times New Roman;Times;Serif"/>
          <w:sz w:val="20"/>
        </w:rPr>
        <w:t>reof) will have expired or otherwise been terminated, and the parties hereto will have received all other authorizations, consents and approvals of all Governmental Entities in connection with the execution, delivery and performance of this Agreement and t</w:t>
      </w:r>
      <w:r>
        <w:rPr>
          <w:rFonts w:ascii="Times New Roman;Times;Serif" w:hAnsi="Times New Roman;Times;Serif"/>
          <w:sz w:val="20"/>
        </w:rPr>
        <w:t>he transactions contemplated hereby.</w:t>
      </w:r>
    </w:p>
    <w:p w14:paraId="5A20D2D6" w14:textId="77777777" w:rsidR="00E22AC0" w:rsidRDefault="00FC56F3">
      <w:pPr>
        <w:pStyle w:val="a3"/>
        <w:spacing w:after="0"/>
        <w:ind w:firstLine="1440"/>
        <w:jc w:val="both"/>
      </w:pPr>
      <w:r>
        <w:t> </w:t>
      </w:r>
    </w:p>
    <w:p w14:paraId="38454C0F"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(f) No temporary, preliminary or permanent restraining Order preventing the consummation of the Acquisition will be in effect.</w:t>
      </w:r>
    </w:p>
    <w:p w14:paraId="5583C001" w14:textId="77777777" w:rsidR="00E22AC0" w:rsidRDefault="00FC56F3">
      <w:pPr>
        <w:pStyle w:val="a3"/>
        <w:spacing w:after="0"/>
        <w:ind w:firstLine="1440"/>
        <w:jc w:val="both"/>
      </w:pPr>
      <w:r>
        <w:t> </w:t>
      </w:r>
    </w:p>
    <w:p w14:paraId="3A69B710"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(g) Each party, as appropriate, shall have obtained any required consents, permits, lice</w:t>
      </w:r>
      <w:r>
        <w:rPr>
          <w:rFonts w:ascii="Times New Roman;Times;Serif" w:hAnsi="Times New Roman;Times;Serif"/>
          <w:sz w:val="20"/>
        </w:rPr>
        <w:t>nses, approvals or notifications of any lenders, lessors, suppliers, customers or other third parties for which the Buyer will assume responsibility for properly completing any and all necessary forms required when applying for and securing any necessary t</w:t>
      </w:r>
      <w:r>
        <w:rPr>
          <w:rFonts w:ascii="Times New Roman;Times;Serif" w:hAnsi="Times New Roman;Times;Serif"/>
          <w:sz w:val="20"/>
        </w:rPr>
        <w:t>ransfers.</w:t>
      </w:r>
    </w:p>
    <w:p w14:paraId="04A0AC58" w14:textId="77777777" w:rsidR="00E22AC0" w:rsidRDefault="00FC56F3">
      <w:pPr>
        <w:pStyle w:val="a3"/>
        <w:spacing w:after="0"/>
        <w:ind w:firstLine="1440"/>
        <w:jc w:val="both"/>
      </w:pPr>
      <w:r>
        <w:t> </w:t>
      </w:r>
    </w:p>
    <w:p w14:paraId="2300630B"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(h) The Sellers shall have obtained releases of any liens, charges or encumbrances against any of the assets of the Company, at the Sellers’ expense.</w:t>
      </w:r>
    </w:p>
    <w:p w14:paraId="60E463E0" w14:textId="77777777" w:rsidR="00E22AC0" w:rsidRDefault="00FC56F3">
      <w:pPr>
        <w:pStyle w:val="a3"/>
        <w:spacing w:after="0"/>
        <w:ind w:firstLine="1440"/>
        <w:jc w:val="both"/>
      </w:pPr>
      <w:r>
        <w:t> </w:t>
      </w:r>
    </w:p>
    <w:p w14:paraId="34D88222"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The Buyer shall have received such pay-off letters and releases relating to the indebted</w:t>
      </w:r>
      <w:r>
        <w:rPr>
          <w:rFonts w:ascii="Times New Roman;Times;Serif" w:hAnsi="Times New Roman;Times;Serif"/>
          <w:sz w:val="20"/>
        </w:rPr>
        <w:t>ness as it shall have requested, and such pay-off letters shall be in form and substance satisfactory to it.</w:t>
      </w:r>
    </w:p>
    <w:p w14:paraId="7105328F" w14:textId="77777777" w:rsidR="00E22AC0" w:rsidRDefault="00FC56F3">
      <w:pPr>
        <w:pStyle w:val="a3"/>
        <w:spacing w:after="0"/>
        <w:ind w:firstLine="1440"/>
        <w:jc w:val="both"/>
      </w:pPr>
      <w:r>
        <w:t> </w:t>
      </w:r>
    </w:p>
    <w:p w14:paraId="6F717A7A"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(j) The Buyer shall have received from counsel to the Sellers an opinion in form and substance reasonably satisfactory to the Buyer, </w:t>
      </w:r>
      <w:r>
        <w:rPr>
          <w:rFonts w:ascii="Times New Roman;Times;Serif" w:hAnsi="Times New Roman;Times;Serif"/>
          <w:sz w:val="20"/>
        </w:rPr>
        <w:t>addressed to the Buyer and dated as of the Closing Date.</w:t>
      </w:r>
    </w:p>
    <w:p w14:paraId="6F749520" w14:textId="77777777" w:rsidR="00E22AC0" w:rsidRDefault="00FC56F3">
      <w:pPr>
        <w:pStyle w:val="a3"/>
        <w:spacing w:after="0"/>
        <w:ind w:firstLine="1440"/>
        <w:jc w:val="both"/>
      </w:pPr>
      <w:r>
        <w:t> </w:t>
      </w:r>
    </w:p>
    <w:p w14:paraId="6689E1BC"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(k) The Company shall have delivered evidence reasonably satisfactory to the Buyer of the Company’s corporate organization and proceedings and its existence in the jurisdiction in which it is incor</w:t>
      </w:r>
      <w:r>
        <w:rPr>
          <w:rFonts w:ascii="Times New Roman;Times;Serif" w:hAnsi="Times New Roman;Times;Serif"/>
          <w:sz w:val="20"/>
        </w:rPr>
        <w:t>porated, including evidence of such existence as of the Closing.</w:t>
      </w:r>
    </w:p>
    <w:p w14:paraId="52A5E5E7" w14:textId="77777777" w:rsidR="00E22AC0" w:rsidRDefault="00FC56F3">
      <w:pPr>
        <w:pStyle w:val="a3"/>
        <w:spacing w:after="0"/>
        <w:ind w:firstLine="1440"/>
        <w:jc w:val="both"/>
      </w:pPr>
      <w:r>
        <w:t> </w:t>
      </w:r>
    </w:p>
    <w:p w14:paraId="4171AB61"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(l) The Buyer shall have obtained on terms and conditions satisfactory to it all of the financing it needs in order to consummate the transactions contemplated hereby and fund the working c</w:t>
      </w:r>
      <w:r>
        <w:rPr>
          <w:rFonts w:ascii="Times New Roman;Times;Serif" w:hAnsi="Times New Roman;Times;Serif"/>
          <w:sz w:val="20"/>
        </w:rPr>
        <w:t>apital requirements of the Company after the Closing.</w:t>
      </w:r>
    </w:p>
    <w:p w14:paraId="40C8879F" w14:textId="77777777" w:rsidR="00E22AC0" w:rsidRDefault="00FC56F3">
      <w:pPr>
        <w:pStyle w:val="a3"/>
        <w:spacing w:after="0"/>
        <w:ind w:firstLine="1440"/>
        <w:jc w:val="both"/>
      </w:pPr>
      <w:r>
        <w:t> </w:t>
      </w:r>
    </w:p>
    <w:p w14:paraId="6807C15D"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(m) The Buyer shall have entered into an employment agreement with each of the Sellers. The employment agreements will contain such material terms and conditions as set forth in </w:t>
      </w:r>
      <w:r>
        <w:rPr>
          <w:rFonts w:ascii="Times New Roman;Times;Serif" w:hAnsi="Times New Roman;Times;Serif"/>
          <w:b/>
          <w:sz w:val="20"/>
        </w:rPr>
        <w:t>Exhibit D</w:t>
      </w:r>
      <w:r>
        <w:rPr>
          <w:rFonts w:ascii="Times New Roman;Times;Serif" w:hAnsi="Times New Roman;Times;Serif"/>
          <w:sz w:val="20"/>
        </w:rPr>
        <w:t xml:space="preserve"> attached her</w:t>
      </w:r>
      <w:r>
        <w:rPr>
          <w:rFonts w:ascii="Times New Roman;Times;Serif" w:hAnsi="Times New Roman;Times;Serif"/>
          <w:sz w:val="20"/>
        </w:rPr>
        <w:t>eto and incorporated herein by this reference, together with any other terms and conditions as may be mutually agreed by the Parties.</w:t>
      </w:r>
    </w:p>
    <w:p w14:paraId="0C920E7D" w14:textId="77777777" w:rsidR="00E22AC0" w:rsidRDefault="00FC56F3">
      <w:pPr>
        <w:pStyle w:val="a3"/>
        <w:spacing w:after="0"/>
        <w:ind w:firstLine="1440"/>
        <w:jc w:val="both"/>
      </w:pPr>
      <w:r>
        <w:lastRenderedPageBreak/>
        <w:t> </w:t>
      </w:r>
    </w:p>
    <w:p w14:paraId="5A4294FF"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(n) All actions to be taken by the Sellers in connection with consummation of the transactions contemplated hereby and a</w:t>
      </w:r>
      <w:r>
        <w:rPr>
          <w:rFonts w:ascii="Times New Roman;Times;Serif" w:hAnsi="Times New Roman;Times;Serif"/>
          <w:sz w:val="20"/>
        </w:rPr>
        <w:t xml:space="preserve">ll certificates, opinions, instruments, and other documents required to </w:t>
      </w:r>
      <w:proofErr w:type="gramStart"/>
      <w:r>
        <w:rPr>
          <w:rFonts w:ascii="Times New Roman;Times;Serif" w:hAnsi="Times New Roman;Times;Serif"/>
          <w:sz w:val="20"/>
        </w:rPr>
        <w:t>effect</w:t>
      </w:r>
      <w:proofErr w:type="gramEnd"/>
      <w:r>
        <w:rPr>
          <w:rFonts w:ascii="Times New Roman;Times;Serif" w:hAnsi="Times New Roman;Times;Serif"/>
          <w:sz w:val="20"/>
        </w:rPr>
        <w:t xml:space="preserve"> the transactions contemplated hereby will be satisfactory in form and substance to the Buyer.</w:t>
      </w:r>
    </w:p>
    <w:p w14:paraId="475ACE55" w14:textId="77777777" w:rsidR="00E22AC0" w:rsidRDefault="00FC56F3">
      <w:pPr>
        <w:pStyle w:val="a3"/>
        <w:spacing w:after="0"/>
        <w:ind w:firstLine="720"/>
        <w:jc w:val="both"/>
      </w:pPr>
      <w:r>
        <w:t> </w:t>
      </w:r>
    </w:p>
    <w:p w14:paraId="01AA689A"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26</w:t>
      </w:r>
    </w:p>
    <w:p w14:paraId="017B87A2" w14:textId="77777777" w:rsidR="00E22AC0" w:rsidRDefault="00FC56F3">
      <w:pPr>
        <w:pStyle w:val="a3"/>
        <w:spacing w:after="0"/>
      </w:pPr>
      <w:r>
        <w:t> </w:t>
      </w:r>
    </w:p>
    <w:p w14:paraId="7B0F015B" w14:textId="77777777" w:rsidR="00E22AC0" w:rsidRDefault="00FC56F3">
      <w:pPr>
        <w:pStyle w:val="a3"/>
        <w:spacing w:after="0"/>
        <w:ind w:firstLine="720"/>
        <w:jc w:val="both"/>
      </w:pPr>
      <w:r>
        <w:t> </w:t>
      </w:r>
    </w:p>
    <w:p w14:paraId="09B3F70B"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8.2 </w:t>
      </w:r>
      <w:r>
        <w:rPr>
          <w:rFonts w:ascii="Times New Roman;Times;Serif" w:hAnsi="Times New Roman;Times;Serif"/>
          <w:sz w:val="20"/>
          <w:u w:val="single"/>
        </w:rPr>
        <w:t>Conditions to Obligation of the Sellers</w:t>
      </w:r>
      <w:r>
        <w:rPr>
          <w:rFonts w:ascii="Times New Roman;Times;Serif" w:hAnsi="Times New Roman;Times;Serif"/>
          <w:sz w:val="20"/>
        </w:rPr>
        <w:t xml:space="preserve">. The obligation of the </w:t>
      </w:r>
      <w:r>
        <w:rPr>
          <w:rFonts w:ascii="Times New Roman;Times;Serif" w:hAnsi="Times New Roman;Times;Serif"/>
          <w:sz w:val="20"/>
        </w:rPr>
        <w:t>Sellers to consummate the Acquisition is subject to the satisfaction or waiver by the Sellers of the following conditions:</w:t>
      </w:r>
    </w:p>
    <w:p w14:paraId="58191286" w14:textId="77777777" w:rsidR="00E22AC0" w:rsidRDefault="00FC56F3">
      <w:pPr>
        <w:pStyle w:val="a3"/>
        <w:spacing w:after="0"/>
        <w:ind w:firstLine="1440"/>
        <w:jc w:val="both"/>
      </w:pPr>
      <w:r>
        <w:t> </w:t>
      </w:r>
    </w:p>
    <w:p w14:paraId="54E87AFE"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(a) The representations and warranties of the Buyer set forth in this Agreement will be true and correct in all respects as of the </w:t>
      </w:r>
      <w:r>
        <w:rPr>
          <w:rFonts w:ascii="Times New Roman;Times;Serif" w:hAnsi="Times New Roman;Times;Serif"/>
          <w:sz w:val="20"/>
        </w:rPr>
        <w:t>date of this Agreement and as of the Closing Date (except to the extent such representations and warranties speak as of another date, in which case such representations and warranties will be true and correct as of such other date), except where the failur</w:t>
      </w:r>
      <w:r>
        <w:rPr>
          <w:rFonts w:ascii="Times New Roman;Times;Serif" w:hAnsi="Times New Roman;Times;Serif"/>
          <w:sz w:val="20"/>
        </w:rPr>
        <w:t>e of such representations and warranties to be so true and correct does not adversely affect the ability of the Buyer to consummate the Acquisition and the other transactions contemplated by this Agreement. The Sellers will have received a certificate sign</w:t>
      </w:r>
      <w:r>
        <w:rPr>
          <w:rFonts w:ascii="Times New Roman;Times;Serif" w:hAnsi="Times New Roman;Times;Serif"/>
          <w:sz w:val="20"/>
        </w:rPr>
        <w:t>ed on behalf of the Buyer by a duly authorized officer of the Buyer to such effect.</w:t>
      </w:r>
    </w:p>
    <w:p w14:paraId="75C333B8" w14:textId="77777777" w:rsidR="00E22AC0" w:rsidRDefault="00FC56F3">
      <w:pPr>
        <w:pStyle w:val="a3"/>
        <w:spacing w:after="0"/>
        <w:ind w:firstLine="1440"/>
        <w:jc w:val="both"/>
      </w:pPr>
      <w:r>
        <w:t> </w:t>
      </w:r>
    </w:p>
    <w:p w14:paraId="5CA404B1"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 The Buyer will have performed in all material respects all of the covenants required to be performed by it under this Agreement at or prior to the Closing except such</w:t>
      </w:r>
      <w:r>
        <w:rPr>
          <w:rFonts w:ascii="Times New Roman;Times;Serif" w:hAnsi="Times New Roman;Times;Serif"/>
          <w:sz w:val="20"/>
        </w:rPr>
        <w:t xml:space="preserve"> failures to perform as do not materially adversely affect the ability of the Buyer to consummate the Acquisition and the other transactions contemplated by this Agreement. The Sellers will have received a certificate signed on behalf of the Buyer by a dul</w:t>
      </w:r>
      <w:r>
        <w:rPr>
          <w:rFonts w:ascii="Times New Roman;Times;Serif" w:hAnsi="Times New Roman;Times;Serif"/>
          <w:sz w:val="20"/>
        </w:rPr>
        <w:t>y authorized officer of the Buyer to such effect.</w:t>
      </w:r>
    </w:p>
    <w:p w14:paraId="1B54D50B" w14:textId="77777777" w:rsidR="00E22AC0" w:rsidRDefault="00FC56F3">
      <w:pPr>
        <w:pStyle w:val="a3"/>
        <w:spacing w:after="0"/>
        <w:ind w:firstLine="1440"/>
        <w:jc w:val="both"/>
      </w:pPr>
      <w:r>
        <w:t> </w:t>
      </w:r>
    </w:p>
    <w:p w14:paraId="207DB933"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(c) All applicable waiting periods (and any extensions thereof) will have expired or otherwise been terminated and the parties hereto will have received all other authorizations, consents and approvals of</w:t>
      </w:r>
      <w:r>
        <w:rPr>
          <w:rFonts w:ascii="Times New Roman;Times;Serif" w:hAnsi="Times New Roman;Times;Serif"/>
          <w:sz w:val="20"/>
        </w:rPr>
        <w:t xml:space="preserve"> all Governmental Entities in connection with the execution, delivery and performance of this Agreement and the transactions contemplated hereby.</w:t>
      </w:r>
    </w:p>
    <w:p w14:paraId="1236A7D5" w14:textId="77777777" w:rsidR="00E22AC0" w:rsidRDefault="00FC56F3">
      <w:pPr>
        <w:pStyle w:val="a3"/>
        <w:spacing w:after="0"/>
        <w:ind w:firstLine="1440"/>
        <w:jc w:val="both"/>
      </w:pPr>
      <w:r>
        <w:t> </w:t>
      </w:r>
    </w:p>
    <w:p w14:paraId="55D142BC"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(d) No temporary, preliminary or permanent restraining Order preventing the consummation of the Acquisition </w:t>
      </w:r>
      <w:r>
        <w:rPr>
          <w:rFonts w:ascii="Times New Roman;Times;Serif" w:hAnsi="Times New Roman;Times;Serif"/>
          <w:sz w:val="20"/>
        </w:rPr>
        <w:t>will be in effect.</w:t>
      </w:r>
    </w:p>
    <w:p w14:paraId="57FA1484" w14:textId="77777777" w:rsidR="00E22AC0" w:rsidRDefault="00FC56F3">
      <w:pPr>
        <w:pStyle w:val="a3"/>
        <w:spacing w:after="0"/>
        <w:ind w:firstLine="1440"/>
        <w:jc w:val="both"/>
      </w:pPr>
      <w:r>
        <w:t> </w:t>
      </w:r>
    </w:p>
    <w:p w14:paraId="2FF1ED36"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(e) Each party, as appropriate, shall have obtained any required consents, permits, licenses, approvals or notifications of any Governmental Entities, lenders, lessors, suppliers, customers or other third parties for which the Buyer wi</w:t>
      </w:r>
      <w:r>
        <w:rPr>
          <w:rFonts w:ascii="Times New Roman;Times;Serif" w:hAnsi="Times New Roman;Times;Serif"/>
          <w:sz w:val="20"/>
        </w:rPr>
        <w:t>ll assume responsibility for properly completing any and all necessary forms required when applying for and securing any necessary transfers.</w:t>
      </w:r>
    </w:p>
    <w:p w14:paraId="6F26019D" w14:textId="77777777" w:rsidR="00E22AC0" w:rsidRDefault="00FC56F3">
      <w:pPr>
        <w:pStyle w:val="a3"/>
        <w:spacing w:after="0"/>
        <w:ind w:firstLine="1440"/>
        <w:jc w:val="both"/>
      </w:pPr>
      <w:r>
        <w:t> </w:t>
      </w:r>
    </w:p>
    <w:p w14:paraId="2018CB70"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(f) Each of the Sellers shall have entered into an employment agreement with the Buyer. The employment agreement</w:t>
      </w:r>
      <w:r>
        <w:rPr>
          <w:rFonts w:ascii="Times New Roman;Times;Serif" w:hAnsi="Times New Roman;Times;Serif"/>
          <w:sz w:val="20"/>
        </w:rPr>
        <w:t xml:space="preserve">s will contain such material terms and conditions as set forth in </w:t>
      </w:r>
      <w:r>
        <w:rPr>
          <w:rFonts w:ascii="Times New Roman;Times;Serif" w:hAnsi="Times New Roman;Times;Serif"/>
          <w:b/>
          <w:sz w:val="20"/>
        </w:rPr>
        <w:t>Exhibit D</w:t>
      </w:r>
      <w:r>
        <w:rPr>
          <w:rFonts w:ascii="Times New Roman;Times;Serif" w:hAnsi="Times New Roman;Times;Serif"/>
          <w:sz w:val="20"/>
        </w:rPr>
        <w:t xml:space="preserve"> attached hereto and incorporated herein by this reference, together with any other terms and conditions as may be mutually agreed by the Parties.</w:t>
      </w:r>
    </w:p>
    <w:p w14:paraId="724154A3" w14:textId="77777777" w:rsidR="00E22AC0" w:rsidRDefault="00FC56F3">
      <w:pPr>
        <w:pStyle w:val="a3"/>
        <w:spacing w:after="0"/>
        <w:ind w:firstLine="1440"/>
        <w:jc w:val="both"/>
      </w:pPr>
      <w:r>
        <w:t> </w:t>
      </w:r>
    </w:p>
    <w:p w14:paraId="4F58DFF5"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(g) All actions to be taken by t</w:t>
      </w:r>
      <w:r>
        <w:rPr>
          <w:rFonts w:ascii="Times New Roman;Times;Serif" w:hAnsi="Times New Roman;Times;Serif"/>
          <w:sz w:val="20"/>
        </w:rPr>
        <w:t xml:space="preserve">he Buyer in connection with consummation of the transactions contemplated hereby and all certificates, opinions, instruments, and other documents required to </w:t>
      </w:r>
      <w:proofErr w:type="gramStart"/>
      <w:r>
        <w:rPr>
          <w:rFonts w:ascii="Times New Roman;Times;Serif" w:hAnsi="Times New Roman;Times;Serif"/>
          <w:sz w:val="20"/>
        </w:rPr>
        <w:t>effect</w:t>
      </w:r>
      <w:proofErr w:type="gramEnd"/>
      <w:r>
        <w:rPr>
          <w:rFonts w:ascii="Times New Roman;Times;Serif" w:hAnsi="Times New Roman;Times;Serif"/>
          <w:sz w:val="20"/>
        </w:rPr>
        <w:t xml:space="preserve"> the transactions contemplated hereby will be satisfactory in form and substance to the Sell</w:t>
      </w:r>
      <w:r>
        <w:rPr>
          <w:rFonts w:ascii="Times New Roman;Times;Serif" w:hAnsi="Times New Roman;Times;Serif"/>
          <w:sz w:val="20"/>
        </w:rPr>
        <w:t>ers.</w:t>
      </w:r>
    </w:p>
    <w:p w14:paraId="1F94A5D4" w14:textId="77777777" w:rsidR="00E22AC0" w:rsidRDefault="00FC56F3">
      <w:pPr>
        <w:pStyle w:val="a3"/>
        <w:spacing w:after="0"/>
        <w:jc w:val="center"/>
      </w:pPr>
      <w:r>
        <w:t> </w:t>
      </w:r>
    </w:p>
    <w:p w14:paraId="24AA781B" w14:textId="77777777" w:rsidR="00E22AC0" w:rsidRDefault="00FC56F3">
      <w:pPr>
        <w:pStyle w:val="a3"/>
        <w:spacing w:after="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27</w:t>
      </w:r>
    </w:p>
    <w:p w14:paraId="3ACE5F3A" w14:textId="77777777" w:rsidR="00E22AC0" w:rsidRDefault="00FC56F3">
      <w:pPr>
        <w:pStyle w:val="a3"/>
        <w:spacing w:after="0"/>
      </w:pPr>
      <w:r>
        <w:t> </w:t>
      </w:r>
    </w:p>
    <w:p w14:paraId="1A280F7C" w14:textId="77777777" w:rsidR="00E22AC0" w:rsidRDefault="00FC56F3">
      <w:pPr>
        <w:pStyle w:val="a3"/>
        <w:spacing w:after="0"/>
        <w:jc w:val="center"/>
      </w:pPr>
      <w:r>
        <w:t> </w:t>
      </w:r>
    </w:p>
    <w:p w14:paraId="0DE6D29B" w14:textId="77777777" w:rsidR="00E22AC0" w:rsidRDefault="00FC56F3">
      <w:pPr>
        <w:pStyle w:val="a3"/>
        <w:spacing w:after="0"/>
        <w:jc w:val="center"/>
        <w:rPr>
          <w:rFonts w:ascii="Times New Roman;Times;Serif" w:hAnsi="Times New Roman;Times;Serif"/>
          <w:sz w:val="20"/>
        </w:rPr>
      </w:pPr>
      <w:r>
        <w:rPr>
          <w:rFonts w:ascii="Times New Roman;Times;Serif" w:hAnsi="Times New Roman;Times;Serif"/>
          <w:sz w:val="20"/>
        </w:rPr>
        <w:t>ARTICLE IX</w:t>
      </w:r>
      <w:r>
        <w:rPr>
          <w:rFonts w:ascii="Times New Roman;Times;Serif" w:hAnsi="Times New Roman;Times;Serif"/>
          <w:sz w:val="20"/>
        </w:rPr>
        <w:br/>
        <w:t>TERMINATION; AMENDMENT; WAIVER</w:t>
      </w:r>
    </w:p>
    <w:p w14:paraId="6B2A2D84" w14:textId="77777777" w:rsidR="00E22AC0" w:rsidRDefault="00FC56F3">
      <w:pPr>
        <w:pStyle w:val="a3"/>
        <w:spacing w:after="0"/>
        <w:ind w:firstLine="720"/>
        <w:jc w:val="both"/>
      </w:pPr>
      <w:r>
        <w:t> </w:t>
      </w:r>
    </w:p>
    <w:p w14:paraId="4C211D69"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9.1 </w:t>
      </w:r>
      <w:r>
        <w:rPr>
          <w:rFonts w:ascii="Times New Roman;Times;Serif" w:hAnsi="Times New Roman;Times;Serif"/>
          <w:sz w:val="20"/>
          <w:u w:val="single"/>
        </w:rPr>
        <w:t>Termination of Agreement</w:t>
      </w:r>
      <w:r>
        <w:rPr>
          <w:rFonts w:ascii="Times New Roman;Times;Serif" w:hAnsi="Times New Roman;Times;Serif"/>
          <w:sz w:val="20"/>
        </w:rPr>
        <w:t>. This Agreement may be terminated as follows:</w:t>
      </w:r>
    </w:p>
    <w:p w14:paraId="0C6C4E9F" w14:textId="62EE53C5" w:rsidR="00E22AC0" w:rsidRDefault="00FC56F3">
      <w:pPr>
        <w:pStyle w:val="a3"/>
        <w:spacing w:after="0"/>
        <w:ind w:firstLine="1440"/>
        <w:jc w:val="both"/>
        <w:rPr>
          <w:rFonts w:ascii="Times New Roman;Times;Serif" w:hAnsi="Times New Roman;Times;Serif"/>
          <w:sz w:val="20"/>
        </w:rPr>
      </w:pPr>
      <w:r>
        <w:t> </w:t>
      </w:r>
      <w:r>
        <w:rPr>
          <w:rFonts w:ascii="Times New Roman;Times;Serif" w:hAnsi="Times New Roman;Times;Serif"/>
          <w:sz w:val="20"/>
        </w:rPr>
        <w:t>(a) by mutual written consent of the Buyer and the Sellers at any time prior to the Closing;</w:t>
      </w:r>
    </w:p>
    <w:p w14:paraId="4C99B81B" w14:textId="6C108AD3" w:rsidR="00E22AC0" w:rsidRDefault="00FC56F3">
      <w:pPr>
        <w:pStyle w:val="a3"/>
        <w:spacing w:after="0"/>
        <w:ind w:firstLine="1440"/>
        <w:jc w:val="both"/>
        <w:rPr>
          <w:rFonts w:ascii="Times New Roman;Times;Serif" w:hAnsi="Times New Roman;Times;Serif"/>
          <w:sz w:val="20"/>
        </w:rPr>
      </w:pPr>
      <w:r>
        <w:t> </w:t>
      </w:r>
      <w:r>
        <w:rPr>
          <w:rFonts w:ascii="Times New Roman;Times;Serif" w:hAnsi="Times New Roman;Times;Serif"/>
          <w:sz w:val="20"/>
        </w:rPr>
        <w:t xml:space="preserve">(b) by either the </w:t>
      </w:r>
      <w:r>
        <w:rPr>
          <w:rFonts w:ascii="Times New Roman;Times;Serif" w:hAnsi="Times New Roman;Times;Serif"/>
          <w:sz w:val="20"/>
        </w:rPr>
        <w:t>Buyer or the Sellers if any Governmental Entity will have issued an Order or taken any other action permanently enjoining, restraining or otherwise prohibiting the transactions contemplated by this Agreement;</w:t>
      </w:r>
    </w:p>
    <w:p w14:paraId="5E208055" w14:textId="51AAADD2" w:rsidR="00E22AC0" w:rsidRDefault="00FC56F3">
      <w:pPr>
        <w:pStyle w:val="a3"/>
        <w:spacing w:after="0"/>
        <w:ind w:firstLine="1440"/>
        <w:jc w:val="both"/>
        <w:rPr>
          <w:rFonts w:ascii="Times New Roman;Times;Serif" w:hAnsi="Times New Roman;Times;Serif"/>
          <w:sz w:val="20"/>
        </w:rPr>
      </w:pPr>
      <w:r>
        <w:t> </w:t>
      </w:r>
      <w:r>
        <w:rPr>
          <w:rFonts w:ascii="Times New Roman;Times;Serif" w:hAnsi="Times New Roman;Times;Serif"/>
          <w:sz w:val="20"/>
        </w:rPr>
        <w:t>(c) by either the Buyer or the Sellers if the</w:t>
      </w:r>
      <w:r>
        <w:rPr>
          <w:rFonts w:ascii="Times New Roman;Times;Serif" w:hAnsi="Times New Roman;Times;Serif"/>
          <w:sz w:val="20"/>
        </w:rPr>
        <w:t xml:space="preserve"> Closing does not occur on or before the date that is the ninetieth </w:t>
      </w:r>
      <w:r>
        <w:rPr>
          <w:rFonts w:ascii="Times New Roman;Times;Serif" w:hAnsi="Times New Roman;Times;Serif"/>
          <w:sz w:val="20"/>
        </w:rPr>
        <w:lastRenderedPageBreak/>
        <w:t>(90</w:t>
      </w:r>
      <w:proofErr w:type="spellStart"/>
      <w:r>
        <w:rPr>
          <w:rFonts w:ascii="Times New Roman;Times;Serif" w:hAnsi="Times New Roman;Times;Serif"/>
          <w:position w:val="7"/>
          <w:sz w:val="20"/>
        </w:rPr>
        <w:t>th</w:t>
      </w:r>
      <w:proofErr w:type="spellEnd"/>
      <w:r>
        <w:rPr>
          <w:rFonts w:ascii="Times New Roman;Times;Serif" w:hAnsi="Times New Roman;Times;Serif"/>
          <w:sz w:val="20"/>
        </w:rPr>
        <w:t xml:space="preserve">) day following the date that the Sellers deliver to the Buyer the Disclosure Schedule as required by Section 7.13; </w:t>
      </w:r>
      <w:r>
        <w:rPr>
          <w:rFonts w:ascii="Times New Roman;Times;Serif" w:hAnsi="Times New Roman;Times;Serif"/>
          <w:sz w:val="20"/>
          <w:u w:val="single"/>
        </w:rPr>
        <w:t>provided</w:t>
      </w:r>
      <w:r>
        <w:rPr>
          <w:rFonts w:ascii="Times New Roman;Times;Serif" w:hAnsi="Times New Roman;Times;Serif"/>
          <w:sz w:val="20"/>
        </w:rPr>
        <w:t xml:space="preserve"> that the right to terminate this Agreement under this Sect</w:t>
      </w:r>
      <w:r>
        <w:rPr>
          <w:rFonts w:ascii="Times New Roman;Times;Serif" w:hAnsi="Times New Roman;Times;Serif"/>
          <w:sz w:val="20"/>
        </w:rPr>
        <w:t>ion 9.1(c) will not be available to any party whose breach of any provision of this Agreement results in the failure of the Closing to occur by such time;</w:t>
      </w:r>
    </w:p>
    <w:p w14:paraId="2AAD299D" w14:textId="1BDB4428" w:rsidR="00E22AC0" w:rsidRDefault="00FC56F3">
      <w:pPr>
        <w:pStyle w:val="a3"/>
        <w:spacing w:after="0"/>
        <w:ind w:firstLine="1440"/>
        <w:jc w:val="both"/>
        <w:rPr>
          <w:rFonts w:ascii="Times New Roman;Times;Serif" w:hAnsi="Times New Roman;Times;Serif"/>
          <w:sz w:val="20"/>
        </w:rPr>
      </w:pPr>
      <w:r>
        <w:t> </w:t>
      </w:r>
      <w:r>
        <w:rPr>
          <w:rFonts w:ascii="Times New Roman;Times;Serif" w:hAnsi="Times New Roman;Times;Serif"/>
          <w:sz w:val="20"/>
        </w:rPr>
        <w:t>(d) by the Buyer if the Sellers or the Company have breached their respective representations and w</w:t>
      </w:r>
      <w:r>
        <w:rPr>
          <w:rFonts w:ascii="Times New Roman;Times;Serif" w:hAnsi="Times New Roman;Times;Serif"/>
          <w:sz w:val="20"/>
        </w:rPr>
        <w:t>arranties or any covenant or other agreement to be performed by it in a manner such that the Closing conditions set forth in Section 8.1(a) or 8.1(b) would not be satisfied; or</w:t>
      </w:r>
    </w:p>
    <w:p w14:paraId="4C474669" w14:textId="45D27777" w:rsidR="00E22AC0" w:rsidRDefault="00FC56F3">
      <w:pPr>
        <w:pStyle w:val="a3"/>
        <w:spacing w:after="0"/>
        <w:ind w:firstLine="1440"/>
        <w:jc w:val="both"/>
        <w:rPr>
          <w:rFonts w:ascii="Times New Roman;Times;Serif" w:hAnsi="Times New Roman;Times;Serif"/>
          <w:sz w:val="20"/>
        </w:rPr>
      </w:pPr>
      <w:r>
        <w:t> </w:t>
      </w:r>
      <w:r>
        <w:rPr>
          <w:rFonts w:ascii="Times New Roman;Times;Serif" w:hAnsi="Times New Roman;Times;Serif"/>
          <w:sz w:val="20"/>
        </w:rPr>
        <w:t>(e) by the Sellers if the Buyer has breached its representations and warranti</w:t>
      </w:r>
      <w:r>
        <w:rPr>
          <w:rFonts w:ascii="Times New Roman;Times;Serif" w:hAnsi="Times New Roman;Times;Serif"/>
          <w:sz w:val="20"/>
        </w:rPr>
        <w:t>es or any covenant or other agreement to be performed by it in a manner such that the Closing conditions set forth in Section 8.2(a) or 8.2(b) would not be satisfied.</w:t>
      </w:r>
    </w:p>
    <w:p w14:paraId="65650D46" w14:textId="77777777" w:rsidR="00E22AC0" w:rsidRDefault="00FC56F3">
      <w:pPr>
        <w:pStyle w:val="a3"/>
        <w:spacing w:after="0"/>
        <w:ind w:firstLine="720"/>
        <w:jc w:val="both"/>
      </w:pPr>
      <w:r>
        <w:t> </w:t>
      </w:r>
    </w:p>
    <w:p w14:paraId="70BB1C2E"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9.2 </w:t>
      </w:r>
      <w:r>
        <w:rPr>
          <w:rFonts w:ascii="Times New Roman;Times;Serif" w:hAnsi="Times New Roman;Times;Serif"/>
          <w:sz w:val="20"/>
          <w:u w:val="single"/>
        </w:rPr>
        <w:t>Effect of Termination</w:t>
      </w:r>
      <w:r>
        <w:rPr>
          <w:rFonts w:ascii="Times New Roman;Times;Serif" w:hAnsi="Times New Roman;Times;Serif"/>
          <w:sz w:val="20"/>
        </w:rPr>
        <w:t xml:space="preserve">. In the event of termination of this Agreement by either the </w:t>
      </w:r>
      <w:r>
        <w:rPr>
          <w:rFonts w:ascii="Times New Roman;Times;Serif" w:hAnsi="Times New Roman;Times;Serif"/>
          <w:sz w:val="20"/>
        </w:rPr>
        <w:t xml:space="preserve">Sellers or the Buyer as provided in Section 9.1, this Agreement will forthwith become void and have no effect, without any Liability (other than with respect to any suit for breach of this Agreement) on the part of the Buyer, the Buyer Parent, the Company </w:t>
      </w:r>
      <w:r>
        <w:rPr>
          <w:rFonts w:ascii="Times New Roman;Times;Serif" w:hAnsi="Times New Roman;Times;Serif"/>
          <w:sz w:val="20"/>
        </w:rPr>
        <w:t xml:space="preserve">or the Sellers (or any stockholder, agent, consultant or Representative of any such party); </w:t>
      </w:r>
      <w:r>
        <w:rPr>
          <w:rFonts w:ascii="Times New Roman;Times;Serif" w:hAnsi="Times New Roman;Times;Serif"/>
          <w:sz w:val="20"/>
          <w:u w:val="single"/>
        </w:rPr>
        <w:t>provided</w:t>
      </w:r>
      <w:r>
        <w:rPr>
          <w:rFonts w:ascii="Times New Roman;Times;Serif" w:hAnsi="Times New Roman;Times;Serif"/>
          <w:sz w:val="20"/>
        </w:rPr>
        <w:t>, that the provisions of Sections 11.1, 11.6, 11.7, 11.8, 11.11, 11.13 and this Section 9.2 will survive any termination hereof pursuant to Section 9.1.</w:t>
      </w:r>
    </w:p>
    <w:p w14:paraId="5535042D" w14:textId="77777777" w:rsidR="00E22AC0" w:rsidRDefault="00FC56F3">
      <w:pPr>
        <w:pStyle w:val="a3"/>
        <w:spacing w:after="0"/>
        <w:ind w:firstLine="720"/>
        <w:jc w:val="both"/>
      </w:pPr>
      <w:r>
        <w:t> </w:t>
      </w:r>
    </w:p>
    <w:p w14:paraId="6DEE08BD"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9</w:t>
      </w:r>
      <w:r>
        <w:rPr>
          <w:rFonts w:ascii="Times New Roman;Times;Serif" w:hAnsi="Times New Roman;Times;Serif"/>
          <w:sz w:val="20"/>
        </w:rPr>
        <w:t xml:space="preserve">.3 </w:t>
      </w:r>
      <w:r>
        <w:rPr>
          <w:rFonts w:ascii="Times New Roman;Times;Serif" w:hAnsi="Times New Roman;Times;Serif"/>
          <w:sz w:val="20"/>
          <w:u w:val="single"/>
        </w:rPr>
        <w:t>Amendments</w:t>
      </w:r>
      <w:r>
        <w:rPr>
          <w:rFonts w:ascii="Times New Roman;Times;Serif" w:hAnsi="Times New Roman;Times;Serif"/>
          <w:sz w:val="20"/>
        </w:rPr>
        <w:t>. This Agreement may not be amended except by an instrument in writing signed on behalf of the Buyer, the Company and the Sellers.</w:t>
      </w:r>
    </w:p>
    <w:p w14:paraId="5FD2250F" w14:textId="77777777" w:rsidR="00E22AC0" w:rsidRDefault="00FC56F3">
      <w:pPr>
        <w:pStyle w:val="a3"/>
        <w:spacing w:after="0"/>
        <w:ind w:firstLine="720"/>
        <w:jc w:val="both"/>
      </w:pPr>
      <w:r>
        <w:t> </w:t>
      </w:r>
    </w:p>
    <w:p w14:paraId="1BE48798"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9.4 </w:t>
      </w:r>
      <w:r>
        <w:rPr>
          <w:rFonts w:ascii="Times New Roman;Times;Serif" w:hAnsi="Times New Roman;Times;Serif"/>
          <w:sz w:val="20"/>
          <w:u w:val="single"/>
        </w:rPr>
        <w:t>Waiver</w:t>
      </w:r>
      <w:r>
        <w:rPr>
          <w:rFonts w:ascii="Times New Roman;Times;Serif" w:hAnsi="Times New Roman;Times;Serif"/>
          <w:sz w:val="20"/>
        </w:rPr>
        <w:t xml:space="preserve">. At any time prior to the Closing, the Buyer may (a) extend the time for the performance of any of </w:t>
      </w:r>
      <w:r>
        <w:rPr>
          <w:rFonts w:ascii="Times New Roman;Times;Serif" w:hAnsi="Times New Roman;Times;Serif"/>
          <w:sz w:val="20"/>
        </w:rPr>
        <w:t>the covenants, obligations or other acts of the Sellers and the Company or (b) waive any inaccuracy of any representations or warranties or compliance with any of the agreements, covenants or conditions of the Sellers or any conditions to its own obligatio</w:t>
      </w:r>
      <w:r>
        <w:rPr>
          <w:rFonts w:ascii="Times New Roman;Times;Serif" w:hAnsi="Times New Roman;Times;Serif"/>
          <w:sz w:val="20"/>
        </w:rPr>
        <w:t>ns. Any agreement on the part of the Buyer to any such extension or waiver will be valid only if such waiver is set forth in an instrument in writing signed on its behalf by its duly authorized officer. At any time prior to the Closing, the Sellers and the</w:t>
      </w:r>
      <w:r>
        <w:rPr>
          <w:rFonts w:ascii="Times New Roman;Times;Serif" w:hAnsi="Times New Roman;Times;Serif"/>
          <w:sz w:val="20"/>
        </w:rPr>
        <w:t xml:space="preserve"> Company, may (a) extend the time for the performance of any of the covenants, obligations or other acts of the Buyer or (b) waive any inaccuracy of any representations or warranties or compliance with any of the agreements, covenants or conditions of the </w:t>
      </w:r>
      <w:r>
        <w:rPr>
          <w:rFonts w:ascii="Times New Roman;Times;Serif" w:hAnsi="Times New Roman;Times;Serif"/>
          <w:sz w:val="20"/>
        </w:rPr>
        <w:t>Buyer or any conditions to their own obligations. Any agreement on the part of the Sellers and the Company to any such extension or waiver will be valid only if such waiver is set forth in an instrument in writing signed by the Sellers and the Company. The</w:t>
      </w:r>
      <w:r>
        <w:rPr>
          <w:rFonts w:ascii="Times New Roman;Times;Serif" w:hAnsi="Times New Roman;Times;Serif"/>
          <w:sz w:val="20"/>
        </w:rPr>
        <w:t xml:space="preserve"> failure of any party to this Agreement to assert any of its rights under this Agreement or otherwise will not constitute a waiver of such rights. The waiver of any such right with respect to particular facts and other circumstances will not be deemed a wa</w:t>
      </w:r>
      <w:r>
        <w:rPr>
          <w:rFonts w:ascii="Times New Roman;Times;Serif" w:hAnsi="Times New Roman;Times;Serif"/>
          <w:sz w:val="20"/>
        </w:rPr>
        <w:t>iver with respect to any other facts and circumstances, and each such right will be deemed an ongoing right that may be asserted at any time and from time to time.</w:t>
      </w:r>
    </w:p>
    <w:p w14:paraId="29328F36" w14:textId="77777777" w:rsidR="00E22AC0" w:rsidRDefault="00FC56F3">
      <w:pPr>
        <w:pStyle w:val="a3"/>
        <w:spacing w:after="0"/>
        <w:ind w:firstLine="720"/>
        <w:jc w:val="both"/>
      </w:pPr>
      <w:r>
        <w:t> </w:t>
      </w:r>
    </w:p>
    <w:p w14:paraId="13ACDEEA"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28</w:t>
      </w:r>
    </w:p>
    <w:p w14:paraId="69F077BE" w14:textId="77777777" w:rsidR="00E22AC0" w:rsidRDefault="00FC56F3">
      <w:pPr>
        <w:pStyle w:val="a3"/>
        <w:spacing w:after="0"/>
      </w:pPr>
      <w:r>
        <w:t> </w:t>
      </w:r>
    </w:p>
    <w:p w14:paraId="492EB1D4" w14:textId="77777777" w:rsidR="00E22AC0" w:rsidRDefault="00FC56F3">
      <w:pPr>
        <w:pStyle w:val="a3"/>
        <w:spacing w:after="0"/>
        <w:ind w:firstLine="720"/>
        <w:jc w:val="both"/>
      </w:pPr>
      <w:r>
        <w:t> </w:t>
      </w:r>
    </w:p>
    <w:p w14:paraId="1F68EAE2" w14:textId="77777777" w:rsidR="00E22AC0" w:rsidRDefault="00FC56F3">
      <w:pPr>
        <w:pStyle w:val="a3"/>
        <w:spacing w:after="0"/>
        <w:jc w:val="center"/>
        <w:rPr>
          <w:rFonts w:ascii="Times New Roman;Times;Serif" w:hAnsi="Times New Roman;Times;Serif"/>
          <w:sz w:val="20"/>
        </w:rPr>
      </w:pPr>
      <w:r>
        <w:rPr>
          <w:rFonts w:ascii="Times New Roman;Times;Serif" w:hAnsi="Times New Roman;Times;Serif"/>
          <w:sz w:val="20"/>
        </w:rPr>
        <w:t>ARTICLE X</w:t>
      </w:r>
      <w:r>
        <w:rPr>
          <w:rFonts w:ascii="Times New Roman;Times;Serif" w:hAnsi="Times New Roman;Times;Serif"/>
          <w:sz w:val="20"/>
        </w:rPr>
        <w:br/>
        <w:t>INDEMNIFICATION</w:t>
      </w:r>
    </w:p>
    <w:p w14:paraId="1707A3EA" w14:textId="77777777" w:rsidR="00E22AC0" w:rsidRDefault="00FC56F3">
      <w:pPr>
        <w:pStyle w:val="a3"/>
        <w:spacing w:after="0"/>
        <w:ind w:firstLine="720"/>
        <w:jc w:val="both"/>
      </w:pPr>
      <w:r>
        <w:t> </w:t>
      </w:r>
    </w:p>
    <w:p w14:paraId="1B280A3F"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10.1 </w:t>
      </w:r>
      <w:r>
        <w:rPr>
          <w:rFonts w:ascii="Times New Roman;Times;Serif" w:hAnsi="Times New Roman;Times;Serif"/>
          <w:sz w:val="20"/>
          <w:u w:val="single"/>
        </w:rPr>
        <w:t>Survival</w:t>
      </w:r>
      <w:r>
        <w:rPr>
          <w:rFonts w:ascii="Times New Roman;Times;Serif" w:hAnsi="Times New Roman;Times;Serif"/>
          <w:sz w:val="20"/>
        </w:rPr>
        <w:t xml:space="preserve">. The representations and </w:t>
      </w:r>
      <w:r>
        <w:rPr>
          <w:rFonts w:ascii="Times New Roman;Times;Serif" w:hAnsi="Times New Roman;Times;Serif"/>
          <w:sz w:val="20"/>
        </w:rPr>
        <w:t>warranties made herein and in any certificate delivered in connection herewith shall survive for a period of twenty-four (24) months following the Closing Date, at which time they shall expire; provided, however, that (</w:t>
      </w:r>
      <w:proofErr w:type="spellStart"/>
      <w:r>
        <w:rPr>
          <w:rFonts w:ascii="Times New Roman;Times;Serif" w:hAnsi="Times New Roman;Times;Serif"/>
          <w:sz w:val="20"/>
        </w:rPr>
        <w:t>i</w:t>
      </w:r>
      <w:proofErr w:type="spellEnd"/>
      <w:r>
        <w:rPr>
          <w:rFonts w:ascii="Times New Roman;Times;Serif" w:hAnsi="Times New Roman;Times;Serif"/>
          <w:sz w:val="20"/>
        </w:rPr>
        <w:t>) the representations and warranties</w:t>
      </w:r>
      <w:r>
        <w:rPr>
          <w:rFonts w:ascii="Times New Roman;Times;Serif" w:hAnsi="Times New Roman;Times;Serif"/>
          <w:sz w:val="20"/>
        </w:rPr>
        <w:t xml:space="preserve"> set forth in Sections  3.1 (Authority and Enforceability), 3.3 (The Shares), 3.4 (Broker’s Fees), 4.1 (Organization, Qualification and Corporate Power; Authority and Enforceability), 4.3 (Capitalization), 4.17 (Environmental), 5.1 (Organization), 5.2 (Aut</w:t>
      </w:r>
      <w:r>
        <w:rPr>
          <w:rFonts w:ascii="Times New Roman;Times;Serif" w:hAnsi="Times New Roman;Times;Serif"/>
          <w:sz w:val="20"/>
        </w:rPr>
        <w:t>horization), 5.3 (</w:t>
      </w:r>
      <w:proofErr w:type="spellStart"/>
      <w:r>
        <w:rPr>
          <w:rFonts w:ascii="Times New Roman;Times;Serif" w:hAnsi="Times New Roman;Times;Serif"/>
          <w:sz w:val="20"/>
        </w:rPr>
        <w:t>Noncontravention</w:t>
      </w:r>
      <w:proofErr w:type="spellEnd"/>
      <w:r>
        <w:rPr>
          <w:rFonts w:ascii="Times New Roman;Times;Serif" w:hAnsi="Times New Roman;Times;Serif"/>
          <w:sz w:val="20"/>
        </w:rPr>
        <w:t>), 6.1 (Organization), 6.2 (Authorization), 6.3 (</w:t>
      </w:r>
      <w:proofErr w:type="spellStart"/>
      <w:r>
        <w:rPr>
          <w:rFonts w:ascii="Times New Roman;Times;Serif" w:hAnsi="Times New Roman;Times;Serif"/>
          <w:sz w:val="20"/>
        </w:rPr>
        <w:t>Noncontravention</w:t>
      </w:r>
      <w:proofErr w:type="spellEnd"/>
      <w:r>
        <w:rPr>
          <w:rFonts w:ascii="Times New Roman;Times;Serif" w:hAnsi="Times New Roman;Times;Serif"/>
          <w:sz w:val="20"/>
        </w:rPr>
        <w:t>) and 6.4 (Capitalization) of this Agreement (the “</w:t>
      </w:r>
      <w:r>
        <w:rPr>
          <w:rFonts w:ascii="Times New Roman;Times;Serif" w:hAnsi="Times New Roman;Times;Serif"/>
          <w:b/>
          <w:sz w:val="20"/>
        </w:rPr>
        <w:t>Fundamental Representations</w:t>
      </w:r>
      <w:r>
        <w:rPr>
          <w:rFonts w:ascii="Times New Roman;Times;Serif" w:hAnsi="Times New Roman;Times;Serif"/>
          <w:sz w:val="20"/>
        </w:rPr>
        <w:t>”) shall survive indefinitely and (ii) the representations and warranties in Se</w:t>
      </w:r>
      <w:r>
        <w:rPr>
          <w:rFonts w:ascii="Times New Roman;Times;Serif" w:hAnsi="Times New Roman;Times;Serif"/>
          <w:sz w:val="20"/>
        </w:rPr>
        <w:t xml:space="preserve">ction 4.6 (Taxes) of this Agreement shall survive until the expiration of the applicable statute of limitations. If written notice of a claim has been given prior to the expiration of the applicable representations and warranties, then notwithstanding any </w:t>
      </w:r>
      <w:r>
        <w:rPr>
          <w:rFonts w:ascii="Times New Roman;Times;Serif" w:hAnsi="Times New Roman;Times;Serif"/>
          <w:sz w:val="20"/>
        </w:rPr>
        <w:t>statement herein to the contrary, the relevant representations and warranties shall survive as to such claim, until such claim is finally resolved. Unless a specified period is set forth in this Agreement (in which event such specified period will control)</w:t>
      </w:r>
      <w:r>
        <w:rPr>
          <w:rFonts w:ascii="Times New Roman;Times;Serif" w:hAnsi="Times New Roman;Times;Serif"/>
          <w:sz w:val="20"/>
        </w:rPr>
        <w:t>, all agreements and covenants contained in this Agreement will survive the Closing and remain in effect indefinitely.</w:t>
      </w:r>
    </w:p>
    <w:p w14:paraId="6A1DDC3D" w14:textId="77777777" w:rsidR="00E22AC0" w:rsidRDefault="00FC56F3">
      <w:pPr>
        <w:pStyle w:val="a3"/>
        <w:spacing w:after="0"/>
        <w:ind w:firstLine="720"/>
        <w:jc w:val="both"/>
      </w:pPr>
      <w:r>
        <w:t> </w:t>
      </w:r>
    </w:p>
    <w:p w14:paraId="169709B2"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10.2 </w:t>
      </w:r>
      <w:r>
        <w:rPr>
          <w:rFonts w:ascii="Times New Roman;Times;Serif" w:hAnsi="Times New Roman;Times;Serif"/>
          <w:sz w:val="20"/>
          <w:u w:val="single"/>
        </w:rPr>
        <w:t>Indemnification by Sellers</w:t>
      </w:r>
      <w:r>
        <w:rPr>
          <w:rFonts w:ascii="Times New Roman;Times;Serif" w:hAnsi="Times New Roman;Times;Serif"/>
          <w:sz w:val="20"/>
        </w:rPr>
        <w:t xml:space="preserve">. From and after the Closing, the Sellers agree, severally and not jointly, to indemnify, defend and </w:t>
      </w:r>
      <w:r>
        <w:rPr>
          <w:rFonts w:ascii="Times New Roman;Times;Serif" w:hAnsi="Times New Roman;Times;Serif"/>
          <w:sz w:val="20"/>
        </w:rPr>
        <w:t>save Buyer and its Affiliates, stockholders, officers, directors, employees, agents and representatives (each, a “</w:t>
      </w:r>
      <w:r>
        <w:rPr>
          <w:rFonts w:ascii="Times New Roman;Times;Serif" w:hAnsi="Times New Roman;Times;Serif"/>
          <w:b/>
          <w:sz w:val="20"/>
        </w:rPr>
        <w:t>Buyer Indemnified Party</w:t>
      </w:r>
      <w:r>
        <w:rPr>
          <w:rFonts w:ascii="Times New Roman;Times;Serif" w:hAnsi="Times New Roman;Times;Serif"/>
          <w:sz w:val="20"/>
        </w:rPr>
        <w:t>” and collectively, the “</w:t>
      </w:r>
      <w:r>
        <w:rPr>
          <w:rFonts w:ascii="Times New Roman;Times;Serif" w:hAnsi="Times New Roman;Times;Serif"/>
          <w:b/>
          <w:sz w:val="20"/>
        </w:rPr>
        <w:t>Buyer Indemnified Parties</w:t>
      </w:r>
      <w:r>
        <w:rPr>
          <w:rFonts w:ascii="Times New Roman;Times;Serif" w:hAnsi="Times New Roman;Times;Serif"/>
          <w:sz w:val="20"/>
        </w:rPr>
        <w:t>”) harmless from and against any and all liabilities, deficiencies, d</w:t>
      </w:r>
      <w:r>
        <w:rPr>
          <w:rFonts w:ascii="Times New Roman;Times;Serif" w:hAnsi="Times New Roman;Times;Serif"/>
          <w:sz w:val="20"/>
        </w:rPr>
        <w:t xml:space="preserve">emands, claims, Actions, assessments, losses, costs, expenses, interest, fines, penalties and damages </w:t>
      </w:r>
      <w:r>
        <w:rPr>
          <w:rFonts w:ascii="Times New Roman;Times;Serif" w:hAnsi="Times New Roman;Times;Serif"/>
          <w:sz w:val="20"/>
        </w:rPr>
        <w:lastRenderedPageBreak/>
        <w:t>(including fees and expenses of attorneys and accountants and costs of investigation) (individually and collectively, the “</w:t>
      </w:r>
      <w:r>
        <w:rPr>
          <w:rFonts w:ascii="Times New Roman;Times;Serif" w:hAnsi="Times New Roman;Times;Serif"/>
          <w:b/>
          <w:sz w:val="20"/>
        </w:rPr>
        <w:t>Losses</w:t>
      </w:r>
      <w:r>
        <w:rPr>
          <w:rFonts w:ascii="Times New Roman;Times;Serif" w:hAnsi="Times New Roman;Times;Serif"/>
          <w:sz w:val="20"/>
        </w:rPr>
        <w:t>”) suffered, sustained or</w:t>
      </w:r>
      <w:r>
        <w:rPr>
          <w:rFonts w:ascii="Times New Roman;Times;Serif" w:hAnsi="Times New Roman;Times;Serif"/>
          <w:sz w:val="20"/>
        </w:rPr>
        <w:t xml:space="preserve"> incurred by any Buyer Indemnified Party arising out of or otherwise by virtue of: (a) any breach of any of the representations or warranties of the Sellers or the Company contained in Article III or IV of this Agreement or (b) the failure of the Sellers t</w:t>
      </w:r>
      <w:r>
        <w:rPr>
          <w:rFonts w:ascii="Times New Roman;Times;Serif" w:hAnsi="Times New Roman;Times;Serif"/>
          <w:sz w:val="20"/>
        </w:rPr>
        <w:t>o perform any of his or her covenants or obligations contained in this Agreement.</w:t>
      </w:r>
    </w:p>
    <w:p w14:paraId="3B5BBCF8" w14:textId="77777777" w:rsidR="00E22AC0" w:rsidRDefault="00FC56F3">
      <w:pPr>
        <w:pStyle w:val="a3"/>
        <w:spacing w:after="0"/>
        <w:ind w:firstLine="720"/>
        <w:jc w:val="both"/>
      </w:pPr>
      <w:r>
        <w:t> </w:t>
      </w:r>
    </w:p>
    <w:p w14:paraId="496D3EA0"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10.3 </w:t>
      </w:r>
      <w:r>
        <w:rPr>
          <w:rFonts w:ascii="Times New Roman;Times;Serif" w:hAnsi="Times New Roman;Times;Serif"/>
          <w:sz w:val="20"/>
          <w:u w:val="single"/>
        </w:rPr>
        <w:t>Indemnification by Buyer</w:t>
      </w:r>
      <w:r>
        <w:rPr>
          <w:rFonts w:ascii="Times New Roman;Times;Serif" w:hAnsi="Times New Roman;Times;Serif"/>
          <w:sz w:val="20"/>
        </w:rPr>
        <w:t>. From and after the Closing, the Buyer agrees to indemnify, defend and save the Sellers and to the extent applicable, the Sellers’ Affiliates,</w:t>
      </w:r>
      <w:r>
        <w:rPr>
          <w:rFonts w:ascii="Times New Roman;Times;Serif" w:hAnsi="Times New Roman;Times;Serif"/>
          <w:sz w:val="20"/>
        </w:rPr>
        <w:t xml:space="preserve"> employees, agents and representatives (each, a “</w:t>
      </w:r>
      <w:r>
        <w:rPr>
          <w:rFonts w:ascii="Times New Roman;Times;Serif" w:hAnsi="Times New Roman;Times;Serif"/>
          <w:b/>
          <w:sz w:val="20"/>
        </w:rPr>
        <w:t>Seller Indemnified Party</w:t>
      </w:r>
      <w:r>
        <w:rPr>
          <w:rFonts w:ascii="Times New Roman;Times;Serif" w:hAnsi="Times New Roman;Times;Serif"/>
          <w:sz w:val="20"/>
        </w:rPr>
        <w:t>” and collectively the “</w:t>
      </w:r>
      <w:r>
        <w:rPr>
          <w:rFonts w:ascii="Times New Roman;Times;Serif" w:hAnsi="Times New Roman;Times;Serif"/>
          <w:b/>
          <w:sz w:val="20"/>
        </w:rPr>
        <w:t>Seller Indemnified Parties</w:t>
      </w:r>
      <w:r>
        <w:rPr>
          <w:rFonts w:ascii="Times New Roman;Times;Serif" w:hAnsi="Times New Roman;Times;Serif"/>
          <w:sz w:val="20"/>
        </w:rPr>
        <w:t xml:space="preserve">”) harmless from and against any and all Losses sustained or incurred by any Seller Indemnified Party arising out of or otherwise by </w:t>
      </w:r>
      <w:r>
        <w:rPr>
          <w:rFonts w:ascii="Times New Roman;Times;Serif" w:hAnsi="Times New Roman;Times;Serif"/>
          <w:sz w:val="20"/>
        </w:rPr>
        <w:t>virtue of: (a) any breach of any of the representations and warranties of Buyer contained in Article V and VI of this Agreement or (b) the failure of Buyer to perform any of its covenants or obligations contained in this Agreement.</w:t>
      </w:r>
    </w:p>
    <w:p w14:paraId="7F08535E" w14:textId="77777777" w:rsidR="00E22AC0" w:rsidRDefault="00FC56F3">
      <w:pPr>
        <w:pStyle w:val="a3"/>
        <w:spacing w:after="0"/>
        <w:ind w:firstLine="720"/>
        <w:jc w:val="both"/>
      </w:pPr>
      <w:r>
        <w:t> </w:t>
      </w:r>
    </w:p>
    <w:p w14:paraId="7D7335C8"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29</w:t>
      </w:r>
    </w:p>
    <w:p w14:paraId="47E32494" w14:textId="77777777" w:rsidR="00E22AC0" w:rsidRDefault="00FC56F3">
      <w:pPr>
        <w:pStyle w:val="a3"/>
        <w:spacing w:after="0"/>
      </w:pPr>
      <w:r>
        <w:t> </w:t>
      </w:r>
    </w:p>
    <w:p w14:paraId="6FFF2365" w14:textId="77777777" w:rsidR="00E22AC0" w:rsidRDefault="00FC56F3">
      <w:pPr>
        <w:pStyle w:val="a3"/>
        <w:spacing w:after="0"/>
        <w:ind w:firstLine="720"/>
        <w:jc w:val="both"/>
      </w:pPr>
      <w:r>
        <w:t> </w:t>
      </w:r>
    </w:p>
    <w:p w14:paraId="29FDCD88"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10.4 </w:t>
      </w:r>
      <w:r>
        <w:rPr>
          <w:rFonts w:ascii="Times New Roman;Times;Serif" w:hAnsi="Times New Roman;Times;Serif"/>
          <w:sz w:val="20"/>
          <w:u w:val="single"/>
        </w:rPr>
        <w:t>Indemnific</w:t>
      </w:r>
      <w:r>
        <w:rPr>
          <w:rFonts w:ascii="Times New Roman;Times;Serif" w:hAnsi="Times New Roman;Times;Serif"/>
          <w:sz w:val="20"/>
          <w:u w:val="single"/>
        </w:rPr>
        <w:t>ation Procedure</w:t>
      </w:r>
      <w:r>
        <w:rPr>
          <w:rFonts w:ascii="Times New Roman;Times;Serif" w:hAnsi="Times New Roman;Times;Serif"/>
          <w:sz w:val="20"/>
        </w:rPr>
        <w:t>.</w:t>
      </w:r>
    </w:p>
    <w:p w14:paraId="08C2AD5B" w14:textId="77777777" w:rsidR="00E22AC0" w:rsidRDefault="00FC56F3">
      <w:pPr>
        <w:pStyle w:val="a3"/>
        <w:spacing w:after="0"/>
        <w:ind w:firstLine="1440"/>
        <w:jc w:val="both"/>
      </w:pPr>
      <w:r>
        <w:t> </w:t>
      </w:r>
    </w:p>
    <w:p w14:paraId="2F813275"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(a) If a Buyer Indemnified Party or a Seller Indemnified Party seeks indemnification under this Article X, such party (the “</w:t>
      </w:r>
      <w:r>
        <w:rPr>
          <w:rFonts w:ascii="Times New Roman;Times;Serif" w:hAnsi="Times New Roman;Times;Serif"/>
          <w:b/>
          <w:sz w:val="20"/>
        </w:rPr>
        <w:t>Indemnified Party</w:t>
      </w:r>
      <w:r>
        <w:rPr>
          <w:rFonts w:ascii="Times New Roman;Times;Serif" w:hAnsi="Times New Roman;Times;Serif"/>
          <w:sz w:val="20"/>
        </w:rPr>
        <w:t>”) shall give written notice to the other party (the “</w:t>
      </w:r>
      <w:r>
        <w:rPr>
          <w:rFonts w:ascii="Times New Roman;Times;Serif" w:hAnsi="Times New Roman;Times;Serif"/>
          <w:b/>
          <w:sz w:val="20"/>
        </w:rPr>
        <w:t>Indemnifying Party</w:t>
      </w:r>
      <w:r>
        <w:rPr>
          <w:rFonts w:ascii="Times New Roman;Times;Serif" w:hAnsi="Times New Roman;Times;Serif"/>
          <w:sz w:val="20"/>
        </w:rPr>
        <w:t>”) of the facts and circ</w:t>
      </w:r>
      <w:r>
        <w:rPr>
          <w:rFonts w:ascii="Times New Roman;Times;Serif" w:hAnsi="Times New Roman;Times;Serif"/>
          <w:sz w:val="20"/>
        </w:rPr>
        <w:t>umstances giving rise to the claim. In that regard, if any Action, Liability or obligation shall be brought or asserted by any third party which, if adversely determined, would entitle the Indemnified Party to indemnity pursuant to this Article X (a “</w:t>
      </w:r>
      <w:r>
        <w:rPr>
          <w:rFonts w:ascii="Times New Roman;Times;Serif" w:hAnsi="Times New Roman;Times;Serif"/>
          <w:b/>
          <w:sz w:val="20"/>
        </w:rPr>
        <w:t>Third</w:t>
      </w:r>
      <w:r>
        <w:rPr>
          <w:rFonts w:ascii="Times New Roman;Times;Serif" w:hAnsi="Times New Roman;Times;Serif"/>
          <w:b/>
          <w:sz w:val="20"/>
        </w:rPr>
        <w:t>-Party Claim</w:t>
      </w:r>
      <w:r>
        <w:rPr>
          <w:rFonts w:ascii="Times New Roman;Times;Serif" w:hAnsi="Times New Roman;Times;Serif"/>
          <w:sz w:val="20"/>
        </w:rPr>
        <w:t>”), the Indemnified Party shall promptly notify the Indemnifying Party of such Third-Party Claim in writing, specifying the basis of such claim and the facts pertaining thereto, and the Indemnifying Party, if the Indemnifying Party so elects, s</w:t>
      </w:r>
      <w:r>
        <w:rPr>
          <w:rFonts w:ascii="Times New Roman;Times;Serif" w:hAnsi="Times New Roman;Times;Serif"/>
          <w:sz w:val="20"/>
        </w:rPr>
        <w:t>hall assume and control the defense thereof (and shall consult with the Indemnified Party with respect thereto), including the employment of counsel reasonably satisfactory to the Indemnified Party and the payment of all necessary expenses. If the Indemnif</w:t>
      </w:r>
      <w:r>
        <w:rPr>
          <w:rFonts w:ascii="Times New Roman;Times;Serif" w:hAnsi="Times New Roman;Times;Serif"/>
          <w:sz w:val="20"/>
        </w:rPr>
        <w:t>ying Party elects to assume control of the defense of a Third-Party Claim, the Indemnified Party shall have the right to employ counsel separate from counsel employed by the Indemnifying Party in any such action and to participate in the defense thereof, b</w:t>
      </w:r>
      <w:r>
        <w:rPr>
          <w:rFonts w:ascii="Times New Roman;Times;Serif" w:hAnsi="Times New Roman;Times;Serif"/>
          <w:sz w:val="20"/>
        </w:rPr>
        <w:t>ut the fees and expenses of such counsel employed by the Indemnified Party shall be at the expense of the Indemnified Party unless (</w:t>
      </w:r>
      <w:proofErr w:type="spellStart"/>
      <w:r>
        <w:rPr>
          <w:rFonts w:ascii="Times New Roman;Times;Serif" w:hAnsi="Times New Roman;Times;Serif"/>
          <w:sz w:val="20"/>
        </w:rPr>
        <w:t>i</w:t>
      </w:r>
      <w:proofErr w:type="spellEnd"/>
      <w:r>
        <w:rPr>
          <w:rFonts w:ascii="Times New Roman;Times;Serif" w:hAnsi="Times New Roman;Times;Serif"/>
          <w:sz w:val="20"/>
        </w:rPr>
        <w:t>) the Indemnifying Party has been advised by the Indemnifying Party’s counsel that a reasonable likelihood exists of a conf</w:t>
      </w:r>
      <w:r>
        <w:rPr>
          <w:rFonts w:ascii="Times New Roman;Times;Serif" w:hAnsi="Times New Roman;Times;Serif"/>
          <w:sz w:val="20"/>
        </w:rPr>
        <w:t>lict of interest between the Indemnifying Party and the Indemnified Party, or (ii) the Indemnifying Party has failed to assume the defense and employ counsel; in which case the fees and expenses of the Indemnified Party’s counsel shall be paid by the Indem</w:t>
      </w:r>
      <w:r>
        <w:rPr>
          <w:rFonts w:ascii="Times New Roman;Times;Serif" w:hAnsi="Times New Roman;Times;Serif"/>
          <w:sz w:val="20"/>
        </w:rPr>
        <w:t>nifying Party. All claims other than Third-Party Claims (a “</w:t>
      </w:r>
      <w:r>
        <w:rPr>
          <w:rFonts w:ascii="Times New Roman;Times;Serif" w:hAnsi="Times New Roman;Times;Serif"/>
          <w:b/>
          <w:sz w:val="20"/>
        </w:rPr>
        <w:t>Direct Claim</w:t>
      </w:r>
      <w:r>
        <w:rPr>
          <w:rFonts w:ascii="Times New Roman;Times;Serif" w:hAnsi="Times New Roman;Times;Serif"/>
          <w:sz w:val="20"/>
        </w:rPr>
        <w:t>”) may be asserted by the Indemnified Party giving notice to the Indemnifying Party. Absent an emergency or other extenuating circumstance, the Indemnified Party shall give written not</w:t>
      </w:r>
      <w:r>
        <w:rPr>
          <w:rFonts w:ascii="Times New Roman;Times;Serif" w:hAnsi="Times New Roman;Times;Serif"/>
          <w:sz w:val="20"/>
        </w:rPr>
        <w:t>ice to the Indemnifying Party of such Direct Claim prior to taking any material actions to remedy such Direct Claim.</w:t>
      </w:r>
    </w:p>
    <w:p w14:paraId="0A798767" w14:textId="77777777" w:rsidR="00E22AC0" w:rsidRDefault="00FC56F3">
      <w:pPr>
        <w:pStyle w:val="a3"/>
        <w:spacing w:after="0"/>
        <w:ind w:firstLine="1440"/>
        <w:jc w:val="both"/>
      </w:pPr>
      <w:r>
        <w:t> </w:t>
      </w:r>
    </w:p>
    <w:p w14:paraId="734C262C"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(b) In no event shall the Indemnified Party pay or enter into any settlement of any claim or consent to any judgment with respect to </w:t>
      </w:r>
      <w:r>
        <w:rPr>
          <w:rFonts w:ascii="Times New Roman;Times;Serif" w:hAnsi="Times New Roman;Times;Serif"/>
          <w:sz w:val="20"/>
        </w:rPr>
        <w:t>any Third-Party Claim without the prior written consent of the Indemnifying Party (which consent shall not be unreasonably withheld, conditioned or delayed) if such settlement or judgment would require the Indemnifying Party to pay any amount. The Indemnif</w:t>
      </w:r>
      <w:r>
        <w:rPr>
          <w:rFonts w:ascii="Times New Roman;Times;Serif" w:hAnsi="Times New Roman;Times;Serif"/>
          <w:sz w:val="20"/>
        </w:rPr>
        <w:t>ying Party may enter into a settlement or consent to any judgment without the consent of the Indemnified Party so long as (</w:t>
      </w:r>
      <w:proofErr w:type="spellStart"/>
      <w:r>
        <w:rPr>
          <w:rFonts w:ascii="Times New Roman;Times;Serif" w:hAnsi="Times New Roman;Times;Serif"/>
          <w:sz w:val="20"/>
        </w:rPr>
        <w:t>i</w:t>
      </w:r>
      <w:proofErr w:type="spellEnd"/>
      <w:r>
        <w:rPr>
          <w:rFonts w:ascii="Times New Roman;Times;Serif" w:hAnsi="Times New Roman;Times;Serif"/>
          <w:sz w:val="20"/>
        </w:rPr>
        <w:t>) such settlement or judgment involves monetary damages only and (ii) a term of the settlement or judgment is that the Person or Per</w:t>
      </w:r>
      <w:r>
        <w:rPr>
          <w:rFonts w:ascii="Times New Roman;Times;Serif" w:hAnsi="Times New Roman;Times;Serif"/>
          <w:sz w:val="20"/>
        </w:rPr>
        <w:t>sons asserting such Third-Party Claim unconditionally release all Indemnified Parties from all liability with respect to such claim; otherwise the consent of the Indemnified Party shall be required in order to enter into any settlement of, or consent to th</w:t>
      </w:r>
      <w:r>
        <w:rPr>
          <w:rFonts w:ascii="Times New Roman;Times;Serif" w:hAnsi="Times New Roman;Times;Serif"/>
          <w:sz w:val="20"/>
        </w:rPr>
        <w:t>e entry of a judgment with respect to, any Third-Party Claim, which consent shall not be unreasonably withheld, conditioned or delayed.</w:t>
      </w:r>
    </w:p>
    <w:p w14:paraId="4B61692F" w14:textId="77777777" w:rsidR="00E22AC0" w:rsidRDefault="00FC56F3">
      <w:pPr>
        <w:pStyle w:val="a3"/>
        <w:spacing w:after="0"/>
        <w:ind w:firstLine="720"/>
        <w:jc w:val="both"/>
      </w:pPr>
      <w:r>
        <w:t> </w:t>
      </w:r>
    </w:p>
    <w:p w14:paraId="730D0C02"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10.5 </w:t>
      </w:r>
      <w:r>
        <w:rPr>
          <w:rFonts w:ascii="Times New Roman;Times;Serif" w:hAnsi="Times New Roman;Times;Serif"/>
          <w:sz w:val="20"/>
          <w:u w:val="single"/>
        </w:rPr>
        <w:t>Failure to Give Timely Notice</w:t>
      </w:r>
      <w:r>
        <w:rPr>
          <w:rFonts w:ascii="Times New Roman;Times;Serif" w:hAnsi="Times New Roman;Times;Serif"/>
          <w:sz w:val="20"/>
        </w:rPr>
        <w:t>. A failure by an Indemnified Party to provide notice as provided in Section 10.4 wi</w:t>
      </w:r>
      <w:r>
        <w:rPr>
          <w:rFonts w:ascii="Times New Roman;Times;Serif" w:hAnsi="Times New Roman;Times;Serif"/>
          <w:sz w:val="20"/>
        </w:rPr>
        <w:t>ll not affect the rights or obligations of any Person except and only to the extent that, as a result of such failure, any Person entitled to receive such notice was damaged as a result of such failure to give timely notice. Nothing contained in this Secti</w:t>
      </w:r>
      <w:r>
        <w:rPr>
          <w:rFonts w:ascii="Times New Roman;Times;Serif" w:hAnsi="Times New Roman;Times;Serif"/>
          <w:sz w:val="20"/>
        </w:rPr>
        <w:t>on 10.4 shall be deemed to extend the period for which Sellers’ representations and warranties will survive Closing as set forth in Section 10.1 above.</w:t>
      </w:r>
    </w:p>
    <w:p w14:paraId="5692A40F" w14:textId="77777777" w:rsidR="00E22AC0" w:rsidRDefault="00FC56F3">
      <w:pPr>
        <w:pStyle w:val="a3"/>
        <w:spacing w:after="0"/>
        <w:ind w:firstLine="720"/>
        <w:jc w:val="both"/>
      </w:pPr>
      <w:r>
        <w:t> </w:t>
      </w:r>
    </w:p>
    <w:p w14:paraId="52ACACB0"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30</w:t>
      </w:r>
    </w:p>
    <w:p w14:paraId="4569C297" w14:textId="77777777" w:rsidR="00E22AC0" w:rsidRDefault="00FC56F3">
      <w:pPr>
        <w:pStyle w:val="a3"/>
        <w:spacing w:after="0"/>
      </w:pPr>
      <w:r>
        <w:t> </w:t>
      </w:r>
    </w:p>
    <w:p w14:paraId="055AEEDB" w14:textId="77777777" w:rsidR="00E22AC0" w:rsidRDefault="00FC56F3">
      <w:pPr>
        <w:pStyle w:val="a3"/>
        <w:spacing w:after="0"/>
        <w:ind w:firstLine="720"/>
        <w:jc w:val="both"/>
      </w:pPr>
      <w:r>
        <w:t> </w:t>
      </w:r>
    </w:p>
    <w:p w14:paraId="0C89EC6D"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10.6 </w:t>
      </w:r>
      <w:r>
        <w:rPr>
          <w:rFonts w:ascii="Times New Roman;Times;Serif" w:hAnsi="Times New Roman;Times;Serif"/>
          <w:sz w:val="20"/>
          <w:u w:val="single"/>
        </w:rPr>
        <w:t>Limited on Indemnification Obligation</w:t>
      </w:r>
      <w:r>
        <w:rPr>
          <w:rFonts w:ascii="Times New Roman;Times;Serif" w:hAnsi="Times New Roman;Times;Serif"/>
          <w:sz w:val="20"/>
        </w:rPr>
        <w:t>. Notwithstanding anything in this Agreement to the c</w:t>
      </w:r>
      <w:r>
        <w:rPr>
          <w:rFonts w:ascii="Times New Roman;Times;Serif" w:hAnsi="Times New Roman;Times;Serif"/>
          <w:sz w:val="20"/>
        </w:rPr>
        <w:t xml:space="preserve">ontrary, the liability </w:t>
      </w:r>
      <w:r>
        <w:rPr>
          <w:rFonts w:ascii="Times New Roman;Times;Serif" w:hAnsi="Times New Roman;Times;Serif"/>
          <w:sz w:val="20"/>
        </w:rPr>
        <w:lastRenderedPageBreak/>
        <w:t>of the Sellers to the Buyer Indemnified Parties with respect to claims for indemnification pursuant to Section 10.2(a) (but not with respect to the Fundamental Representations for which recovery shall not be so limited) is subject to</w:t>
      </w:r>
      <w:r>
        <w:rPr>
          <w:rFonts w:ascii="Times New Roman;Times;Serif" w:hAnsi="Times New Roman;Times;Serif"/>
          <w:sz w:val="20"/>
        </w:rPr>
        <w:t xml:space="preserve"> the following limitations:</w:t>
      </w:r>
    </w:p>
    <w:p w14:paraId="223FD329" w14:textId="77777777" w:rsidR="00E22AC0" w:rsidRDefault="00FC56F3">
      <w:pPr>
        <w:pStyle w:val="a3"/>
        <w:spacing w:after="0"/>
        <w:ind w:firstLine="1440"/>
        <w:jc w:val="both"/>
      </w:pPr>
      <w:r>
        <w:t> </w:t>
      </w:r>
    </w:p>
    <w:p w14:paraId="0594A344"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(a) The Sellers shall not, in the aggregate, be liable to the Buyer Indemnified Parties for Losses arising under Section 10.2(a) (other than with respect to acts of fraud or the Fundamental Representations for which recovery s</w:t>
      </w:r>
      <w:r>
        <w:rPr>
          <w:rFonts w:ascii="Times New Roman;Times;Serif" w:hAnsi="Times New Roman;Times;Serif"/>
          <w:sz w:val="20"/>
        </w:rPr>
        <w:t>hall not be so limited) to the extent that the amounts otherwise indemnifiable for such breaches exceeds the Purchase Price.</w:t>
      </w:r>
    </w:p>
    <w:p w14:paraId="3248133D" w14:textId="77777777" w:rsidR="00E22AC0" w:rsidRDefault="00FC56F3">
      <w:pPr>
        <w:pStyle w:val="a3"/>
        <w:spacing w:after="0"/>
        <w:ind w:firstLine="1440"/>
        <w:jc w:val="both"/>
      </w:pPr>
      <w:r>
        <w:t> </w:t>
      </w:r>
    </w:p>
    <w:p w14:paraId="1216D318"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(b) The Sellers shall not be liable to the Buyer Indemnified Parties for Losses arising under Section 10.2(a) (other than with re</w:t>
      </w:r>
      <w:r>
        <w:rPr>
          <w:rFonts w:ascii="Times New Roman;Times;Serif" w:hAnsi="Times New Roman;Times;Serif"/>
          <w:sz w:val="20"/>
        </w:rPr>
        <w:t>spect to acts of fraud or Fundamental Representations for which recovery shall not be so limited) until and unless the aggregate amounts indemnifiable for such breaches exceeds $25,000. In the event the Buyer Indemnified Parties’ claim for Losses, in the a</w:t>
      </w:r>
      <w:r>
        <w:rPr>
          <w:rFonts w:ascii="Times New Roman;Times;Serif" w:hAnsi="Times New Roman;Times;Serif"/>
          <w:sz w:val="20"/>
        </w:rPr>
        <w:t>ggregate, exceed $25,000, the Buyer Indemnified Parties shall be entitled to the entire amount of such Losses back to the first dollar.</w:t>
      </w:r>
    </w:p>
    <w:p w14:paraId="10AD0195" w14:textId="77777777" w:rsidR="00E22AC0" w:rsidRDefault="00FC56F3">
      <w:pPr>
        <w:pStyle w:val="a3"/>
        <w:spacing w:after="0"/>
        <w:ind w:firstLine="1440"/>
        <w:jc w:val="both"/>
      </w:pPr>
      <w:r>
        <w:t> </w:t>
      </w:r>
    </w:p>
    <w:p w14:paraId="58227E01"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 xml:space="preserve">(c) The Sellers shall not be liable to the Buyer Indemnified Parties for Losses arising under Section 10.2 </w:t>
      </w:r>
      <w:r>
        <w:rPr>
          <w:rFonts w:ascii="Times New Roman;Times;Serif" w:hAnsi="Times New Roman;Times;Serif"/>
          <w:sz w:val="20"/>
        </w:rPr>
        <w:t>unless the claim therefor is asserted in writing on or prior to the expiration of the applicable representations and warranties.</w:t>
      </w:r>
    </w:p>
    <w:p w14:paraId="3E48D424" w14:textId="77777777" w:rsidR="00E22AC0" w:rsidRDefault="00FC56F3">
      <w:pPr>
        <w:pStyle w:val="a3"/>
        <w:spacing w:after="0"/>
        <w:ind w:firstLine="1440"/>
        <w:jc w:val="both"/>
      </w:pPr>
      <w:r>
        <w:t> </w:t>
      </w:r>
    </w:p>
    <w:p w14:paraId="0AFF3283" w14:textId="77777777" w:rsidR="00E22AC0" w:rsidRDefault="00FC56F3">
      <w:pPr>
        <w:pStyle w:val="a3"/>
        <w:spacing w:after="0"/>
        <w:ind w:firstLine="1440"/>
        <w:jc w:val="both"/>
        <w:rPr>
          <w:rFonts w:ascii="Times New Roman;Times;Serif" w:hAnsi="Times New Roman;Times;Serif"/>
          <w:sz w:val="20"/>
        </w:rPr>
      </w:pPr>
      <w:r>
        <w:rPr>
          <w:rFonts w:ascii="Times New Roman;Times;Serif" w:hAnsi="Times New Roman;Times;Serif"/>
          <w:sz w:val="20"/>
        </w:rPr>
        <w:t>(d) Losses otherwise subject to indemnity hereunder will be calculated after application of any received insurance proceeds a</w:t>
      </w:r>
      <w:r>
        <w:rPr>
          <w:rFonts w:ascii="Times New Roman;Times;Serif" w:hAnsi="Times New Roman;Times;Serif"/>
          <w:sz w:val="20"/>
        </w:rPr>
        <w:t>ctually received by the Indemnitee (net of costs of recovery).</w:t>
      </w:r>
    </w:p>
    <w:p w14:paraId="7B417F5D" w14:textId="77777777" w:rsidR="00E22AC0" w:rsidRDefault="00FC56F3">
      <w:pPr>
        <w:pStyle w:val="a3"/>
        <w:spacing w:after="0"/>
        <w:ind w:firstLine="720"/>
        <w:jc w:val="both"/>
      </w:pPr>
      <w:r>
        <w:t> </w:t>
      </w:r>
    </w:p>
    <w:p w14:paraId="1AC00055"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10.7 </w:t>
      </w:r>
      <w:r>
        <w:rPr>
          <w:rFonts w:ascii="Times New Roman;Times;Serif" w:hAnsi="Times New Roman;Times;Serif"/>
          <w:sz w:val="20"/>
          <w:u w:val="single"/>
        </w:rPr>
        <w:t>Payments</w:t>
      </w:r>
      <w:r>
        <w:rPr>
          <w:rFonts w:ascii="Times New Roman;Times;Serif" w:hAnsi="Times New Roman;Times;Serif"/>
          <w:sz w:val="20"/>
        </w:rPr>
        <w:t>. Payments of all amounts owing by an Indemnifying Party under this Article X shall be made promptly upon the determination in accordance with this Article X that an indemnificat</w:t>
      </w:r>
      <w:r>
        <w:rPr>
          <w:rFonts w:ascii="Times New Roman;Times;Serif" w:hAnsi="Times New Roman;Times;Serif"/>
          <w:sz w:val="20"/>
        </w:rPr>
        <w:t>ion obligation is owing by the Indemnifying Party to the Indemnified Party.</w:t>
      </w:r>
    </w:p>
    <w:p w14:paraId="52D985EF" w14:textId="77777777" w:rsidR="00E22AC0" w:rsidRDefault="00FC56F3">
      <w:pPr>
        <w:pStyle w:val="a3"/>
        <w:spacing w:after="0"/>
        <w:jc w:val="center"/>
      </w:pPr>
      <w:r>
        <w:t> </w:t>
      </w:r>
    </w:p>
    <w:p w14:paraId="7DF3FF7B" w14:textId="77777777" w:rsidR="00E22AC0" w:rsidRDefault="00FC56F3">
      <w:pPr>
        <w:pStyle w:val="a3"/>
        <w:spacing w:after="0"/>
        <w:jc w:val="center"/>
        <w:rPr>
          <w:rFonts w:ascii="Times New Roman;Times;Serif" w:hAnsi="Times New Roman;Times;Serif"/>
          <w:sz w:val="20"/>
        </w:rPr>
      </w:pPr>
      <w:r>
        <w:rPr>
          <w:rFonts w:ascii="Times New Roman;Times;Serif" w:hAnsi="Times New Roman;Times;Serif"/>
          <w:sz w:val="20"/>
        </w:rPr>
        <w:t>ARTICLE XI</w:t>
      </w:r>
      <w:r>
        <w:rPr>
          <w:rFonts w:ascii="Times New Roman;Times;Serif" w:hAnsi="Times New Roman;Times;Serif"/>
          <w:sz w:val="20"/>
        </w:rPr>
        <w:br/>
        <w:t>MISCELLANEOUS</w:t>
      </w:r>
    </w:p>
    <w:p w14:paraId="149D13D6" w14:textId="77777777" w:rsidR="00E22AC0" w:rsidRDefault="00FC56F3">
      <w:pPr>
        <w:pStyle w:val="a3"/>
        <w:spacing w:after="0"/>
        <w:ind w:firstLine="720"/>
        <w:jc w:val="both"/>
      </w:pPr>
      <w:r>
        <w:t> </w:t>
      </w:r>
    </w:p>
    <w:p w14:paraId="690EBFD9"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11.1 </w:t>
      </w:r>
      <w:r>
        <w:rPr>
          <w:rFonts w:ascii="Times New Roman;Times;Serif" w:hAnsi="Times New Roman;Times;Serif"/>
          <w:sz w:val="20"/>
          <w:u w:val="single"/>
        </w:rPr>
        <w:t>Press Releases and Public Announcement</w:t>
      </w:r>
      <w:r>
        <w:rPr>
          <w:rFonts w:ascii="Times New Roman;Times;Serif" w:hAnsi="Times New Roman;Times;Serif"/>
          <w:sz w:val="20"/>
        </w:rPr>
        <w:t>. Neither the Buyer on the one hand, nor the Sellers or the Company on the other, will issue any press relea</w:t>
      </w:r>
      <w:r>
        <w:rPr>
          <w:rFonts w:ascii="Times New Roman;Times;Serif" w:hAnsi="Times New Roman;Times;Serif"/>
          <w:sz w:val="20"/>
        </w:rPr>
        <w:t>se or make any public announcement relating to this Agreement, the Acquisition or the other transactions contemplated by this Agreement without the prior written approval of the other party; provided, however, that the Buyer may make regulatory filings ref</w:t>
      </w:r>
      <w:r>
        <w:rPr>
          <w:rFonts w:ascii="Times New Roman;Times;Serif" w:hAnsi="Times New Roman;Times;Serif"/>
          <w:sz w:val="20"/>
        </w:rPr>
        <w:t>erring to this Agreement or attaching a copy hereof as may be required by applicable law.</w:t>
      </w:r>
    </w:p>
    <w:p w14:paraId="75E2D021" w14:textId="77777777" w:rsidR="00E22AC0" w:rsidRDefault="00FC56F3">
      <w:pPr>
        <w:pStyle w:val="a3"/>
        <w:spacing w:after="0"/>
        <w:ind w:firstLine="720"/>
        <w:jc w:val="both"/>
      </w:pPr>
      <w:r>
        <w:t> </w:t>
      </w:r>
    </w:p>
    <w:p w14:paraId="19577C33"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11.2 </w:t>
      </w:r>
      <w:r>
        <w:rPr>
          <w:rFonts w:ascii="Times New Roman;Times;Serif" w:hAnsi="Times New Roman;Times;Serif"/>
          <w:sz w:val="20"/>
          <w:u w:val="single"/>
        </w:rPr>
        <w:t>No Third-Party Beneficiaries</w:t>
      </w:r>
      <w:r>
        <w:rPr>
          <w:rFonts w:ascii="Times New Roman;Times;Serif" w:hAnsi="Times New Roman;Times;Serif"/>
          <w:sz w:val="20"/>
        </w:rPr>
        <w:t>. This Agreement will not confer any rights or remedies upon any Person other than the parties hereto and their respective successo</w:t>
      </w:r>
      <w:r>
        <w:rPr>
          <w:rFonts w:ascii="Times New Roman;Times;Serif" w:hAnsi="Times New Roman;Times;Serif"/>
          <w:sz w:val="20"/>
        </w:rPr>
        <w:t>rs and permitted assigns.</w:t>
      </w:r>
    </w:p>
    <w:p w14:paraId="4C446DE5" w14:textId="77777777" w:rsidR="00E22AC0" w:rsidRDefault="00FC56F3">
      <w:pPr>
        <w:pStyle w:val="a3"/>
        <w:spacing w:after="0"/>
        <w:ind w:firstLine="720"/>
        <w:jc w:val="both"/>
      </w:pPr>
      <w:r>
        <w:t> </w:t>
      </w:r>
    </w:p>
    <w:p w14:paraId="7838BAF6"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11.3 </w:t>
      </w:r>
      <w:r>
        <w:rPr>
          <w:rFonts w:ascii="Times New Roman;Times;Serif" w:hAnsi="Times New Roman;Times;Serif"/>
          <w:sz w:val="20"/>
          <w:u w:val="single"/>
        </w:rPr>
        <w:t>Entire Agreement</w:t>
      </w:r>
      <w:r>
        <w:rPr>
          <w:rFonts w:ascii="Times New Roman;Times;Serif" w:hAnsi="Times New Roman;Times;Serif"/>
          <w:sz w:val="20"/>
        </w:rPr>
        <w:t>. This Agreement (including the Exhibits and the Schedules hereto) constitutes the entire agreement among the parties hereto and supersedes any prior understandings, agreements or representations by or among</w:t>
      </w:r>
      <w:r>
        <w:rPr>
          <w:rFonts w:ascii="Times New Roman;Times;Serif" w:hAnsi="Times New Roman;Times;Serif"/>
          <w:sz w:val="20"/>
        </w:rPr>
        <w:t xml:space="preserve"> the parties hereto, written or oral, to the extent they related in any way to the subject matter hereof.</w:t>
      </w:r>
    </w:p>
    <w:p w14:paraId="3369683A" w14:textId="77777777" w:rsidR="00E22AC0" w:rsidRDefault="00FC56F3">
      <w:pPr>
        <w:pStyle w:val="a3"/>
        <w:spacing w:after="0"/>
        <w:ind w:firstLine="720"/>
        <w:jc w:val="both"/>
      </w:pPr>
      <w:r>
        <w:t> </w:t>
      </w:r>
    </w:p>
    <w:p w14:paraId="6DD05275"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11.4 </w:t>
      </w:r>
      <w:r>
        <w:rPr>
          <w:rFonts w:ascii="Times New Roman;Times;Serif" w:hAnsi="Times New Roman;Times;Serif"/>
          <w:sz w:val="20"/>
          <w:u w:val="single"/>
        </w:rPr>
        <w:t>Succession and Assignment</w:t>
      </w:r>
      <w:r>
        <w:rPr>
          <w:rFonts w:ascii="Times New Roman;Times;Serif" w:hAnsi="Times New Roman;Times;Serif"/>
          <w:sz w:val="20"/>
        </w:rPr>
        <w:t xml:space="preserve">. This Agreement will be binding upon and inure to the benefit of the parties named herein and their </w:t>
      </w:r>
      <w:r>
        <w:rPr>
          <w:rFonts w:ascii="Times New Roman;Times;Serif" w:hAnsi="Times New Roman;Times;Serif"/>
          <w:sz w:val="20"/>
        </w:rPr>
        <w:t>respective successors and permitted assigns. No party hereto may assign either this Agreement or any of its rights, interests or obligations hereunder without the prior written approval, in the case of assignment by the Buyer, by the Sellers, and, in the c</w:t>
      </w:r>
      <w:r>
        <w:rPr>
          <w:rFonts w:ascii="Times New Roman;Times;Serif" w:hAnsi="Times New Roman;Times;Serif"/>
          <w:sz w:val="20"/>
        </w:rPr>
        <w:t>ase of assignment by the Sellers or the Company, the Buyer.</w:t>
      </w:r>
    </w:p>
    <w:p w14:paraId="6BF84717" w14:textId="77777777" w:rsidR="00E22AC0" w:rsidRDefault="00FC56F3">
      <w:pPr>
        <w:pStyle w:val="a3"/>
        <w:spacing w:after="0"/>
        <w:ind w:firstLine="720"/>
        <w:jc w:val="both"/>
      </w:pPr>
      <w:r>
        <w:t> </w:t>
      </w:r>
    </w:p>
    <w:p w14:paraId="2ECC2F79"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31</w:t>
      </w:r>
    </w:p>
    <w:p w14:paraId="6A460102" w14:textId="77777777" w:rsidR="00E22AC0" w:rsidRDefault="00FC56F3">
      <w:pPr>
        <w:pStyle w:val="a3"/>
        <w:spacing w:after="0"/>
      </w:pPr>
      <w:r>
        <w:t> </w:t>
      </w:r>
    </w:p>
    <w:p w14:paraId="1AA19194" w14:textId="77777777" w:rsidR="00E22AC0" w:rsidRDefault="00FC56F3">
      <w:pPr>
        <w:pStyle w:val="a3"/>
        <w:spacing w:after="0"/>
        <w:ind w:firstLine="720"/>
        <w:jc w:val="both"/>
      </w:pPr>
      <w:r>
        <w:t> </w:t>
      </w:r>
    </w:p>
    <w:p w14:paraId="435AAB2A"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11.5 </w:t>
      </w:r>
      <w:r>
        <w:rPr>
          <w:rFonts w:ascii="Times New Roman;Times;Serif" w:hAnsi="Times New Roman;Times;Serif"/>
          <w:sz w:val="20"/>
          <w:u w:val="single"/>
        </w:rPr>
        <w:t>Construction</w:t>
      </w:r>
      <w:r>
        <w:rPr>
          <w:rFonts w:ascii="Times New Roman;Times;Serif" w:hAnsi="Times New Roman;Times;Serif"/>
          <w:sz w:val="20"/>
        </w:rPr>
        <w:t xml:space="preserve">. The parties have participated jointly in the negotiation and drafting of this Agreement, and, in the event an ambiguity or question of intent or interpretation arises, </w:t>
      </w:r>
      <w:r>
        <w:rPr>
          <w:rFonts w:ascii="Times New Roman;Times;Serif" w:hAnsi="Times New Roman;Times;Serif"/>
          <w:sz w:val="20"/>
        </w:rPr>
        <w:t>this Agreement will be construed as if drafted jointly by the parties, and no presumption or burden of proof will arise favoring or disfavoring any party by virtue of the authorship of any of the provisions of this Agreement.</w:t>
      </w:r>
    </w:p>
    <w:p w14:paraId="08654047" w14:textId="77777777" w:rsidR="00E22AC0" w:rsidRDefault="00FC56F3">
      <w:pPr>
        <w:pStyle w:val="a3"/>
        <w:spacing w:after="0"/>
        <w:ind w:firstLine="720"/>
        <w:jc w:val="both"/>
      </w:pPr>
      <w:r>
        <w:t> </w:t>
      </w:r>
    </w:p>
    <w:p w14:paraId="2F5FAB5A"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11.6 </w:t>
      </w:r>
      <w:r>
        <w:rPr>
          <w:rFonts w:ascii="Times New Roman;Times;Serif" w:hAnsi="Times New Roman;Times;Serif"/>
          <w:sz w:val="20"/>
          <w:u w:val="single"/>
        </w:rPr>
        <w:t>Notices</w:t>
      </w:r>
      <w:r>
        <w:rPr>
          <w:rFonts w:ascii="Times New Roman;Times;Serif" w:hAnsi="Times New Roman;Times;Serif"/>
          <w:sz w:val="20"/>
        </w:rPr>
        <w:t>. All notices an</w:t>
      </w:r>
      <w:r>
        <w:rPr>
          <w:rFonts w:ascii="Times New Roman;Times;Serif" w:hAnsi="Times New Roman;Times;Serif"/>
          <w:sz w:val="20"/>
        </w:rPr>
        <w:t>d other communications that are required or permitted to be given to the parties under this Agreement shall be sufficient in all respects if given in writing and delivered in person, by electronic mail, by telecopy, by overnight courier, or by certified ma</w:t>
      </w:r>
      <w:r>
        <w:rPr>
          <w:rFonts w:ascii="Times New Roman;Times;Serif" w:hAnsi="Times New Roman;Times;Serif"/>
          <w:sz w:val="20"/>
        </w:rPr>
        <w:t xml:space="preserve">il, postage prepaid, return receipt requested, to the receiving party at the address specified </w:t>
      </w:r>
      <w:r>
        <w:rPr>
          <w:rFonts w:ascii="Times New Roman;Times;Serif" w:hAnsi="Times New Roman;Times;Serif"/>
          <w:sz w:val="20"/>
        </w:rPr>
        <w:lastRenderedPageBreak/>
        <w:t>below or to such other address as such party may have given to the other by notice pursuant to this Section. Notice shall be deemed given on the date of delivery</w:t>
      </w:r>
      <w:r>
        <w:rPr>
          <w:rFonts w:ascii="Times New Roman;Times;Serif" w:hAnsi="Times New Roman;Times;Serif"/>
          <w:sz w:val="20"/>
        </w:rPr>
        <w:t>, in the case of personal delivery, electronic mail, or telecopy, or on the delivery or refusal date, as specified on the return receipt in the case of certified mail or on the tracking report in the case of overnight courier.</w:t>
      </w:r>
    </w:p>
    <w:p w14:paraId="043D6115" w14:textId="77777777" w:rsidR="00E22AC0" w:rsidRDefault="00FC56F3">
      <w:pPr>
        <w:pStyle w:val="a3"/>
        <w:spacing w:after="0"/>
        <w:ind w:firstLine="720"/>
        <w:jc w:val="both"/>
      </w:pPr>
      <w:r>
        <w:t> </w:t>
      </w:r>
    </w:p>
    <w:tbl>
      <w:tblPr>
        <w:tblW w:w="2830" w:type="dxa"/>
        <w:tblCellMar>
          <w:left w:w="0" w:type="dxa"/>
          <w:right w:w="0" w:type="dxa"/>
        </w:tblCellMar>
        <w:tblLook w:val="0000" w:firstRow="0" w:lastRow="0" w:firstColumn="0" w:lastColumn="0" w:noHBand="0" w:noVBand="0"/>
      </w:tblPr>
      <w:tblGrid>
        <w:gridCol w:w="1265"/>
        <w:gridCol w:w="1565"/>
      </w:tblGrid>
      <w:tr w:rsidR="00E22AC0" w14:paraId="36BD07EC" w14:textId="77777777">
        <w:tc>
          <w:tcPr>
            <w:tcW w:w="1265" w:type="dxa"/>
            <w:vAlign w:val="center"/>
          </w:tcPr>
          <w:p w14:paraId="41C21DBF" w14:textId="77777777" w:rsidR="00E22AC0" w:rsidRDefault="00FC56F3">
            <w:pPr>
              <w:pStyle w:val="TableContents"/>
              <w:rPr>
                <w:sz w:val="20"/>
              </w:rPr>
            </w:pPr>
            <w:r>
              <w:rPr>
                <w:sz w:val="20"/>
              </w:rPr>
              <w:t>If to the Buyer:</w:t>
            </w:r>
          </w:p>
        </w:tc>
        <w:tc>
          <w:tcPr>
            <w:tcW w:w="1565" w:type="dxa"/>
            <w:vAlign w:val="center"/>
          </w:tcPr>
          <w:p w14:paraId="4EFC0E4A" w14:textId="77777777" w:rsidR="00E22AC0" w:rsidRDefault="00FC56F3">
            <w:pPr>
              <w:pStyle w:val="TableContents"/>
              <w:rPr>
                <w:sz w:val="20"/>
              </w:rPr>
            </w:pPr>
            <w:r>
              <w:rPr>
                <w:sz w:val="20"/>
              </w:rPr>
              <w:t xml:space="preserve">1847 </w:t>
            </w:r>
            <w:r>
              <w:rPr>
                <w:sz w:val="20"/>
              </w:rPr>
              <w:t>Cabinets Inc.</w:t>
            </w:r>
          </w:p>
        </w:tc>
      </w:tr>
    </w:tbl>
    <w:p w14:paraId="0CE5B6D0"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c/o 1847 Holdings LLC</w:t>
      </w:r>
    </w:p>
    <w:p w14:paraId="63A30760"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590 Madison Avenue, 21</w:t>
      </w:r>
      <w:proofErr w:type="spellStart"/>
      <w:r>
        <w:rPr>
          <w:rFonts w:ascii="Times New Roman;Times;Serif" w:hAnsi="Times New Roman;Times;Serif"/>
          <w:position w:val="7"/>
          <w:sz w:val="20"/>
        </w:rPr>
        <w:t>st</w:t>
      </w:r>
      <w:proofErr w:type="spellEnd"/>
      <w:r>
        <w:rPr>
          <w:rFonts w:ascii="Times New Roman;Times;Serif" w:hAnsi="Times New Roman;Times;Serif"/>
          <w:sz w:val="20"/>
        </w:rPr>
        <w:t xml:space="preserve"> Floor</w:t>
      </w:r>
    </w:p>
    <w:p w14:paraId="005EE876"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New York, NY 10022</w:t>
      </w:r>
    </w:p>
    <w:p w14:paraId="5408B0A3"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Attn: Ken Yuan, CEO</w:t>
      </w:r>
    </w:p>
    <w:p w14:paraId="6C6D38C7"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Email: kyyuan@gmail.com</w:t>
      </w:r>
    </w:p>
    <w:p w14:paraId="3528112C" w14:textId="77777777" w:rsidR="00E22AC0" w:rsidRDefault="00FC56F3">
      <w:pPr>
        <w:pStyle w:val="a3"/>
        <w:spacing w:after="0"/>
        <w:jc w:val="both"/>
      </w:pPr>
      <w:r>
        <w:t> </w:t>
      </w:r>
    </w:p>
    <w:tbl>
      <w:tblPr>
        <w:tblW w:w="3490" w:type="dxa"/>
        <w:tblCellMar>
          <w:left w:w="0" w:type="dxa"/>
          <w:right w:w="0" w:type="dxa"/>
        </w:tblCellMar>
        <w:tblLook w:val="0000" w:firstRow="0" w:lastRow="0" w:firstColumn="0" w:lastColumn="0" w:noHBand="0" w:noVBand="0"/>
      </w:tblPr>
      <w:tblGrid>
        <w:gridCol w:w="1820"/>
        <w:gridCol w:w="1670"/>
      </w:tblGrid>
      <w:tr w:rsidR="00E22AC0" w14:paraId="4F5ACD70" w14:textId="77777777">
        <w:tc>
          <w:tcPr>
            <w:tcW w:w="1820" w:type="dxa"/>
            <w:vAlign w:val="center"/>
          </w:tcPr>
          <w:p w14:paraId="5D278798" w14:textId="77777777" w:rsidR="00E22AC0" w:rsidRDefault="00FC56F3">
            <w:pPr>
              <w:pStyle w:val="TableContents"/>
              <w:rPr>
                <w:sz w:val="20"/>
              </w:rPr>
            </w:pPr>
            <w:r>
              <w:rPr>
                <w:sz w:val="20"/>
              </w:rPr>
              <w:t>If to the Buyer Parent:</w:t>
            </w:r>
          </w:p>
        </w:tc>
        <w:tc>
          <w:tcPr>
            <w:tcW w:w="1670" w:type="dxa"/>
            <w:vAlign w:val="center"/>
          </w:tcPr>
          <w:p w14:paraId="5089BE6A" w14:textId="77777777" w:rsidR="00E22AC0" w:rsidRDefault="00FC56F3">
            <w:pPr>
              <w:pStyle w:val="TableContents"/>
              <w:rPr>
                <w:sz w:val="20"/>
              </w:rPr>
            </w:pPr>
            <w:r>
              <w:rPr>
                <w:sz w:val="20"/>
              </w:rPr>
              <w:t>1847 Holdings LLC</w:t>
            </w:r>
          </w:p>
        </w:tc>
      </w:tr>
    </w:tbl>
    <w:p w14:paraId="69880EDD"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590 Madison Avenue, 21</w:t>
      </w:r>
      <w:proofErr w:type="spellStart"/>
      <w:r>
        <w:rPr>
          <w:rFonts w:ascii="Times New Roman;Times;Serif" w:hAnsi="Times New Roman;Times;Serif"/>
          <w:position w:val="7"/>
          <w:sz w:val="20"/>
        </w:rPr>
        <w:t>st</w:t>
      </w:r>
      <w:proofErr w:type="spellEnd"/>
      <w:r>
        <w:rPr>
          <w:rFonts w:ascii="Times New Roman;Times;Serif" w:hAnsi="Times New Roman;Times;Serif"/>
          <w:sz w:val="20"/>
        </w:rPr>
        <w:t xml:space="preserve"> Floor</w:t>
      </w:r>
    </w:p>
    <w:p w14:paraId="23AF1193"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New York, NY 10022</w:t>
      </w:r>
    </w:p>
    <w:p w14:paraId="0E41ED5A"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Attn: Ellery W. Roberts, CEO</w:t>
      </w:r>
    </w:p>
    <w:p w14:paraId="123B4AF9"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E</w:t>
      </w:r>
      <w:r>
        <w:rPr>
          <w:rFonts w:ascii="Times New Roman;Times;Serif" w:hAnsi="Times New Roman;Times;Serif"/>
          <w:sz w:val="20"/>
        </w:rPr>
        <w:t>mail: eroberts@1847holdings.com</w:t>
      </w:r>
    </w:p>
    <w:p w14:paraId="07B7EB8E" w14:textId="77777777" w:rsidR="00E22AC0" w:rsidRDefault="00FC56F3">
      <w:pPr>
        <w:pStyle w:val="a3"/>
        <w:spacing w:after="0"/>
        <w:ind w:firstLine="720"/>
        <w:jc w:val="both"/>
      </w:pPr>
      <w:r>
        <w:t> </w:t>
      </w:r>
    </w:p>
    <w:tbl>
      <w:tblPr>
        <w:tblW w:w="2740" w:type="dxa"/>
        <w:tblCellMar>
          <w:left w:w="0" w:type="dxa"/>
          <w:right w:w="0" w:type="dxa"/>
        </w:tblCellMar>
        <w:tblLook w:val="0000" w:firstRow="0" w:lastRow="0" w:firstColumn="0" w:lastColumn="0" w:noHBand="0" w:noVBand="0"/>
      </w:tblPr>
      <w:tblGrid>
        <w:gridCol w:w="1250"/>
        <w:gridCol w:w="1490"/>
      </w:tblGrid>
      <w:tr w:rsidR="00E22AC0" w14:paraId="57BFF079" w14:textId="77777777">
        <w:tc>
          <w:tcPr>
            <w:tcW w:w="1250" w:type="dxa"/>
            <w:vAlign w:val="center"/>
          </w:tcPr>
          <w:p w14:paraId="35D469CC" w14:textId="77777777" w:rsidR="00E22AC0" w:rsidRDefault="00FC56F3">
            <w:pPr>
              <w:pStyle w:val="TableContents"/>
              <w:rPr>
                <w:sz w:val="20"/>
              </w:rPr>
            </w:pPr>
            <w:r>
              <w:rPr>
                <w:sz w:val="20"/>
              </w:rPr>
              <w:t>with a copy to:</w:t>
            </w:r>
          </w:p>
        </w:tc>
        <w:tc>
          <w:tcPr>
            <w:tcW w:w="1490" w:type="dxa"/>
            <w:vAlign w:val="center"/>
          </w:tcPr>
          <w:p w14:paraId="30EB8E54" w14:textId="77777777" w:rsidR="00E22AC0" w:rsidRDefault="00FC56F3">
            <w:pPr>
              <w:pStyle w:val="TableContents"/>
              <w:rPr>
                <w:sz w:val="20"/>
              </w:rPr>
            </w:pPr>
            <w:r>
              <w:rPr>
                <w:sz w:val="20"/>
              </w:rPr>
              <w:t>Bevilacqua PLLC</w:t>
            </w:r>
          </w:p>
        </w:tc>
      </w:tr>
    </w:tbl>
    <w:p w14:paraId="7979487E"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1050 Connecticut Avenue, NW</w:t>
      </w:r>
    </w:p>
    <w:p w14:paraId="3CDEF140"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Suite 500</w:t>
      </w:r>
    </w:p>
    <w:p w14:paraId="4FD9F83E"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Washington, DC 20036</w:t>
      </w:r>
    </w:p>
    <w:p w14:paraId="7815541D"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Attn: Louis A. Bevilacqua</w:t>
      </w:r>
    </w:p>
    <w:p w14:paraId="6548C475"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Email: lou@bevilacquapllc.com</w:t>
      </w:r>
    </w:p>
    <w:p w14:paraId="33A5BA4F"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Facsimile: 202-869-0889</w:t>
      </w:r>
    </w:p>
    <w:p w14:paraId="77E94190" w14:textId="77777777" w:rsidR="00E22AC0" w:rsidRDefault="00FC56F3">
      <w:pPr>
        <w:pStyle w:val="a3"/>
        <w:spacing w:after="0"/>
        <w:ind w:firstLine="720"/>
        <w:jc w:val="both"/>
      </w:pPr>
      <w:r>
        <w:t> </w:t>
      </w:r>
    </w:p>
    <w:tbl>
      <w:tblPr>
        <w:tblW w:w="4195" w:type="dxa"/>
        <w:tblCellMar>
          <w:left w:w="0" w:type="dxa"/>
          <w:right w:w="0" w:type="dxa"/>
        </w:tblCellMar>
        <w:tblLook w:val="0000" w:firstRow="0" w:lastRow="0" w:firstColumn="0" w:lastColumn="0" w:noHBand="0" w:noVBand="0"/>
      </w:tblPr>
      <w:tblGrid>
        <w:gridCol w:w="1565"/>
        <w:gridCol w:w="2630"/>
      </w:tblGrid>
      <w:tr w:rsidR="00E22AC0" w14:paraId="0E982589" w14:textId="77777777">
        <w:tc>
          <w:tcPr>
            <w:tcW w:w="1565" w:type="dxa"/>
            <w:vAlign w:val="center"/>
          </w:tcPr>
          <w:p w14:paraId="4A851B7C" w14:textId="77777777" w:rsidR="00E22AC0" w:rsidRDefault="00FC56F3">
            <w:pPr>
              <w:pStyle w:val="TableContents"/>
              <w:rPr>
                <w:sz w:val="20"/>
              </w:rPr>
            </w:pPr>
            <w:r>
              <w:rPr>
                <w:sz w:val="20"/>
              </w:rPr>
              <w:t>If to the Company:</w:t>
            </w:r>
          </w:p>
        </w:tc>
        <w:tc>
          <w:tcPr>
            <w:tcW w:w="2630" w:type="dxa"/>
            <w:vAlign w:val="center"/>
          </w:tcPr>
          <w:p w14:paraId="6F7C4CB8" w14:textId="77777777" w:rsidR="00E22AC0" w:rsidRDefault="00FC56F3">
            <w:pPr>
              <w:pStyle w:val="TableContents"/>
              <w:rPr>
                <w:sz w:val="20"/>
              </w:rPr>
            </w:pPr>
            <w:r>
              <w:rPr>
                <w:sz w:val="20"/>
              </w:rPr>
              <w:t xml:space="preserve">Kyle’s Custom Wood Shop, </w:t>
            </w:r>
            <w:r>
              <w:rPr>
                <w:sz w:val="20"/>
              </w:rPr>
              <w:t>Inc.</w:t>
            </w:r>
          </w:p>
        </w:tc>
      </w:tr>
    </w:tbl>
    <w:p w14:paraId="7DE4A174"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2950 E. Lucca Dr.</w:t>
      </w:r>
    </w:p>
    <w:p w14:paraId="4712D12E"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Meridian, Id 83642</w:t>
      </w:r>
    </w:p>
    <w:p w14:paraId="37EFBD3C"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 xml:space="preserve">Attn: Stephen </w:t>
      </w:r>
      <w:proofErr w:type="spellStart"/>
      <w:r>
        <w:rPr>
          <w:rFonts w:ascii="Times New Roman;Times;Serif" w:hAnsi="Times New Roman;Times;Serif"/>
          <w:sz w:val="20"/>
        </w:rPr>
        <w:t>Mallatt</w:t>
      </w:r>
      <w:proofErr w:type="spellEnd"/>
      <w:r>
        <w:rPr>
          <w:rFonts w:ascii="Times New Roman;Times;Serif" w:hAnsi="Times New Roman;Times;Serif"/>
          <w:sz w:val="20"/>
        </w:rPr>
        <w:t>, Jr.</w:t>
      </w:r>
    </w:p>
    <w:p w14:paraId="033B7361"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Email: steve@kylescabinets.com</w:t>
      </w:r>
    </w:p>
    <w:p w14:paraId="1AC5F5C8" w14:textId="77777777" w:rsidR="00E22AC0" w:rsidRDefault="00FC56F3">
      <w:pPr>
        <w:pStyle w:val="a3"/>
        <w:spacing w:after="0"/>
        <w:ind w:firstLine="720"/>
        <w:jc w:val="both"/>
      </w:pPr>
      <w:r>
        <w:t> </w:t>
      </w:r>
    </w:p>
    <w:p w14:paraId="3772AD36"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32</w:t>
      </w:r>
    </w:p>
    <w:p w14:paraId="456BB9E6" w14:textId="77777777" w:rsidR="00E22AC0" w:rsidRDefault="00FC56F3">
      <w:pPr>
        <w:pStyle w:val="a3"/>
        <w:spacing w:after="0"/>
      </w:pPr>
      <w:r>
        <w:t> </w:t>
      </w:r>
    </w:p>
    <w:p w14:paraId="50C778C2" w14:textId="77777777" w:rsidR="00E22AC0" w:rsidRDefault="00FC56F3">
      <w:pPr>
        <w:pStyle w:val="a3"/>
        <w:spacing w:after="0"/>
        <w:ind w:firstLine="720"/>
        <w:jc w:val="both"/>
      </w:pPr>
      <w:r>
        <w:t> </w:t>
      </w:r>
    </w:p>
    <w:tbl>
      <w:tblPr>
        <w:tblW w:w="2545" w:type="dxa"/>
        <w:tblCellMar>
          <w:left w:w="0" w:type="dxa"/>
          <w:right w:w="0" w:type="dxa"/>
        </w:tblCellMar>
        <w:tblLook w:val="0000" w:firstRow="0" w:lastRow="0" w:firstColumn="0" w:lastColumn="0" w:noHBand="0" w:noVBand="0"/>
      </w:tblPr>
      <w:tblGrid>
        <w:gridCol w:w="1250"/>
        <w:gridCol w:w="1295"/>
      </w:tblGrid>
      <w:tr w:rsidR="00E22AC0" w14:paraId="740FBEAB" w14:textId="77777777">
        <w:tc>
          <w:tcPr>
            <w:tcW w:w="1250" w:type="dxa"/>
            <w:vAlign w:val="center"/>
          </w:tcPr>
          <w:p w14:paraId="0F7079E7" w14:textId="77777777" w:rsidR="00E22AC0" w:rsidRDefault="00FC56F3">
            <w:pPr>
              <w:pStyle w:val="TableContents"/>
              <w:rPr>
                <w:sz w:val="20"/>
              </w:rPr>
            </w:pPr>
            <w:r>
              <w:rPr>
                <w:sz w:val="20"/>
              </w:rPr>
              <w:t>with a copy to:</w:t>
            </w:r>
          </w:p>
        </w:tc>
        <w:tc>
          <w:tcPr>
            <w:tcW w:w="1295" w:type="dxa"/>
            <w:vAlign w:val="center"/>
          </w:tcPr>
          <w:p w14:paraId="69015B12" w14:textId="77777777" w:rsidR="00E22AC0" w:rsidRDefault="00FC56F3">
            <w:pPr>
              <w:pStyle w:val="TableContents"/>
              <w:rPr>
                <w:sz w:val="20"/>
              </w:rPr>
            </w:pPr>
            <w:r>
              <w:rPr>
                <w:sz w:val="20"/>
              </w:rPr>
              <w:t>Hawley Troxell</w:t>
            </w:r>
          </w:p>
        </w:tc>
      </w:tr>
    </w:tbl>
    <w:p w14:paraId="1B128D00"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877 W. Main Street, 10</w:t>
      </w:r>
      <w:proofErr w:type="spellStart"/>
      <w:r>
        <w:rPr>
          <w:rFonts w:ascii="Times New Roman;Times;Serif" w:hAnsi="Times New Roman;Times;Serif"/>
          <w:position w:val="7"/>
          <w:sz w:val="20"/>
        </w:rPr>
        <w:t>th</w:t>
      </w:r>
      <w:proofErr w:type="spellEnd"/>
      <w:r>
        <w:rPr>
          <w:rFonts w:ascii="Times New Roman;Times;Serif" w:hAnsi="Times New Roman;Times;Serif"/>
          <w:sz w:val="20"/>
        </w:rPr>
        <w:t xml:space="preserve"> Floor</w:t>
      </w:r>
    </w:p>
    <w:p w14:paraId="31B7FB9D"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Boise, ID 83702</w:t>
      </w:r>
    </w:p>
    <w:p w14:paraId="7A3C7BDD"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Attn: Paul Street</w:t>
      </w:r>
    </w:p>
    <w:p w14:paraId="7D68D893"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 xml:space="preserve">Email: </w:t>
      </w:r>
      <w:r>
        <w:rPr>
          <w:rFonts w:ascii="Times New Roman;Times;Serif" w:hAnsi="Times New Roman;Times;Serif"/>
          <w:sz w:val="20"/>
        </w:rPr>
        <w:t>pstreet@hawleytroxell.com</w:t>
      </w:r>
    </w:p>
    <w:p w14:paraId="3A497304"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Facsimile: 208-954-5938</w:t>
      </w:r>
    </w:p>
    <w:p w14:paraId="2ECE44C9" w14:textId="77777777" w:rsidR="00E22AC0" w:rsidRDefault="00FC56F3">
      <w:pPr>
        <w:pStyle w:val="a3"/>
        <w:spacing w:after="0"/>
        <w:ind w:firstLine="720"/>
        <w:jc w:val="both"/>
      </w:pPr>
      <w:r>
        <w:t> </w:t>
      </w:r>
    </w:p>
    <w:tbl>
      <w:tblPr>
        <w:tblW w:w="2920" w:type="dxa"/>
        <w:tblCellMar>
          <w:left w:w="0" w:type="dxa"/>
          <w:right w:w="0" w:type="dxa"/>
        </w:tblCellMar>
        <w:tblLook w:val="0000" w:firstRow="0" w:lastRow="0" w:firstColumn="0" w:lastColumn="0" w:noHBand="0" w:noVBand="0"/>
      </w:tblPr>
      <w:tblGrid>
        <w:gridCol w:w="1310"/>
        <w:gridCol w:w="1610"/>
      </w:tblGrid>
      <w:tr w:rsidR="00E22AC0" w14:paraId="3B4BD374" w14:textId="77777777">
        <w:tc>
          <w:tcPr>
            <w:tcW w:w="1310" w:type="dxa"/>
            <w:vAlign w:val="center"/>
          </w:tcPr>
          <w:p w14:paraId="3A318ED0" w14:textId="77777777" w:rsidR="00E22AC0" w:rsidRDefault="00FC56F3">
            <w:pPr>
              <w:pStyle w:val="TableContents"/>
              <w:rPr>
                <w:sz w:val="20"/>
              </w:rPr>
            </w:pPr>
            <w:r>
              <w:rPr>
                <w:sz w:val="20"/>
              </w:rPr>
              <w:t>If to the Sellers:</w:t>
            </w:r>
          </w:p>
        </w:tc>
        <w:tc>
          <w:tcPr>
            <w:tcW w:w="1610" w:type="dxa"/>
            <w:vAlign w:val="center"/>
          </w:tcPr>
          <w:p w14:paraId="1A409975" w14:textId="77777777" w:rsidR="00E22AC0" w:rsidRDefault="00FC56F3">
            <w:pPr>
              <w:pStyle w:val="TableContents"/>
              <w:rPr>
                <w:sz w:val="20"/>
              </w:rPr>
            </w:pPr>
            <w:r>
              <w:rPr>
                <w:sz w:val="20"/>
              </w:rPr>
              <w:t xml:space="preserve">Stephen </w:t>
            </w:r>
            <w:proofErr w:type="spellStart"/>
            <w:r>
              <w:rPr>
                <w:sz w:val="20"/>
              </w:rPr>
              <w:t>Mallatt</w:t>
            </w:r>
            <w:proofErr w:type="spellEnd"/>
            <w:r>
              <w:rPr>
                <w:sz w:val="20"/>
              </w:rPr>
              <w:t>, Jr.</w:t>
            </w:r>
          </w:p>
        </w:tc>
      </w:tr>
    </w:tbl>
    <w:p w14:paraId="66FBDA96"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2950 E. Lucca Dr.</w:t>
      </w:r>
    </w:p>
    <w:p w14:paraId="66FD9756" w14:textId="77777777" w:rsidR="00E22AC0" w:rsidRDefault="00FC56F3">
      <w:pPr>
        <w:pStyle w:val="a3"/>
        <w:spacing w:after="0"/>
        <w:ind w:left="2880"/>
        <w:jc w:val="both"/>
        <w:rPr>
          <w:rFonts w:ascii="Times New Roman;Times;Serif" w:hAnsi="Times New Roman;Times;Serif"/>
          <w:sz w:val="20"/>
        </w:rPr>
      </w:pPr>
      <w:r>
        <w:rPr>
          <w:rFonts w:ascii="Times New Roman;Times;Serif" w:hAnsi="Times New Roman;Times;Serif"/>
          <w:sz w:val="20"/>
        </w:rPr>
        <w:t>Meridian, Id 83642</w:t>
      </w:r>
    </w:p>
    <w:p w14:paraId="29A3BF32"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Email: steve@kylescabinets.com</w:t>
      </w:r>
    </w:p>
    <w:p w14:paraId="09EAABCC" w14:textId="77777777" w:rsidR="00E22AC0" w:rsidRDefault="00FC56F3">
      <w:pPr>
        <w:pStyle w:val="a3"/>
        <w:spacing w:after="0"/>
        <w:ind w:left="2880"/>
        <w:jc w:val="both"/>
      </w:pPr>
      <w:r>
        <w:t> </w:t>
      </w:r>
    </w:p>
    <w:tbl>
      <w:tblPr>
        <w:tblW w:w="2545" w:type="dxa"/>
        <w:tblCellMar>
          <w:left w:w="0" w:type="dxa"/>
          <w:right w:w="0" w:type="dxa"/>
        </w:tblCellMar>
        <w:tblLook w:val="0000" w:firstRow="0" w:lastRow="0" w:firstColumn="0" w:lastColumn="0" w:noHBand="0" w:noVBand="0"/>
      </w:tblPr>
      <w:tblGrid>
        <w:gridCol w:w="1250"/>
        <w:gridCol w:w="1295"/>
      </w:tblGrid>
      <w:tr w:rsidR="00E22AC0" w14:paraId="7A2B1174" w14:textId="77777777">
        <w:tc>
          <w:tcPr>
            <w:tcW w:w="1250" w:type="dxa"/>
            <w:vAlign w:val="center"/>
          </w:tcPr>
          <w:p w14:paraId="0ACD614B" w14:textId="77777777" w:rsidR="00E22AC0" w:rsidRDefault="00FC56F3">
            <w:pPr>
              <w:pStyle w:val="TableContents"/>
              <w:rPr>
                <w:sz w:val="20"/>
              </w:rPr>
            </w:pPr>
            <w:r>
              <w:rPr>
                <w:sz w:val="20"/>
              </w:rPr>
              <w:t>with a copy to:</w:t>
            </w:r>
          </w:p>
        </w:tc>
        <w:tc>
          <w:tcPr>
            <w:tcW w:w="1295" w:type="dxa"/>
            <w:vAlign w:val="center"/>
          </w:tcPr>
          <w:p w14:paraId="041A25DC" w14:textId="77777777" w:rsidR="00E22AC0" w:rsidRDefault="00FC56F3">
            <w:pPr>
              <w:pStyle w:val="TableContents"/>
              <w:rPr>
                <w:sz w:val="20"/>
              </w:rPr>
            </w:pPr>
            <w:r>
              <w:rPr>
                <w:sz w:val="20"/>
              </w:rPr>
              <w:t>Hawley Troxell</w:t>
            </w:r>
          </w:p>
        </w:tc>
      </w:tr>
    </w:tbl>
    <w:p w14:paraId="6149999B"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877 W. Main Street, 10</w:t>
      </w:r>
      <w:proofErr w:type="spellStart"/>
      <w:r>
        <w:rPr>
          <w:rFonts w:ascii="Times New Roman;Times;Serif" w:hAnsi="Times New Roman;Times;Serif"/>
          <w:position w:val="7"/>
          <w:sz w:val="20"/>
        </w:rPr>
        <w:t>th</w:t>
      </w:r>
      <w:proofErr w:type="spellEnd"/>
      <w:r>
        <w:rPr>
          <w:rFonts w:ascii="Times New Roman;Times;Serif" w:hAnsi="Times New Roman;Times;Serif"/>
          <w:sz w:val="20"/>
        </w:rPr>
        <w:t xml:space="preserve"> Floor</w:t>
      </w:r>
    </w:p>
    <w:p w14:paraId="5F96C2EC"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Boise, ID 83702</w:t>
      </w:r>
    </w:p>
    <w:p w14:paraId="35C0BBFD"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 xml:space="preserve">Attn: Paul </w:t>
      </w:r>
      <w:r>
        <w:rPr>
          <w:rFonts w:ascii="Times New Roman;Times;Serif" w:hAnsi="Times New Roman;Times;Serif"/>
          <w:sz w:val="20"/>
        </w:rPr>
        <w:t>Street</w:t>
      </w:r>
    </w:p>
    <w:p w14:paraId="3DF8B419"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Email: pstreet@hawleytroxell.com</w:t>
      </w:r>
    </w:p>
    <w:p w14:paraId="0921FF19" w14:textId="77777777" w:rsidR="00E22AC0" w:rsidRDefault="00FC56F3">
      <w:pPr>
        <w:pStyle w:val="a3"/>
        <w:spacing w:after="0"/>
        <w:ind w:left="2160" w:firstLine="720"/>
        <w:jc w:val="both"/>
        <w:rPr>
          <w:rFonts w:ascii="Times New Roman;Times;Serif" w:hAnsi="Times New Roman;Times;Serif"/>
          <w:sz w:val="20"/>
        </w:rPr>
      </w:pPr>
      <w:r>
        <w:rPr>
          <w:rFonts w:ascii="Times New Roman;Times;Serif" w:hAnsi="Times New Roman;Times;Serif"/>
          <w:sz w:val="20"/>
        </w:rPr>
        <w:t>Facsimile: 208-954-5938</w:t>
      </w:r>
    </w:p>
    <w:p w14:paraId="784417A7" w14:textId="77777777" w:rsidR="00E22AC0" w:rsidRDefault="00FC56F3">
      <w:pPr>
        <w:pStyle w:val="a3"/>
        <w:spacing w:after="0"/>
        <w:ind w:firstLine="720"/>
        <w:jc w:val="both"/>
      </w:pPr>
      <w:r>
        <w:t> </w:t>
      </w:r>
    </w:p>
    <w:p w14:paraId="674C5CFF"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Any party may change the address to which notices, requests, demands, claims and other communications hereunder are to be delivered by giving the other parties notice in the manner set </w:t>
      </w:r>
      <w:r>
        <w:rPr>
          <w:rFonts w:ascii="Times New Roman;Times;Serif" w:hAnsi="Times New Roman;Times;Serif"/>
          <w:sz w:val="20"/>
        </w:rPr>
        <w:t>forth herein.</w:t>
      </w:r>
    </w:p>
    <w:p w14:paraId="7798A23D" w14:textId="77777777" w:rsidR="00E22AC0" w:rsidRDefault="00FC56F3">
      <w:pPr>
        <w:pStyle w:val="a3"/>
        <w:spacing w:after="0"/>
        <w:ind w:firstLine="720"/>
        <w:jc w:val="both"/>
      </w:pPr>
      <w:r>
        <w:t> </w:t>
      </w:r>
    </w:p>
    <w:p w14:paraId="3594E4D0"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lastRenderedPageBreak/>
        <w:t xml:space="preserve">11.7 </w:t>
      </w:r>
      <w:r>
        <w:rPr>
          <w:rFonts w:ascii="Times New Roman;Times;Serif" w:hAnsi="Times New Roman;Times;Serif"/>
          <w:sz w:val="20"/>
          <w:u w:val="single"/>
        </w:rPr>
        <w:t>Governing Law</w:t>
      </w:r>
      <w:r>
        <w:rPr>
          <w:rFonts w:ascii="Times New Roman;Times;Serif" w:hAnsi="Times New Roman;Times;Serif"/>
          <w:sz w:val="20"/>
        </w:rPr>
        <w:t>. This Agreement will be governed by, and construed in accordance with, the Laws of the State of Idaho without giving effect to any choice of Law or conflict of Law provision or rule that would cause the application of the</w:t>
      </w:r>
      <w:r>
        <w:rPr>
          <w:rFonts w:ascii="Times New Roman;Times;Serif" w:hAnsi="Times New Roman;Times;Serif"/>
          <w:sz w:val="20"/>
        </w:rPr>
        <w:t xml:space="preserve"> Laws of any jurisdiction other than the State of Idaho.</w:t>
      </w:r>
    </w:p>
    <w:p w14:paraId="2C1AD3B5" w14:textId="77777777" w:rsidR="00E22AC0" w:rsidRDefault="00FC56F3">
      <w:pPr>
        <w:pStyle w:val="a3"/>
        <w:spacing w:after="0"/>
        <w:ind w:firstLine="720"/>
        <w:jc w:val="both"/>
      </w:pPr>
      <w:r>
        <w:t> </w:t>
      </w:r>
    </w:p>
    <w:p w14:paraId="1C389FEC"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11.8 </w:t>
      </w:r>
      <w:r>
        <w:rPr>
          <w:rFonts w:ascii="Times New Roman;Times;Serif" w:hAnsi="Times New Roman;Times;Serif"/>
          <w:sz w:val="20"/>
          <w:u w:val="single"/>
        </w:rPr>
        <w:t>Consent to Jurisdiction and Service of Process</w:t>
      </w:r>
      <w:r>
        <w:rPr>
          <w:rFonts w:ascii="Times New Roman;Times;Serif" w:hAnsi="Times New Roman;Times;Serif"/>
          <w:sz w:val="20"/>
        </w:rPr>
        <w:t>. EACH OF THE PARTIES HERETO CONSENTS TO THE JURISDICTION OF ANY STATE OR FEDERAL COURT LOCATED WITHIN THE STATE OF IDAHO AND IRREVOCABLY AGREES T</w:t>
      </w:r>
      <w:r>
        <w:rPr>
          <w:rFonts w:ascii="Times New Roman;Times;Serif" w:hAnsi="Times New Roman;Times;Serif"/>
          <w:sz w:val="20"/>
        </w:rPr>
        <w:t>HAT ALL ACTIONS OR PROCEEDINGS RELATING TO THIS AGREEMENT, THE ACQUISITION OR THE OTHER TRANSACTIONS CONTEMPLATED BY THIS AGREEMENT MAY BE LITIGATED IN SUCH COURTS. EACH OF THE PARTIES HERETO ACCEPTS FOR ITSELF AND IN CONNECTION WITH ITS RESPECTIVE PROPERT</w:t>
      </w:r>
      <w:r>
        <w:rPr>
          <w:rFonts w:ascii="Times New Roman;Times;Serif" w:hAnsi="Times New Roman;Times;Serif"/>
          <w:sz w:val="20"/>
        </w:rPr>
        <w:t xml:space="preserve">IES, GENERALLY AND UNCONDITIONALLY, THE EXCLUSIVE JURISDICTION OF THE AFORESAID COURTS AND WAIVES ANY DEFENSE OF </w:t>
      </w:r>
      <w:r>
        <w:rPr>
          <w:rFonts w:ascii="Times New Roman;Times;Serif" w:hAnsi="Times New Roman;Times;Serif"/>
          <w:sz w:val="20"/>
          <w:u w:val="single"/>
        </w:rPr>
        <w:t>FORUM NON</w:t>
      </w:r>
      <w:r>
        <w:rPr>
          <w:rFonts w:ascii="Times New Roman;Times;Serif" w:hAnsi="Times New Roman;Times;Serif"/>
          <w:sz w:val="20"/>
        </w:rPr>
        <w:t xml:space="preserve"> </w:t>
      </w:r>
      <w:r>
        <w:rPr>
          <w:rFonts w:ascii="Times New Roman;Times;Serif" w:hAnsi="Times New Roman;Times;Serif"/>
          <w:sz w:val="20"/>
          <w:u w:val="single"/>
        </w:rPr>
        <w:t>CONVENIENS</w:t>
      </w:r>
      <w:r>
        <w:rPr>
          <w:rFonts w:ascii="Times New Roman;Times;Serif" w:hAnsi="Times New Roman;Times;Serif"/>
          <w:sz w:val="20"/>
        </w:rPr>
        <w:t>, AND IRREVOCABLY AGREES TO BE BOUND BY ANY FINAL AND NONAPPEALABLE JUDGMENT RENDERED THEREBY IN CONNECTION WITH THIS AGREE</w:t>
      </w:r>
      <w:r>
        <w:rPr>
          <w:rFonts w:ascii="Times New Roman;Times;Serif" w:hAnsi="Times New Roman;Times;Serif"/>
          <w:sz w:val="20"/>
        </w:rPr>
        <w:t>MENT, THE ACQUISITION OR THE OTHER TRANSACTIONS CONTEMPLATED BY THIS AGREEMENT. EACH OF THE PARTIES HERETO FURTHER IRREVOCABLY CONSENTS TO THE SERVICE OF PROCESS OUT OF ANY OF THE AFOREMENTIONED COURTS IN ANY SUCH ACTION OR PROCEEDING BY THE MAILING OF COP</w:t>
      </w:r>
      <w:r>
        <w:rPr>
          <w:rFonts w:ascii="Times New Roman;Times;Serif" w:hAnsi="Times New Roman;Times;Serif"/>
          <w:sz w:val="20"/>
        </w:rPr>
        <w:t>IES THEREOF BY REGISTERED OR CERTIFIED MAIL, POSTAGE PREPAID, TO SUCH PARTY AT THE ADDRESS SPECIFIED IN THIS AGREEMENT, SUCH SERVICE TO BECOME EFFECTIVE 15 CALENDAR DAYS AFTER SUCH MAILING. NOTHING HEREIN WILL IN ANY WAY BE DEEMED TO LIMIT THE ABILITY OF A</w:t>
      </w:r>
      <w:r>
        <w:rPr>
          <w:rFonts w:ascii="Times New Roman;Times;Serif" w:hAnsi="Times New Roman;Times;Serif"/>
          <w:sz w:val="20"/>
        </w:rPr>
        <w:t>NY PARTY HERETO TO SERVE ANY SUCH LEGAL PROCESS, SUMMONS, NOTICES AND DOCUMENTS IN ANY OTHER MANNER PERMITTED BY APPLICABLE LAW OR TO OBTAIN JURISDICTION OVER OR TO BRING ACTIONS, SUITS OR PROCEEDINGS AGAINST ANY OTHER PARTY HERETO IN SUCH OTHER JURISDICTI</w:t>
      </w:r>
      <w:r>
        <w:rPr>
          <w:rFonts w:ascii="Times New Roman;Times;Serif" w:hAnsi="Times New Roman;Times;Serif"/>
          <w:sz w:val="20"/>
        </w:rPr>
        <w:t>ONS, AND IN SUCH MANNER, AS MAY BE PERMITTED BY ANY APPLICABLE LAW.</w:t>
      </w:r>
    </w:p>
    <w:p w14:paraId="435BDA0E" w14:textId="77777777" w:rsidR="00E22AC0" w:rsidRDefault="00FC56F3">
      <w:pPr>
        <w:pStyle w:val="a3"/>
        <w:spacing w:after="0"/>
        <w:ind w:firstLine="720"/>
        <w:jc w:val="both"/>
      </w:pPr>
      <w:r>
        <w:t> </w:t>
      </w:r>
    </w:p>
    <w:p w14:paraId="35C92334" w14:textId="77777777" w:rsidR="00E22AC0" w:rsidRDefault="00FC56F3">
      <w:pPr>
        <w:pStyle w:val="a3"/>
        <w:spacing w:after="0"/>
        <w:ind w:firstLine="72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33</w:t>
      </w:r>
    </w:p>
    <w:p w14:paraId="00584CC0" w14:textId="77777777" w:rsidR="00E22AC0" w:rsidRDefault="00FC56F3">
      <w:pPr>
        <w:pStyle w:val="a3"/>
        <w:spacing w:after="0"/>
      </w:pPr>
      <w:r>
        <w:t> </w:t>
      </w:r>
    </w:p>
    <w:p w14:paraId="56850078" w14:textId="77777777" w:rsidR="00E22AC0" w:rsidRDefault="00FC56F3">
      <w:pPr>
        <w:pStyle w:val="a3"/>
        <w:spacing w:after="0"/>
        <w:ind w:firstLine="720"/>
        <w:jc w:val="both"/>
      </w:pPr>
      <w:r>
        <w:t> </w:t>
      </w:r>
    </w:p>
    <w:p w14:paraId="476FE791"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11.9 </w:t>
      </w:r>
      <w:r>
        <w:rPr>
          <w:rFonts w:ascii="Times New Roman;Times;Serif" w:hAnsi="Times New Roman;Times;Serif"/>
          <w:sz w:val="20"/>
          <w:u w:val="single"/>
        </w:rPr>
        <w:t>Headings</w:t>
      </w:r>
      <w:r>
        <w:rPr>
          <w:rFonts w:ascii="Times New Roman;Times;Serif" w:hAnsi="Times New Roman;Times;Serif"/>
          <w:sz w:val="20"/>
        </w:rPr>
        <w:t xml:space="preserve">. The descriptive headings contained in this Agreement are included for convenience of reference only and will not affect in any way the meaning or interpretation of </w:t>
      </w:r>
      <w:r>
        <w:rPr>
          <w:rFonts w:ascii="Times New Roman;Times;Serif" w:hAnsi="Times New Roman;Times;Serif"/>
          <w:sz w:val="20"/>
        </w:rPr>
        <w:t>this Agreement.</w:t>
      </w:r>
    </w:p>
    <w:p w14:paraId="2B138416" w14:textId="77777777" w:rsidR="00E22AC0" w:rsidRDefault="00FC56F3">
      <w:pPr>
        <w:pStyle w:val="a3"/>
        <w:spacing w:after="0"/>
        <w:ind w:firstLine="720"/>
        <w:jc w:val="both"/>
      </w:pPr>
      <w:r>
        <w:t> </w:t>
      </w:r>
    </w:p>
    <w:p w14:paraId="26BF14BD"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11.10 </w:t>
      </w:r>
      <w:r>
        <w:rPr>
          <w:rFonts w:ascii="Times New Roman;Times;Serif" w:hAnsi="Times New Roman;Times;Serif"/>
          <w:sz w:val="20"/>
          <w:u w:val="single"/>
        </w:rPr>
        <w:t>Severability</w:t>
      </w:r>
      <w:r>
        <w:rPr>
          <w:rFonts w:ascii="Times New Roman;Times;Serif" w:hAnsi="Times New Roman;Times;Serif"/>
          <w:sz w:val="20"/>
        </w:rPr>
        <w:t xml:space="preserve">. If any provision of this Agreement is held to be illegal, invalid or unenforceable under any present or future Law (a) such provision will be fully severable, (b) this Agreement will be construed and enforced as if </w:t>
      </w:r>
      <w:r>
        <w:rPr>
          <w:rFonts w:ascii="Times New Roman;Times;Serif" w:hAnsi="Times New Roman;Times;Serif"/>
          <w:sz w:val="20"/>
        </w:rPr>
        <w:t>such illegal, invalid or unenforceable provision had never comprised a part hereof, (c) the remaining provisions of this Agreement will remain in full force and effect and will not be affected by the illegal, invalid or unenforceable provision or by its se</w:t>
      </w:r>
      <w:r>
        <w:rPr>
          <w:rFonts w:ascii="Times New Roman;Times;Serif" w:hAnsi="Times New Roman;Times;Serif"/>
          <w:sz w:val="20"/>
        </w:rPr>
        <w:t xml:space="preserve">verance </w:t>
      </w:r>
      <w:proofErr w:type="spellStart"/>
      <w:r>
        <w:rPr>
          <w:rFonts w:ascii="Times New Roman;Times;Serif" w:hAnsi="Times New Roman;Times;Serif"/>
          <w:sz w:val="20"/>
        </w:rPr>
        <w:t>herefrom</w:t>
      </w:r>
      <w:proofErr w:type="spellEnd"/>
      <w:r>
        <w:rPr>
          <w:rFonts w:ascii="Times New Roman;Times;Serif" w:hAnsi="Times New Roman;Times;Serif"/>
          <w:sz w:val="20"/>
        </w:rPr>
        <w:t xml:space="preserve"> and (d) in lieu of such illegal, invalid or unenforceable provision, there will be added automatically as a part of this Agreement a legal, valid and enforceable provision as similar in terms of such illegal, invalid or unenforceable provi</w:t>
      </w:r>
      <w:r>
        <w:rPr>
          <w:rFonts w:ascii="Times New Roman;Times;Serif" w:hAnsi="Times New Roman;Times;Serif"/>
          <w:sz w:val="20"/>
        </w:rPr>
        <w:t>sion as may be possible.</w:t>
      </w:r>
    </w:p>
    <w:p w14:paraId="0B8B5AD9" w14:textId="77777777" w:rsidR="00E22AC0" w:rsidRDefault="00FC56F3">
      <w:pPr>
        <w:pStyle w:val="a3"/>
        <w:spacing w:after="0"/>
        <w:ind w:firstLine="720"/>
        <w:jc w:val="both"/>
      </w:pPr>
      <w:r>
        <w:t> </w:t>
      </w:r>
    </w:p>
    <w:p w14:paraId="7C28F58B"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11.11 </w:t>
      </w:r>
      <w:r>
        <w:rPr>
          <w:rFonts w:ascii="Times New Roman;Times;Serif" w:hAnsi="Times New Roman;Times;Serif"/>
          <w:sz w:val="20"/>
          <w:u w:val="single"/>
        </w:rPr>
        <w:t>Expenses</w:t>
      </w:r>
      <w:r>
        <w:rPr>
          <w:rFonts w:ascii="Times New Roman;Times;Serif" w:hAnsi="Times New Roman;Times;Serif"/>
          <w:sz w:val="20"/>
        </w:rPr>
        <w:t>. Except as otherwise provided in this Agreement, whether or not the Acquisition is consummated, all expenses incurred in connection with this Agreement and the transactions contemplated hereby will be paid by the p</w:t>
      </w:r>
      <w:r>
        <w:rPr>
          <w:rFonts w:ascii="Times New Roman;Times;Serif" w:hAnsi="Times New Roman;Times;Serif"/>
          <w:sz w:val="20"/>
        </w:rPr>
        <w:t>arty incurring such expenses. As used in this Agreement, “expenses” means the out-of-pocket fees and expenses of the financial advisor, counsel and accountants incurred in connection with this Agreement and the transactions contemplated hereby.</w:t>
      </w:r>
    </w:p>
    <w:p w14:paraId="4A60D6F9" w14:textId="77777777" w:rsidR="00E22AC0" w:rsidRDefault="00FC56F3">
      <w:pPr>
        <w:pStyle w:val="a3"/>
        <w:spacing w:after="0"/>
        <w:ind w:firstLine="720"/>
        <w:jc w:val="both"/>
      </w:pPr>
      <w:r>
        <w:t> </w:t>
      </w:r>
    </w:p>
    <w:p w14:paraId="0023E381"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11.12 </w:t>
      </w:r>
      <w:r>
        <w:rPr>
          <w:rFonts w:ascii="Times New Roman;Times;Serif" w:hAnsi="Times New Roman;Times;Serif"/>
          <w:sz w:val="20"/>
          <w:u w:val="single"/>
        </w:rPr>
        <w:t>Inc</w:t>
      </w:r>
      <w:r>
        <w:rPr>
          <w:rFonts w:ascii="Times New Roman;Times;Serif" w:hAnsi="Times New Roman;Times;Serif"/>
          <w:sz w:val="20"/>
          <w:u w:val="single"/>
        </w:rPr>
        <w:t>orporation of Exhibits and Schedules</w:t>
      </w:r>
      <w:r>
        <w:rPr>
          <w:rFonts w:ascii="Times New Roman;Times;Serif" w:hAnsi="Times New Roman;Times;Serif"/>
          <w:sz w:val="20"/>
        </w:rPr>
        <w:t>. The Exhibits and Schedules identified in this Agreement are incorporated herein by reference and made a part hereof.</w:t>
      </w:r>
    </w:p>
    <w:p w14:paraId="7BDB858E" w14:textId="77777777" w:rsidR="00E22AC0" w:rsidRDefault="00FC56F3">
      <w:pPr>
        <w:pStyle w:val="a3"/>
        <w:spacing w:after="0"/>
        <w:ind w:firstLine="720"/>
        <w:jc w:val="both"/>
      </w:pPr>
      <w:r>
        <w:t> </w:t>
      </w:r>
    </w:p>
    <w:p w14:paraId="2F9F938C"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11.13 </w:t>
      </w:r>
      <w:r>
        <w:rPr>
          <w:rFonts w:ascii="Times New Roman;Times;Serif" w:hAnsi="Times New Roman;Times;Serif"/>
          <w:sz w:val="20"/>
          <w:u w:val="single"/>
        </w:rPr>
        <w:t>Specific Performance</w:t>
      </w:r>
      <w:r>
        <w:rPr>
          <w:rFonts w:ascii="Times New Roman;Times;Serif" w:hAnsi="Times New Roman;Times;Serif"/>
          <w:sz w:val="20"/>
        </w:rPr>
        <w:t>. The parties hereto agree that irreparable damage would occur in the eve</w:t>
      </w:r>
      <w:r>
        <w:rPr>
          <w:rFonts w:ascii="Times New Roman;Times;Serif" w:hAnsi="Times New Roman;Times;Serif"/>
          <w:sz w:val="20"/>
        </w:rPr>
        <w:t>nt that any provision of this Agreement was not performed in accordance with the terms hereof and that the parties will be entitled to specific performance of the terms hereof in addition to any other remedy at Law or equity.</w:t>
      </w:r>
    </w:p>
    <w:p w14:paraId="17EC2692" w14:textId="77777777" w:rsidR="00E22AC0" w:rsidRDefault="00FC56F3">
      <w:pPr>
        <w:pStyle w:val="a3"/>
        <w:spacing w:after="0"/>
        <w:ind w:firstLine="720"/>
        <w:jc w:val="both"/>
      </w:pPr>
      <w:r>
        <w:t> </w:t>
      </w:r>
    </w:p>
    <w:p w14:paraId="5990782B"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11.14 </w:t>
      </w:r>
      <w:r>
        <w:rPr>
          <w:rFonts w:ascii="Times New Roman;Times;Serif" w:hAnsi="Times New Roman;Times;Serif"/>
          <w:sz w:val="20"/>
          <w:u w:val="single"/>
        </w:rPr>
        <w:t>Counterparts</w:t>
      </w:r>
      <w:r>
        <w:rPr>
          <w:rFonts w:ascii="Times New Roman;Times;Serif" w:hAnsi="Times New Roman;Times;Serif"/>
          <w:sz w:val="20"/>
        </w:rPr>
        <w:t>. This Agr</w:t>
      </w:r>
      <w:r>
        <w:rPr>
          <w:rFonts w:ascii="Times New Roman;Times;Serif" w:hAnsi="Times New Roman;Times;Serif"/>
          <w:sz w:val="20"/>
        </w:rPr>
        <w:t>eement may be executed in two (2) or more counterparts, each of which shall be deemed an original, but all of which together shall constitute one and the same instrument. Counterparts may be delivered via facsimile, electronic mail (including pdf or any el</w:t>
      </w:r>
      <w:r>
        <w:rPr>
          <w:rFonts w:ascii="Times New Roman;Times;Serif" w:hAnsi="Times New Roman;Times;Serif"/>
          <w:sz w:val="20"/>
        </w:rPr>
        <w:t xml:space="preserve">ectronic signature complying with the U.S. federal ESIGN Act of 2000, </w:t>
      </w:r>
      <w:r>
        <w:rPr>
          <w:rFonts w:ascii="Times New Roman;Times;Serif" w:hAnsi="Times New Roman;Times;Serif"/>
          <w:i/>
          <w:sz w:val="20"/>
        </w:rPr>
        <w:t>e.g.</w:t>
      </w:r>
      <w:r>
        <w:rPr>
          <w:rFonts w:ascii="Times New Roman;Times;Serif" w:hAnsi="Times New Roman;Times;Serif"/>
          <w:sz w:val="20"/>
        </w:rPr>
        <w:t>, www.docusign.com) or other transmission method and any counterpart so delivered shall be deemed to have been duly and validly delivered and be valid and effective for all purposes.</w:t>
      </w:r>
    </w:p>
    <w:p w14:paraId="165EEE41" w14:textId="77777777" w:rsidR="00E22AC0" w:rsidRDefault="00FC56F3">
      <w:pPr>
        <w:pStyle w:val="a3"/>
        <w:spacing w:after="0"/>
        <w:jc w:val="center"/>
      </w:pPr>
      <w:r>
        <w:t> </w:t>
      </w:r>
    </w:p>
    <w:p w14:paraId="52E6E4EA"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[REMAINDER OF PAGE INTENTIONALLY LEFT BLANK]</w:t>
      </w:r>
    </w:p>
    <w:p w14:paraId="7EE8D2C6" w14:textId="77777777" w:rsidR="00E22AC0" w:rsidRDefault="00FC56F3">
      <w:pPr>
        <w:pStyle w:val="a3"/>
        <w:spacing w:after="0"/>
        <w:jc w:val="center"/>
      </w:pPr>
      <w:r>
        <w:lastRenderedPageBreak/>
        <w:t> </w:t>
      </w:r>
    </w:p>
    <w:p w14:paraId="44EAFA1A" w14:textId="77777777" w:rsidR="00E22AC0" w:rsidRDefault="00FC56F3">
      <w:pPr>
        <w:pStyle w:val="a3"/>
        <w:spacing w:after="0"/>
        <w:jc w:val="center"/>
        <w:rPr>
          <w:rFonts w:ascii="Times New Roman;Times;Serif" w:hAnsi="Times New Roman;Times;Serif"/>
          <w:sz w:val="20"/>
          <w:bdr w:val="single" w:sz="12" w:space="1" w:color="000000"/>
        </w:rPr>
      </w:pPr>
      <w:r>
        <w:rPr>
          <w:rFonts w:ascii="Times New Roman;Times;Serif" w:hAnsi="Times New Roman;Times;Serif"/>
          <w:sz w:val="20"/>
          <w:bdr w:val="single" w:sz="12" w:space="1" w:color="000000"/>
        </w:rPr>
        <w:t>34</w:t>
      </w:r>
    </w:p>
    <w:p w14:paraId="0589A12C" w14:textId="77777777" w:rsidR="00E22AC0" w:rsidRDefault="00FC56F3">
      <w:pPr>
        <w:pStyle w:val="a3"/>
        <w:spacing w:after="0"/>
      </w:pPr>
      <w:r>
        <w:t> </w:t>
      </w:r>
    </w:p>
    <w:p w14:paraId="0BF8D3C7" w14:textId="77777777" w:rsidR="00E22AC0" w:rsidRDefault="00FC56F3">
      <w:pPr>
        <w:pStyle w:val="a3"/>
        <w:spacing w:after="0"/>
        <w:jc w:val="center"/>
      </w:pPr>
      <w:r>
        <w:t> </w:t>
      </w:r>
    </w:p>
    <w:p w14:paraId="63E13502" w14:textId="77777777" w:rsidR="00E22AC0" w:rsidRDefault="00FC56F3">
      <w:pPr>
        <w:pStyle w:val="a3"/>
        <w:spacing w:after="0"/>
        <w:ind w:firstLine="720"/>
        <w:jc w:val="both"/>
        <w:rPr>
          <w:rFonts w:ascii="Times New Roman;Times;Serif" w:hAnsi="Times New Roman;Times;Serif"/>
          <w:sz w:val="20"/>
        </w:rPr>
      </w:pPr>
      <w:r>
        <w:rPr>
          <w:rFonts w:ascii="Times New Roman;Times;Serif" w:hAnsi="Times New Roman;Times;Serif"/>
          <w:sz w:val="20"/>
        </w:rPr>
        <w:t>IN WITNESS WHEREOF, the parties hereto have caused this Agreement to be duly executed as of the date first above written.</w:t>
      </w:r>
    </w:p>
    <w:p w14:paraId="51BB8503" w14:textId="77777777" w:rsidR="00E22AC0" w:rsidRDefault="00FC56F3">
      <w:pPr>
        <w:pStyle w:val="a3"/>
        <w:spacing w:after="0"/>
        <w:ind w:left="4590"/>
      </w:pPr>
      <w:r>
        <w:t> </w:t>
      </w:r>
    </w:p>
    <w:tbl>
      <w:tblPr>
        <w:tblW w:w="1820" w:type="dxa"/>
        <w:tblCellMar>
          <w:left w:w="0" w:type="dxa"/>
          <w:right w:w="0" w:type="dxa"/>
        </w:tblCellMar>
        <w:tblLook w:val="0000" w:firstRow="0" w:lastRow="0" w:firstColumn="0" w:lastColumn="0" w:noHBand="0" w:noVBand="0"/>
      </w:tblPr>
      <w:tblGrid>
        <w:gridCol w:w="75"/>
        <w:gridCol w:w="1745"/>
      </w:tblGrid>
      <w:tr w:rsidR="00E22AC0" w14:paraId="1069A91F" w14:textId="77777777">
        <w:tc>
          <w:tcPr>
            <w:tcW w:w="75" w:type="dxa"/>
            <w:vAlign w:val="center"/>
          </w:tcPr>
          <w:p w14:paraId="21EAA486" w14:textId="77777777" w:rsidR="00E22AC0" w:rsidRDefault="00FC56F3">
            <w:pPr>
              <w:pStyle w:val="TableContents"/>
            </w:pPr>
            <w:r>
              <w:t> </w:t>
            </w:r>
          </w:p>
        </w:tc>
        <w:tc>
          <w:tcPr>
            <w:tcW w:w="1745" w:type="dxa"/>
            <w:vAlign w:val="center"/>
          </w:tcPr>
          <w:p w14:paraId="41B679C1" w14:textId="77777777" w:rsidR="00E22AC0" w:rsidRDefault="00FC56F3">
            <w:pPr>
              <w:pStyle w:val="TableContents"/>
              <w:rPr>
                <w:rFonts w:ascii="Times New Roman;Times;Serif" w:hAnsi="Times New Roman;Times;Serif"/>
                <w:sz w:val="20"/>
              </w:rPr>
            </w:pPr>
            <w:r>
              <w:rPr>
                <w:rFonts w:ascii="Times New Roman;Times;Serif" w:hAnsi="Times New Roman;Times;Serif"/>
                <w:b/>
                <w:sz w:val="20"/>
                <w:u w:val="single"/>
              </w:rPr>
              <w:t>BUYER</w:t>
            </w:r>
            <w:r>
              <w:rPr>
                <w:rFonts w:ascii="Times New Roman;Times;Serif" w:hAnsi="Times New Roman;Times;Serif"/>
                <w:sz w:val="20"/>
              </w:rPr>
              <w:t>:</w:t>
            </w:r>
          </w:p>
        </w:tc>
      </w:tr>
      <w:tr w:rsidR="00E22AC0" w14:paraId="3875F21C" w14:textId="77777777">
        <w:tc>
          <w:tcPr>
            <w:tcW w:w="75" w:type="dxa"/>
            <w:vAlign w:val="center"/>
          </w:tcPr>
          <w:p w14:paraId="4089D318" w14:textId="77777777" w:rsidR="00E22AC0" w:rsidRDefault="00FC56F3">
            <w:pPr>
              <w:pStyle w:val="TableContents"/>
            </w:pPr>
            <w:r>
              <w:t> </w:t>
            </w:r>
          </w:p>
        </w:tc>
        <w:tc>
          <w:tcPr>
            <w:tcW w:w="1745" w:type="dxa"/>
            <w:vAlign w:val="center"/>
          </w:tcPr>
          <w:p w14:paraId="0274087A" w14:textId="77777777" w:rsidR="00E22AC0" w:rsidRDefault="00FC56F3">
            <w:pPr>
              <w:pStyle w:val="TableContents"/>
            </w:pPr>
            <w:r>
              <w:t> </w:t>
            </w:r>
          </w:p>
        </w:tc>
      </w:tr>
      <w:tr w:rsidR="00E22AC0" w14:paraId="54F85D9C" w14:textId="77777777">
        <w:tc>
          <w:tcPr>
            <w:tcW w:w="75" w:type="dxa"/>
            <w:vAlign w:val="center"/>
          </w:tcPr>
          <w:p w14:paraId="1FD5E216" w14:textId="77777777" w:rsidR="00E22AC0" w:rsidRDefault="00FC56F3">
            <w:pPr>
              <w:pStyle w:val="TableContents"/>
            </w:pPr>
            <w:r>
              <w:t> </w:t>
            </w:r>
          </w:p>
        </w:tc>
        <w:tc>
          <w:tcPr>
            <w:tcW w:w="1745" w:type="dxa"/>
            <w:vAlign w:val="center"/>
          </w:tcPr>
          <w:p w14:paraId="6B4F1C2A" w14:textId="77777777" w:rsidR="00E22AC0" w:rsidRDefault="00FC56F3">
            <w:pPr>
              <w:pStyle w:val="TableContents"/>
              <w:rPr>
                <w:rFonts w:ascii="Times New Roman;Times;Serif" w:hAnsi="Times New Roman;Times;Serif"/>
                <w:b/>
                <w:smallCaps/>
                <w:sz w:val="20"/>
              </w:rPr>
            </w:pPr>
            <w:r>
              <w:rPr>
                <w:rFonts w:ascii="Times New Roman;Times;Serif" w:hAnsi="Times New Roman;Times;Serif"/>
                <w:b/>
                <w:smallCaps/>
                <w:sz w:val="20"/>
              </w:rPr>
              <w:t>1847 Cabinets Inc.</w:t>
            </w:r>
          </w:p>
        </w:tc>
      </w:tr>
    </w:tbl>
    <w:p w14:paraId="572C084E" w14:textId="77777777" w:rsidR="00E22AC0" w:rsidRDefault="00FC56F3">
      <w:pPr>
        <w:pStyle w:val="a3"/>
      </w:pPr>
      <w:r>
        <w:t> </w:t>
      </w:r>
    </w:p>
    <w:tbl>
      <w:tblPr>
        <w:tblW w:w="1795" w:type="dxa"/>
        <w:tblCellMar>
          <w:left w:w="0" w:type="dxa"/>
          <w:right w:w="0" w:type="dxa"/>
        </w:tblCellMar>
        <w:tblLook w:val="0000" w:firstRow="0" w:lastRow="0" w:firstColumn="0" w:lastColumn="0" w:noHBand="0" w:noVBand="0"/>
      </w:tblPr>
      <w:tblGrid>
        <w:gridCol w:w="75"/>
        <w:gridCol w:w="635"/>
        <w:gridCol w:w="1085"/>
      </w:tblGrid>
      <w:tr w:rsidR="00E22AC0" w14:paraId="22C2B944" w14:textId="77777777">
        <w:tc>
          <w:tcPr>
            <w:tcW w:w="75" w:type="dxa"/>
            <w:vAlign w:val="center"/>
          </w:tcPr>
          <w:p w14:paraId="4F4781FC" w14:textId="77777777" w:rsidR="00E22AC0" w:rsidRDefault="00FC56F3">
            <w:pPr>
              <w:pStyle w:val="TableContents"/>
            </w:pPr>
            <w:r>
              <w:t> </w:t>
            </w:r>
          </w:p>
        </w:tc>
        <w:tc>
          <w:tcPr>
            <w:tcW w:w="635" w:type="dxa"/>
            <w:vAlign w:val="center"/>
          </w:tcPr>
          <w:p w14:paraId="05527EBC"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By:</w:t>
            </w:r>
          </w:p>
        </w:tc>
        <w:tc>
          <w:tcPr>
            <w:tcW w:w="1085" w:type="dxa"/>
            <w:tcBorders>
              <w:bottom w:val="single" w:sz="12" w:space="0" w:color="000000"/>
            </w:tcBorders>
            <w:tcMar>
              <w:bottom w:w="28" w:type="dxa"/>
            </w:tcMar>
            <w:vAlign w:val="center"/>
          </w:tcPr>
          <w:p w14:paraId="48D4B22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 xml:space="preserve">/s/ Ken </w:t>
            </w:r>
            <w:proofErr w:type="spellStart"/>
            <w:r>
              <w:rPr>
                <w:rFonts w:ascii="Times New Roman;Times;Serif" w:hAnsi="Times New Roman;Times;Serif"/>
                <w:sz w:val="20"/>
              </w:rPr>
              <w:t>Yaun</w:t>
            </w:r>
            <w:proofErr w:type="spellEnd"/>
          </w:p>
        </w:tc>
      </w:tr>
      <w:tr w:rsidR="00E22AC0" w14:paraId="1073F4E0" w14:textId="77777777">
        <w:tc>
          <w:tcPr>
            <w:tcW w:w="75" w:type="dxa"/>
            <w:vAlign w:val="center"/>
          </w:tcPr>
          <w:p w14:paraId="234A234C" w14:textId="77777777" w:rsidR="00E22AC0" w:rsidRDefault="00FC56F3">
            <w:pPr>
              <w:pStyle w:val="TableContents"/>
            </w:pPr>
            <w:r>
              <w:t> </w:t>
            </w:r>
          </w:p>
        </w:tc>
        <w:tc>
          <w:tcPr>
            <w:tcW w:w="635" w:type="dxa"/>
            <w:vAlign w:val="center"/>
          </w:tcPr>
          <w:p w14:paraId="6E38D9EC"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 xml:space="preserve">Name:  </w:t>
            </w:r>
          </w:p>
        </w:tc>
        <w:tc>
          <w:tcPr>
            <w:tcW w:w="1085" w:type="dxa"/>
            <w:vAlign w:val="center"/>
          </w:tcPr>
          <w:p w14:paraId="160D1F3C" w14:textId="77777777" w:rsidR="00E22AC0" w:rsidRDefault="00FC56F3">
            <w:pPr>
              <w:pStyle w:val="TableContents"/>
            </w:pPr>
            <w:r>
              <w:t xml:space="preserve">Ken </w:t>
            </w:r>
            <w:r>
              <w:t>Yuan</w:t>
            </w:r>
          </w:p>
        </w:tc>
      </w:tr>
      <w:tr w:rsidR="00E22AC0" w14:paraId="270DA0CD" w14:textId="77777777">
        <w:tc>
          <w:tcPr>
            <w:tcW w:w="75" w:type="dxa"/>
            <w:vAlign w:val="center"/>
          </w:tcPr>
          <w:p w14:paraId="4B85F211" w14:textId="77777777" w:rsidR="00E22AC0" w:rsidRDefault="00FC56F3">
            <w:pPr>
              <w:pStyle w:val="TableContents"/>
            </w:pPr>
            <w:r>
              <w:t> </w:t>
            </w:r>
          </w:p>
        </w:tc>
        <w:tc>
          <w:tcPr>
            <w:tcW w:w="635" w:type="dxa"/>
            <w:vAlign w:val="center"/>
          </w:tcPr>
          <w:p w14:paraId="6CA454F5"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 xml:space="preserve">Title: </w:t>
            </w:r>
          </w:p>
        </w:tc>
        <w:tc>
          <w:tcPr>
            <w:tcW w:w="1085" w:type="dxa"/>
            <w:vAlign w:val="center"/>
          </w:tcPr>
          <w:p w14:paraId="775C3296" w14:textId="77777777" w:rsidR="00E22AC0" w:rsidRDefault="00FC56F3">
            <w:pPr>
              <w:pStyle w:val="TableContents"/>
            </w:pPr>
            <w:r>
              <w:t>CEO</w:t>
            </w:r>
          </w:p>
        </w:tc>
      </w:tr>
    </w:tbl>
    <w:p w14:paraId="50DE9923" w14:textId="77777777" w:rsidR="00E22AC0" w:rsidRDefault="00FC56F3">
      <w:pPr>
        <w:pStyle w:val="a3"/>
      </w:pPr>
      <w:r>
        <w:t> </w:t>
      </w:r>
    </w:p>
    <w:tbl>
      <w:tblPr>
        <w:tblW w:w="1940" w:type="dxa"/>
        <w:tblCellMar>
          <w:left w:w="0" w:type="dxa"/>
          <w:right w:w="0" w:type="dxa"/>
        </w:tblCellMar>
        <w:tblLook w:val="0000" w:firstRow="0" w:lastRow="0" w:firstColumn="0" w:lastColumn="0" w:noHBand="0" w:noVBand="0"/>
      </w:tblPr>
      <w:tblGrid>
        <w:gridCol w:w="75"/>
        <w:gridCol w:w="1865"/>
      </w:tblGrid>
      <w:tr w:rsidR="00E22AC0" w14:paraId="499BF308" w14:textId="77777777">
        <w:tc>
          <w:tcPr>
            <w:tcW w:w="75" w:type="dxa"/>
            <w:vAlign w:val="center"/>
          </w:tcPr>
          <w:p w14:paraId="06A5A431" w14:textId="77777777" w:rsidR="00E22AC0" w:rsidRDefault="00FC56F3">
            <w:pPr>
              <w:pStyle w:val="TableContents"/>
            </w:pPr>
            <w:r>
              <w:t> </w:t>
            </w:r>
          </w:p>
        </w:tc>
        <w:tc>
          <w:tcPr>
            <w:tcW w:w="1865" w:type="dxa"/>
            <w:vAlign w:val="center"/>
          </w:tcPr>
          <w:p w14:paraId="1B98A26D" w14:textId="77777777" w:rsidR="00E22AC0" w:rsidRDefault="00FC56F3">
            <w:pPr>
              <w:pStyle w:val="TableContents"/>
              <w:rPr>
                <w:rFonts w:ascii="Times New Roman;Times;Serif" w:hAnsi="Times New Roman;Times;Serif"/>
                <w:sz w:val="20"/>
              </w:rPr>
            </w:pPr>
            <w:r>
              <w:rPr>
                <w:rFonts w:ascii="Times New Roman;Times;Serif" w:hAnsi="Times New Roman;Times;Serif"/>
                <w:b/>
                <w:sz w:val="20"/>
                <w:u w:val="single"/>
              </w:rPr>
              <w:t>BUYER PARENT</w:t>
            </w:r>
            <w:r>
              <w:rPr>
                <w:rFonts w:ascii="Times New Roman;Times;Serif" w:hAnsi="Times New Roman;Times;Serif"/>
                <w:sz w:val="20"/>
              </w:rPr>
              <w:t>:</w:t>
            </w:r>
          </w:p>
        </w:tc>
      </w:tr>
      <w:tr w:rsidR="00E22AC0" w14:paraId="5AC73E4F" w14:textId="77777777">
        <w:tc>
          <w:tcPr>
            <w:tcW w:w="75" w:type="dxa"/>
            <w:vAlign w:val="center"/>
          </w:tcPr>
          <w:p w14:paraId="7EC76606" w14:textId="77777777" w:rsidR="00E22AC0" w:rsidRDefault="00FC56F3">
            <w:pPr>
              <w:pStyle w:val="TableContents"/>
            </w:pPr>
            <w:r>
              <w:t> </w:t>
            </w:r>
          </w:p>
        </w:tc>
        <w:tc>
          <w:tcPr>
            <w:tcW w:w="1865" w:type="dxa"/>
            <w:vAlign w:val="center"/>
          </w:tcPr>
          <w:p w14:paraId="42A1F881" w14:textId="77777777" w:rsidR="00E22AC0" w:rsidRDefault="00FC56F3">
            <w:pPr>
              <w:pStyle w:val="TableContents"/>
            </w:pPr>
            <w:r>
              <w:t> </w:t>
            </w:r>
          </w:p>
        </w:tc>
      </w:tr>
      <w:tr w:rsidR="00E22AC0" w14:paraId="10472669" w14:textId="77777777">
        <w:tc>
          <w:tcPr>
            <w:tcW w:w="75" w:type="dxa"/>
            <w:vAlign w:val="center"/>
          </w:tcPr>
          <w:p w14:paraId="28AE478C" w14:textId="77777777" w:rsidR="00E22AC0" w:rsidRDefault="00FC56F3">
            <w:pPr>
              <w:pStyle w:val="TableContents"/>
            </w:pPr>
            <w:r>
              <w:t> </w:t>
            </w:r>
          </w:p>
        </w:tc>
        <w:tc>
          <w:tcPr>
            <w:tcW w:w="1865" w:type="dxa"/>
            <w:vAlign w:val="center"/>
          </w:tcPr>
          <w:p w14:paraId="40FBA073" w14:textId="77777777" w:rsidR="00E22AC0" w:rsidRDefault="00FC56F3">
            <w:pPr>
              <w:pStyle w:val="TableContents"/>
              <w:rPr>
                <w:rFonts w:ascii="Times New Roman;Times;Serif" w:hAnsi="Times New Roman;Times;Serif"/>
                <w:b/>
                <w:smallCaps/>
                <w:sz w:val="20"/>
              </w:rPr>
            </w:pPr>
            <w:r>
              <w:rPr>
                <w:rFonts w:ascii="Times New Roman;Times;Serif" w:hAnsi="Times New Roman;Times;Serif"/>
                <w:b/>
                <w:smallCaps/>
                <w:sz w:val="20"/>
              </w:rPr>
              <w:t>1847 Holdings LLC</w:t>
            </w:r>
          </w:p>
        </w:tc>
      </w:tr>
    </w:tbl>
    <w:p w14:paraId="14993A54" w14:textId="77777777" w:rsidR="00E22AC0" w:rsidRDefault="00FC56F3">
      <w:pPr>
        <w:pStyle w:val="a3"/>
      </w:pPr>
      <w:r>
        <w:t> </w:t>
      </w:r>
    </w:p>
    <w:tbl>
      <w:tblPr>
        <w:tblW w:w="2410" w:type="dxa"/>
        <w:tblCellMar>
          <w:left w:w="0" w:type="dxa"/>
          <w:right w:w="0" w:type="dxa"/>
        </w:tblCellMar>
        <w:tblLook w:val="0000" w:firstRow="0" w:lastRow="0" w:firstColumn="0" w:lastColumn="0" w:noHBand="0" w:noVBand="0"/>
      </w:tblPr>
      <w:tblGrid>
        <w:gridCol w:w="75"/>
        <w:gridCol w:w="590"/>
        <w:gridCol w:w="1745"/>
      </w:tblGrid>
      <w:tr w:rsidR="00E22AC0" w14:paraId="60F59245" w14:textId="77777777">
        <w:tc>
          <w:tcPr>
            <w:tcW w:w="75" w:type="dxa"/>
            <w:vAlign w:val="center"/>
          </w:tcPr>
          <w:p w14:paraId="555F541F" w14:textId="77777777" w:rsidR="00E22AC0" w:rsidRDefault="00FC56F3">
            <w:pPr>
              <w:pStyle w:val="TableContents"/>
            </w:pPr>
            <w:r>
              <w:t> </w:t>
            </w:r>
          </w:p>
        </w:tc>
        <w:tc>
          <w:tcPr>
            <w:tcW w:w="590" w:type="dxa"/>
            <w:vAlign w:val="center"/>
          </w:tcPr>
          <w:p w14:paraId="452B1E86"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By:</w:t>
            </w:r>
          </w:p>
        </w:tc>
        <w:tc>
          <w:tcPr>
            <w:tcW w:w="1745" w:type="dxa"/>
            <w:tcBorders>
              <w:bottom w:val="single" w:sz="12" w:space="0" w:color="000000"/>
            </w:tcBorders>
            <w:tcMar>
              <w:bottom w:w="28" w:type="dxa"/>
            </w:tcMar>
            <w:vAlign w:val="center"/>
          </w:tcPr>
          <w:p w14:paraId="223EDEC9"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/s/ Ellery W. Roberts</w:t>
            </w:r>
          </w:p>
        </w:tc>
      </w:tr>
      <w:tr w:rsidR="00E22AC0" w14:paraId="2BB82E51" w14:textId="77777777">
        <w:tc>
          <w:tcPr>
            <w:tcW w:w="75" w:type="dxa"/>
            <w:vAlign w:val="center"/>
          </w:tcPr>
          <w:p w14:paraId="47F94552" w14:textId="77777777" w:rsidR="00E22AC0" w:rsidRDefault="00FC56F3">
            <w:pPr>
              <w:pStyle w:val="TableContents"/>
            </w:pPr>
            <w:r>
              <w:t> </w:t>
            </w:r>
          </w:p>
        </w:tc>
        <w:tc>
          <w:tcPr>
            <w:tcW w:w="590" w:type="dxa"/>
            <w:vAlign w:val="center"/>
          </w:tcPr>
          <w:p w14:paraId="40E535F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Name: </w:t>
            </w:r>
          </w:p>
        </w:tc>
        <w:tc>
          <w:tcPr>
            <w:tcW w:w="1745" w:type="dxa"/>
            <w:vAlign w:val="center"/>
          </w:tcPr>
          <w:p w14:paraId="345493D5" w14:textId="77777777" w:rsidR="00E22AC0" w:rsidRDefault="00FC56F3">
            <w:pPr>
              <w:pStyle w:val="TableContents"/>
            </w:pPr>
            <w:r>
              <w:t>Ellery W. Roberts</w:t>
            </w:r>
          </w:p>
        </w:tc>
      </w:tr>
      <w:tr w:rsidR="00E22AC0" w14:paraId="08127EC1" w14:textId="77777777">
        <w:tc>
          <w:tcPr>
            <w:tcW w:w="75" w:type="dxa"/>
            <w:vAlign w:val="center"/>
          </w:tcPr>
          <w:p w14:paraId="53D5AE65" w14:textId="77777777" w:rsidR="00E22AC0" w:rsidRDefault="00FC56F3">
            <w:pPr>
              <w:pStyle w:val="TableContents"/>
            </w:pPr>
            <w:r>
              <w:t> </w:t>
            </w:r>
          </w:p>
        </w:tc>
        <w:tc>
          <w:tcPr>
            <w:tcW w:w="590" w:type="dxa"/>
            <w:vAlign w:val="center"/>
          </w:tcPr>
          <w:p w14:paraId="479031C8"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Title:</w:t>
            </w:r>
          </w:p>
        </w:tc>
        <w:tc>
          <w:tcPr>
            <w:tcW w:w="1745" w:type="dxa"/>
            <w:vAlign w:val="center"/>
          </w:tcPr>
          <w:p w14:paraId="01D29E60" w14:textId="77777777" w:rsidR="00E22AC0" w:rsidRDefault="00FC56F3">
            <w:pPr>
              <w:pStyle w:val="TableContents"/>
            </w:pPr>
            <w:r>
              <w:t>CEO</w:t>
            </w:r>
          </w:p>
        </w:tc>
      </w:tr>
    </w:tbl>
    <w:p w14:paraId="4895563B" w14:textId="77777777" w:rsidR="00E22AC0" w:rsidRDefault="00FC56F3">
      <w:pPr>
        <w:pStyle w:val="a3"/>
      </w:pPr>
      <w:r>
        <w:t> </w:t>
      </w:r>
    </w:p>
    <w:tbl>
      <w:tblPr>
        <w:tblW w:w="3125" w:type="dxa"/>
        <w:tblCellMar>
          <w:left w:w="0" w:type="dxa"/>
          <w:right w:w="0" w:type="dxa"/>
        </w:tblCellMar>
        <w:tblLook w:val="0000" w:firstRow="0" w:lastRow="0" w:firstColumn="0" w:lastColumn="0" w:noHBand="0" w:noVBand="0"/>
      </w:tblPr>
      <w:tblGrid>
        <w:gridCol w:w="75"/>
        <w:gridCol w:w="3050"/>
      </w:tblGrid>
      <w:tr w:rsidR="00E22AC0" w14:paraId="5476113A" w14:textId="77777777">
        <w:tc>
          <w:tcPr>
            <w:tcW w:w="75" w:type="dxa"/>
            <w:vAlign w:val="center"/>
          </w:tcPr>
          <w:p w14:paraId="2419F509" w14:textId="77777777" w:rsidR="00E22AC0" w:rsidRDefault="00FC56F3">
            <w:pPr>
              <w:pStyle w:val="TableContents"/>
            </w:pPr>
            <w:r>
              <w:t> </w:t>
            </w:r>
          </w:p>
        </w:tc>
        <w:tc>
          <w:tcPr>
            <w:tcW w:w="3050" w:type="dxa"/>
            <w:vAlign w:val="center"/>
          </w:tcPr>
          <w:p w14:paraId="12DA1C22" w14:textId="77777777" w:rsidR="00E22AC0" w:rsidRDefault="00FC56F3">
            <w:pPr>
              <w:pStyle w:val="TableContents"/>
              <w:rPr>
                <w:rFonts w:ascii="Times New Roman;Times;Serif" w:hAnsi="Times New Roman;Times;Serif"/>
                <w:sz w:val="20"/>
              </w:rPr>
            </w:pPr>
            <w:r>
              <w:rPr>
                <w:rFonts w:ascii="Times New Roman;Times;Serif" w:hAnsi="Times New Roman;Times;Serif"/>
                <w:b/>
                <w:sz w:val="20"/>
                <w:u w:val="single"/>
              </w:rPr>
              <w:t>COMPANY</w:t>
            </w:r>
            <w:r>
              <w:rPr>
                <w:rFonts w:ascii="Times New Roman;Times;Serif" w:hAnsi="Times New Roman;Times;Serif"/>
                <w:sz w:val="20"/>
              </w:rPr>
              <w:t>:</w:t>
            </w:r>
          </w:p>
        </w:tc>
      </w:tr>
      <w:tr w:rsidR="00E22AC0" w14:paraId="37E2E77B" w14:textId="77777777">
        <w:tc>
          <w:tcPr>
            <w:tcW w:w="75" w:type="dxa"/>
            <w:vAlign w:val="center"/>
          </w:tcPr>
          <w:p w14:paraId="507FC5D8" w14:textId="77777777" w:rsidR="00E22AC0" w:rsidRDefault="00FC56F3">
            <w:pPr>
              <w:pStyle w:val="TableContents"/>
            </w:pPr>
            <w:r>
              <w:t> </w:t>
            </w:r>
          </w:p>
        </w:tc>
        <w:tc>
          <w:tcPr>
            <w:tcW w:w="3050" w:type="dxa"/>
            <w:vAlign w:val="center"/>
          </w:tcPr>
          <w:p w14:paraId="50D5DF43" w14:textId="77777777" w:rsidR="00E22AC0" w:rsidRDefault="00FC56F3">
            <w:pPr>
              <w:pStyle w:val="TableContents"/>
            </w:pPr>
            <w:r>
              <w:t> </w:t>
            </w:r>
          </w:p>
        </w:tc>
      </w:tr>
      <w:tr w:rsidR="00E22AC0" w14:paraId="7252F04F" w14:textId="77777777">
        <w:tc>
          <w:tcPr>
            <w:tcW w:w="75" w:type="dxa"/>
            <w:vAlign w:val="center"/>
          </w:tcPr>
          <w:p w14:paraId="16D720DE" w14:textId="77777777" w:rsidR="00E22AC0" w:rsidRDefault="00FC56F3">
            <w:pPr>
              <w:pStyle w:val="TableContents"/>
            </w:pPr>
            <w:r>
              <w:t> </w:t>
            </w:r>
          </w:p>
        </w:tc>
        <w:tc>
          <w:tcPr>
            <w:tcW w:w="3050" w:type="dxa"/>
            <w:vAlign w:val="center"/>
          </w:tcPr>
          <w:p w14:paraId="5614AD8D" w14:textId="77777777" w:rsidR="00E22AC0" w:rsidRDefault="00FC56F3">
            <w:pPr>
              <w:pStyle w:val="TableContents"/>
              <w:rPr>
                <w:rFonts w:ascii="Times New Roman;Times;Serif" w:hAnsi="Times New Roman;Times;Serif"/>
                <w:b/>
                <w:smallCaps/>
                <w:sz w:val="20"/>
              </w:rPr>
            </w:pPr>
            <w:r>
              <w:rPr>
                <w:rFonts w:ascii="Times New Roman;Times;Serif" w:hAnsi="Times New Roman;Times;Serif"/>
                <w:b/>
                <w:smallCaps/>
                <w:sz w:val="20"/>
              </w:rPr>
              <w:t>Kyle’s Custom Wood Shop, Inc.</w:t>
            </w:r>
          </w:p>
        </w:tc>
      </w:tr>
    </w:tbl>
    <w:p w14:paraId="72D9EABA" w14:textId="77777777" w:rsidR="00E22AC0" w:rsidRDefault="00FC56F3">
      <w:pPr>
        <w:pStyle w:val="a3"/>
      </w:pPr>
      <w:r>
        <w:t> </w:t>
      </w:r>
    </w:p>
    <w:tbl>
      <w:tblPr>
        <w:tblW w:w="2530" w:type="dxa"/>
        <w:tblCellMar>
          <w:left w:w="0" w:type="dxa"/>
          <w:right w:w="0" w:type="dxa"/>
        </w:tblCellMar>
        <w:tblLook w:val="0000" w:firstRow="0" w:lastRow="0" w:firstColumn="0" w:lastColumn="0" w:noHBand="0" w:noVBand="0"/>
      </w:tblPr>
      <w:tblGrid>
        <w:gridCol w:w="75"/>
        <w:gridCol w:w="590"/>
        <w:gridCol w:w="1865"/>
      </w:tblGrid>
      <w:tr w:rsidR="00E22AC0" w14:paraId="4AD149A3" w14:textId="77777777">
        <w:tc>
          <w:tcPr>
            <w:tcW w:w="75" w:type="dxa"/>
            <w:vAlign w:val="center"/>
          </w:tcPr>
          <w:p w14:paraId="2D0ECE4B" w14:textId="77777777" w:rsidR="00E22AC0" w:rsidRDefault="00FC56F3">
            <w:pPr>
              <w:pStyle w:val="TableContents"/>
            </w:pPr>
            <w:r>
              <w:t> </w:t>
            </w:r>
          </w:p>
        </w:tc>
        <w:tc>
          <w:tcPr>
            <w:tcW w:w="590" w:type="dxa"/>
            <w:vAlign w:val="center"/>
          </w:tcPr>
          <w:p w14:paraId="2C0CDC4D"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By:</w:t>
            </w:r>
          </w:p>
        </w:tc>
        <w:tc>
          <w:tcPr>
            <w:tcW w:w="1865" w:type="dxa"/>
            <w:tcBorders>
              <w:bottom w:val="single" w:sz="12" w:space="0" w:color="000000"/>
            </w:tcBorders>
            <w:tcMar>
              <w:bottom w:w="28" w:type="dxa"/>
            </w:tcMar>
            <w:vAlign w:val="center"/>
          </w:tcPr>
          <w:p w14:paraId="046C53A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 xml:space="preserve">/s/ Stephen </w:t>
            </w:r>
            <w:proofErr w:type="spellStart"/>
            <w:r>
              <w:rPr>
                <w:rFonts w:ascii="Times New Roman;Times;Serif" w:hAnsi="Times New Roman;Times;Serif"/>
                <w:sz w:val="20"/>
              </w:rPr>
              <w:t>Mallatt</w:t>
            </w:r>
            <w:proofErr w:type="spellEnd"/>
            <w:r>
              <w:rPr>
                <w:rFonts w:ascii="Times New Roman;Times;Serif" w:hAnsi="Times New Roman;Times;Serif"/>
                <w:sz w:val="20"/>
              </w:rPr>
              <w:t>, Jr.</w:t>
            </w:r>
          </w:p>
        </w:tc>
      </w:tr>
      <w:tr w:rsidR="00E22AC0" w14:paraId="7BFDECCB" w14:textId="77777777">
        <w:tc>
          <w:tcPr>
            <w:tcW w:w="75" w:type="dxa"/>
            <w:vAlign w:val="center"/>
          </w:tcPr>
          <w:p w14:paraId="5A02DF9C" w14:textId="77777777" w:rsidR="00E22AC0" w:rsidRDefault="00FC56F3">
            <w:pPr>
              <w:pStyle w:val="TableContents"/>
            </w:pPr>
            <w:r>
              <w:t> </w:t>
            </w:r>
          </w:p>
        </w:tc>
        <w:tc>
          <w:tcPr>
            <w:tcW w:w="590" w:type="dxa"/>
            <w:vAlign w:val="center"/>
          </w:tcPr>
          <w:p w14:paraId="3B494501"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Name: </w:t>
            </w:r>
          </w:p>
        </w:tc>
        <w:tc>
          <w:tcPr>
            <w:tcW w:w="1865" w:type="dxa"/>
            <w:vAlign w:val="center"/>
          </w:tcPr>
          <w:p w14:paraId="04E90F55" w14:textId="77777777" w:rsidR="00E22AC0" w:rsidRDefault="00FC56F3">
            <w:pPr>
              <w:pStyle w:val="TableContents"/>
            </w:pPr>
            <w:r>
              <w:t xml:space="preserve">Stephen </w:t>
            </w:r>
            <w:proofErr w:type="spellStart"/>
            <w:r>
              <w:t>Mallatt</w:t>
            </w:r>
            <w:proofErr w:type="spellEnd"/>
            <w:r>
              <w:t>, Jr.</w:t>
            </w:r>
          </w:p>
        </w:tc>
      </w:tr>
      <w:tr w:rsidR="00E22AC0" w14:paraId="651E897B" w14:textId="77777777">
        <w:tc>
          <w:tcPr>
            <w:tcW w:w="75" w:type="dxa"/>
            <w:vAlign w:val="center"/>
          </w:tcPr>
          <w:p w14:paraId="57721B6F" w14:textId="77777777" w:rsidR="00E22AC0" w:rsidRDefault="00FC56F3">
            <w:pPr>
              <w:pStyle w:val="TableContents"/>
            </w:pPr>
            <w:r>
              <w:t> </w:t>
            </w:r>
          </w:p>
        </w:tc>
        <w:tc>
          <w:tcPr>
            <w:tcW w:w="590" w:type="dxa"/>
            <w:vAlign w:val="center"/>
          </w:tcPr>
          <w:p w14:paraId="4F935C8C"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Title:</w:t>
            </w:r>
          </w:p>
        </w:tc>
        <w:tc>
          <w:tcPr>
            <w:tcW w:w="1865" w:type="dxa"/>
            <w:vAlign w:val="center"/>
          </w:tcPr>
          <w:p w14:paraId="63523DED" w14:textId="77777777" w:rsidR="00E22AC0" w:rsidRDefault="00FC56F3">
            <w:pPr>
              <w:pStyle w:val="TableContents"/>
            </w:pPr>
            <w:r>
              <w:t>President and CEO</w:t>
            </w:r>
          </w:p>
        </w:tc>
      </w:tr>
    </w:tbl>
    <w:p w14:paraId="5F8D3276" w14:textId="77777777" w:rsidR="00E22AC0" w:rsidRDefault="00FC56F3">
      <w:pPr>
        <w:pStyle w:val="a3"/>
      </w:pPr>
      <w:r>
        <w:t> </w:t>
      </w:r>
    </w:p>
    <w:tbl>
      <w:tblPr>
        <w:tblW w:w="1055" w:type="dxa"/>
        <w:tblCellMar>
          <w:left w:w="0" w:type="dxa"/>
          <w:right w:w="0" w:type="dxa"/>
        </w:tblCellMar>
        <w:tblLook w:val="0000" w:firstRow="0" w:lastRow="0" w:firstColumn="0" w:lastColumn="0" w:noHBand="0" w:noVBand="0"/>
      </w:tblPr>
      <w:tblGrid>
        <w:gridCol w:w="75"/>
        <w:gridCol w:w="980"/>
      </w:tblGrid>
      <w:tr w:rsidR="00E22AC0" w14:paraId="2DE7A32F" w14:textId="77777777">
        <w:tc>
          <w:tcPr>
            <w:tcW w:w="75" w:type="dxa"/>
            <w:vAlign w:val="center"/>
          </w:tcPr>
          <w:p w14:paraId="46D5BF98" w14:textId="77777777" w:rsidR="00E22AC0" w:rsidRDefault="00FC56F3">
            <w:pPr>
              <w:pStyle w:val="TableContents"/>
            </w:pPr>
            <w:r>
              <w:t> </w:t>
            </w:r>
          </w:p>
        </w:tc>
        <w:tc>
          <w:tcPr>
            <w:tcW w:w="980" w:type="dxa"/>
            <w:vAlign w:val="center"/>
          </w:tcPr>
          <w:p w14:paraId="1124052F" w14:textId="77777777" w:rsidR="00E22AC0" w:rsidRDefault="00FC56F3">
            <w:pPr>
              <w:pStyle w:val="TableContents"/>
              <w:rPr>
                <w:rFonts w:ascii="Times New Roman;Times;Serif" w:hAnsi="Times New Roman;Times;Serif"/>
                <w:sz w:val="20"/>
              </w:rPr>
            </w:pPr>
            <w:r>
              <w:rPr>
                <w:rFonts w:ascii="Times New Roman;Times;Serif" w:hAnsi="Times New Roman;Times;Serif"/>
                <w:b/>
                <w:sz w:val="20"/>
                <w:u w:val="single"/>
              </w:rPr>
              <w:t>SELLERS</w:t>
            </w:r>
            <w:r>
              <w:rPr>
                <w:rFonts w:ascii="Times New Roman;Times;Serif" w:hAnsi="Times New Roman;Times;Serif"/>
                <w:sz w:val="20"/>
              </w:rPr>
              <w:t>:</w:t>
            </w:r>
          </w:p>
        </w:tc>
      </w:tr>
    </w:tbl>
    <w:p w14:paraId="2A6C0403" w14:textId="77777777" w:rsidR="00E22AC0" w:rsidRDefault="00FC56F3">
      <w:pPr>
        <w:pStyle w:val="a3"/>
      </w:pPr>
      <w:r>
        <w:t> </w:t>
      </w:r>
    </w:p>
    <w:tbl>
      <w:tblPr>
        <w:tblW w:w="2705" w:type="dxa"/>
        <w:tblCellMar>
          <w:left w:w="0" w:type="dxa"/>
          <w:right w:w="0" w:type="dxa"/>
        </w:tblCellMar>
        <w:tblLook w:val="0000" w:firstRow="0" w:lastRow="0" w:firstColumn="0" w:lastColumn="0" w:noHBand="0" w:noVBand="0"/>
      </w:tblPr>
      <w:tblGrid>
        <w:gridCol w:w="75"/>
        <w:gridCol w:w="2630"/>
      </w:tblGrid>
      <w:tr w:rsidR="00E22AC0" w14:paraId="7DDEA67C" w14:textId="77777777">
        <w:tc>
          <w:tcPr>
            <w:tcW w:w="75" w:type="dxa"/>
            <w:vAlign w:val="center"/>
          </w:tcPr>
          <w:p w14:paraId="0CE2BAF0" w14:textId="77777777" w:rsidR="00E22AC0" w:rsidRDefault="00FC56F3">
            <w:pPr>
              <w:pStyle w:val="TableContents"/>
            </w:pPr>
            <w:r>
              <w:t> </w:t>
            </w:r>
          </w:p>
        </w:tc>
        <w:tc>
          <w:tcPr>
            <w:tcW w:w="2630" w:type="dxa"/>
            <w:tcBorders>
              <w:bottom w:val="single" w:sz="12" w:space="0" w:color="000000"/>
            </w:tcBorders>
            <w:tcMar>
              <w:bottom w:w="28" w:type="dxa"/>
            </w:tcMar>
            <w:vAlign w:val="center"/>
          </w:tcPr>
          <w:p w14:paraId="712A467A"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 xml:space="preserve">/s/ Stephen </w:t>
            </w:r>
            <w:proofErr w:type="spellStart"/>
            <w:r>
              <w:rPr>
                <w:rFonts w:ascii="Times New Roman;Times;Serif" w:hAnsi="Times New Roman;Times;Serif"/>
                <w:sz w:val="20"/>
              </w:rPr>
              <w:t>Mallatt</w:t>
            </w:r>
            <w:proofErr w:type="spellEnd"/>
            <w:r>
              <w:rPr>
                <w:rFonts w:ascii="Times New Roman;Times;Serif" w:hAnsi="Times New Roman;Times;Serif"/>
                <w:sz w:val="20"/>
              </w:rPr>
              <w:t>, Jr.</w:t>
            </w:r>
          </w:p>
        </w:tc>
      </w:tr>
      <w:tr w:rsidR="00E22AC0" w14:paraId="2F0FBA97" w14:textId="77777777">
        <w:tc>
          <w:tcPr>
            <w:tcW w:w="75" w:type="dxa"/>
            <w:vAlign w:val="center"/>
          </w:tcPr>
          <w:p w14:paraId="61A5E01A" w14:textId="77777777" w:rsidR="00E22AC0" w:rsidRDefault="00FC56F3">
            <w:pPr>
              <w:pStyle w:val="TableContents"/>
            </w:pPr>
            <w:r>
              <w:t> </w:t>
            </w:r>
          </w:p>
        </w:tc>
        <w:tc>
          <w:tcPr>
            <w:tcW w:w="2630" w:type="dxa"/>
            <w:vAlign w:val="center"/>
          </w:tcPr>
          <w:p w14:paraId="3393256E"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 xml:space="preserve">Name: </w:t>
            </w:r>
            <w:r>
              <w:rPr>
                <w:rFonts w:ascii="Times New Roman;Times;Serif" w:hAnsi="Times New Roman;Times;Serif"/>
                <w:b/>
                <w:smallCaps/>
                <w:sz w:val="20"/>
              </w:rPr>
              <w:t xml:space="preserve">Stephen </w:t>
            </w:r>
            <w:proofErr w:type="spellStart"/>
            <w:r>
              <w:rPr>
                <w:rFonts w:ascii="Times New Roman;Times;Serif" w:hAnsi="Times New Roman;Times;Serif"/>
                <w:b/>
                <w:smallCaps/>
                <w:sz w:val="20"/>
              </w:rPr>
              <w:t>Mallatt</w:t>
            </w:r>
            <w:proofErr w:type="spellEnd"/>
            <w:r>
              <w:rPr>
                <w:rFonts w:ascii="Times New Roman;Times;Serif" w:hAnsi="Times New Roman;Times;Serif"/>
                <w:b/>
                <w:smallCaps/>
                <w:sz w:val="20"/>
              </w:rPr>
              <w:t>, Jr.</w:t>
            </w:r>
          </w:p>
        </w:tc>
      </w:tr>
    </w:tbl>
    <w:p w14:paraId="0975ED3A" w14:textId="77777777" w:rsidR="00E22AC0" w:rsidRDefault="00FC56F3">
      <w:pPr>
        <w:pStyle w:val="a3"/>
        <w:spacing w:after="0"/>
        <w:ind w:firstLine="360"/>
      </w:pPr>
      <w:r>
        <w:t> </w:t>
      </w:r>
    </w:p>
    <w:tbl>
      <w:tblPr>
        <w:tblW w:w="1985" w:type="dxa"/>
        <w:tblCellMar>
          <w:left w:w="0" w:type="dxa"/>
          <w:right w:w="0" w:type="dxa"/>
        </w:tblCellMar>
        <w:tblLook w:val="0000" w:firstRow="0" w:lastRow="0" w:firstColumn="0" w:lastColumn="0" w:noHBand="0" w:noVBand="0"/>
      </w:tblPr>
      <w:tblGrid>
        <w:gridCol w:w="75"/>
        <w:gridCol w:w="1910"/>
      </w:tblGrid>
      <w:tr w:rsidR="00E22AC0" w14:paraId="24E8F5EB" w14:textId="77777777">
        <w:tc>
          <w:tcPr>
            <w:tcW w:w="75" w:type="dxa"/>
            <w:vAlign w:val="center"/>
          </w:tcPr>
          <w:p w14:paraId="0C1A90A8" w14:textId="77777777" w:rsidR="00E22AC0" w:rsidRDefault="00FC56F3">
            <w:pPr>
              <w:pStyle w:val="TableContents"/>
            </w:pPr>
            <w:r>
              <w:t> </w:t>
            </w:r>
          </w:p>
        </w:tc>
        <w:tc>
          <w:tcPr>
            <w:tcW w:w="1910" w:type="dxa"/>
            <w:tcBorders>
              <w:bottom w:val="single" w:sz="12" w:space="0" w:color="000000"/>
            </w:tcBorders>
            <w:tcMar>
              <w:bottom w:w="28" w:type="dxa"/>
            </w:tcMar>
            <w:vAlign w:val="center"/>
          </w:tcPr>
          <w:p w14:paraId="722C348D"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 xml:space="preserve">/s/ Rita </w:t>
            </w:r>
            <w:proofErr w:type="spellStart"/>
            <w:r>
              <w:rPr>
                <w:rFonts w:ascii="Times New Roman;Times;Serif" w:hAnsi="Times New Roman;Times;Serif"/>
                <w:sz w:val="20"/>
              </w:rPr>
              <w:t>Mallatt</w:t>
            </w:r>
            <w:proofErr w:type="spellEnd"/>
          </w:p>
        </w:tc>
      </w:tr>
      <w:tr w:rsidR="00E22AC0" w14:paraId="0519A4C3" w14:textId="77777777">
        <w:tc>
          <w:tcPr>
            <w:tcW w:w="75" w:type="dxa"/>
            <w:vAlign w:val="center"/>
          </w:tcPr>
          <w:p w14:paraId="182EF30B" w14:textId="77777777" w:rsidR="00E22AC0" w:rsidRDefault="00FC56F3">
            <w:pPr>
              <w:pStyle w:val="TableContents"/>
            </w:pPr>
            <w:r>
              <w:t> </w:t>
            </w:r>
          </w:p>
        </w:tc>
        <w:tc>
          <w:tcPr>
            <w:tcW w:w="1910" w:type="dxa"/>
            <w:vAlign w:val="center"/>
          </w:tcPr>
          <w:p w14:paraId="5C2EA916"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Name</w:t>
            </w:r>
            <w:r>
              <w:rPr>
                <w:rFonts w:ascii="Times New Roman;Times;Serif" w:hAnsi="Times New Roman;Times;Serif"/>
                <w:b/>
                <w:smallCaps/>
                <w:sz w:val="20"/>
              </w:rPr>
              <w:t xml:space="preserve">: Rita </w:t>
            </w:r>
            <w:proofErr w:type="spellStart"/>
            <w:r>
              <w:rPr>
                <w:rFonts w:ascii="Times New Roman;Times;Serif" w:hAnsi="Times New Roman;Times;Serif"/>
                <w:b/>
                <w:smallCaps/>
                <w:sz w:val="20"/>
              </w:rPr>
              <w:t>Mallatt</w:t>
            </w:r>
            <w:proofErr w:type="spellEnd"/>
          </w:p>
        </w:tc>
      </w:tr>
    </w:tbl>
    <w:p w14:paraId="43D2724E" w14:textId="77777777" w:rsidR="00E22AC0" w:rsidRDefault="00FC56F3">
      <w:pPr>
        <w:pStyle w:val="a3"/>
        <w:spacing w:after="0"/>
        <w:ind w:left="4590"/>
      </w:pPr>
      <w:r>
        <w:t> </w:t>
      </w:r>
    </w:p>
    <w:p w14:paraId="7B77ED47" w14:textId="77777777" w:rsidR="00E22AC0" w:rsidRDefault="00FC56F3">
      <w:pPr>
        <w:pStyle w:val="a3"/>
        <w:spacing w:after="0"/>
        <w:jc w:val="center"/>
        <w:rPr>
          <w:bdr w:val="single" w:sz="12" w:space="1" w:color="000000"/>
        </w:rPr>
      </w:pPr>
      <w:r>
        <w:rPr>
          <w:bdr w:val="single" w:sz="12" w:space="1" w:color="000000"/>
        </w:rPr>
        <w:t> </w:t>
      </w:r>
    </w:p>
    <w:p w14:paraId="42D6BFEB" w14:textId="77777777" w:rsidR="00E22AC0" w:rsidRDefault="00FC56F3">
      <w:pPr>
        <w:pStyle w:val="a3"/>
        <w:spacing w:after="0"/>
      </w:pPr>
      <w:r>
        <w:t> </w:t>
      </w:r>
    </w:p>
    <w:p w14:paraId="438D6F6A" w14:textId="77777777" w:rsidR="00E22AC0" w:rsidRDefault="00FC56F3">
      <w:pPr>
        <w:pStyle w:val="a3"/>
        <w:spacing w:after="0"/>
        <w:jc w:val="center"/>
      </w:pPr>
      <w:r>
        <w:t> </w:t>
      </w:r>
    </w:p>
    <w:p w14:paraId="23F81591"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Exhibit A</w:t>
      </w:r>
    </w:p>
    <w:p w14:paraId="7F603044" w14:textId="77777777" w:rsidR="00E22AC0" w:rsidRDefault="00FC56F3">
      <w:pPr>
        <w:pStyle w:val="a3"/>
        <w:spacing w:after="0"/>
        <w:jc w:val="center"/>
        <w:rPr>
          <w:rFonts w:ascii="Times New Roman;Times;Serif" w:hAnsi="Times New Roman;Times;Serif"/>
          <w:b/>
          <w:sz w:val="20"/>
          <w:u w:val="single"/>
        </w:rPr>
      </w:pPr>
      <w:r>
        <w:rPr>
          <w:rFonts w:ascii="Times New Roman;Times;Serif" w:hAnsi="Times New Roman;Times;Serif"/>
          <w:b/>
          <w:sz w:val="20"/>
          <w:u w:val="single"/>
        </w:rPr>
        <w:t>List of Sellers</w:t>
      </w:r>
    </w:p>
    <w:p w14:paraId="2828A3AE" w14:textId="77777777" w:rsidR="00E22AC0" w:rsidRDefault="00FC56F3">
      <w:pPr>
        <w:pStyle w:val="a3"/>
        <w:spacing w:after="0"/>
        <w:jc w:val="center"/>
      </w:pPr>
      <w:r>
        <w:t> </w:t>
      </w:r>
    </w:p>
    <w:tbl>
      <w:tblPr>
        <w:tblW w:w="10205" w:type="dxa"/>
        <w:tblCellMar>
          <w:left w:w="0" w:type="dxa"/>
          <w:bottom w:w="28" w:type="dxa"/>
          <w:right w:w="0" w:type="dxa"/>
        </w:tblCellMar>
        <w:tblLook w:val="0000" w:firstRow="0" w:lastRow="0" w:firstColumn="0" w:lastColumn="0" w:noHBand="0" w:noVBand="0"/>
      </w:tblPr>
      <w:tblGrid>
        <w:gridCol w:w="2367"/>
        <w:gridCol w:w="60"/>
        <w:gridCol w:w="130"/>
        <w:gridCol w:w="1098"/>
        <w:gridCol w:w="60"/>
        <w:gridCol w:w="60"/>
        <w:gridCol w:w="196"/>
        <w:gridCol w:w="1244"/>
        <w:gridCol w:w="260"/>
        <w:gridCol w:w="60"/>
        <w:gridCol w:w="142"/>
        <w:gridCol w:w="1909"/>
        <w:gridCol w:w="60"/>
        <w:gridCol w:w="60"/>
        <w:gridCol w:w="302"/>
        <w:gridCol w:w="2118"/>
        <w:gridCol w:w="79"/>
      </w:tblGrid>
      <w:tr w:rsidR="00E22AC0" w14:paraId="13772512" w14:textId="77777777">
        <w:tc>
          <w:tcPr>
            <w:tcW w:w="2367" w:type="dxa"/>
            <w:tcBorders>
              <w:bottom w:val="single" w:sz="12" w:space="0" w:color="000000"/>
            </w:tcBorders>
            <w:vAlign w:val="center"/>
          </w:tcPr>
          <w:p w14:paraId="3A1C112B" w14:textId="77777777" w:rsidR="00E22AC0" w:rsidRDefault="00FC56F3">
            <w:pPr>
              <w:pStyle w:val="TableContents"/>
              <w:rPr>
                <w:b/>
              </w:rPr>
            </w:pPr>
            <w:r>
              <w:rPr>
                <w:b/>
              </w:rPr>
              <w:t>Name of Seller</w:t>
            </w:r>
          </w:p>
        </w:tc>
        <w:tc>
          <w:tcPr>
            <w:tcW w:w="60" w:type="dxa"/>
            <w:tcMar>
              <w:bottom w:w="0" w:type="dxa"/>
            </w:tcMar>
            <w:vAlign w:val="center"/>
          </w:tcPr>
          <w:p w14:paraId="61CB78FC" w14:textId="77777777" w:rsidR="00E22AC0" w:rsidRDefault="00FC56F3">
            <w:pPr>
              <w:pStyle w:val="TableContents"/>
            </w:pPr>
            <w:r>
              <w:t> </w:t>
            </w:r>
          </w:p>
        </w:tc>
        <w:tc>
          <w:tcPr>
            <w:tcW w:w="1228" w:type="dxa"/>
            <w:gridSpan w:val="2"/>
            <w:tcBorders>
              <w:bottom w:val="single" w:sz="12" w:space="0" w:color="000000"/>
            </w:tcBorders>
            <w:vAlign w:val="center"/>
          </w:tcPr>
          <w:p w14:paraId="55ED37A2" w14:textId="77777777" w:rsidR="00E22AC0" w:rsidRDefault="00FC56F3">
            <w:pPr>
              <w:pStyle w:val="TableContents"/>
              <w:jc w:val="center"/>
              <w:rPr>
                <w:b/>
              </w:rPr>
            </w:pPr>
            <w:r>
              <w:rPr>
                <w:b/>
              </w:rPr>
              <w:t>Number of Shares</w:t>
            </w:r>
          </w:p>
        </w:tc>
        <w:tc>
          <w:tcPr>
            <w:tcW w:w="60" w:type="dxa"/>
            <w:tcMar>
              <w:bottom w:w="0" w:type="dxa"/>
            </w:tcMar>
            <w:vAlign w:val="center"/>
          </w:tcPr>
          <w:p w14:paraId="087C24C3" w14:textId="77777777" w:rsidR="00E22AC0" w:rsidRDefault="00FC56F3">
            <w:pPr>
              <w:pStyle w:val="TableContents"/>
            </w:pPr>
            <w:r>
              <w:t> </w:t>
            </w:r>
          </w:p>
        </w:tc>
        <w:tc>
          <w:tcPr>
            <w:tcW w:w="60" w:type="dxa"/>
            <w:tcMar>
              <w:bottom w:w="0" w:type="dxa"/>
            </w:tcMar>
            <w:vAlign w:val="center"/>
          </w:tcPr>
          <w:p w14:paraId="1D9AF754" w14:textId="77777777" w:rsidR="00E22AC0" w:rsidRDefault="00FC56F3">
            <w:pPr>
              <w:pStyle w:val="TableContents"/>
            </w:pPr>
            <w:r>
              <w:t> </w:t>
            </w:r>
          </w:p>
        </w:tc>
        <w:tc>
          <w:tcPr>
            <w:tcW w:w="1440" w:type="dxa"/>
            <w:gridSpan w:val="2"/>
            <w:tcBorders>
              <w:bottom w:val="single" w:sz="12" w:space="0" w:color="000000"/>
            </w:tcBorders>
            <w:vAlign w:val="center"/>
          </w:tcPr>
          <w:p w14:paraId="5D0F049E" w14:textId="77777777" w:rsidR="00E22AC0" w:rsidRDefault="00FC56F3">
            <w:pPr>
              <w:pStyle w:val="TableContents"/>
              <w:jc w:val="center"/>
              <w:rPr>
                <w:b/>
              </w:rPr>
            </w:pPr>
            <w:r>
              <w:rPr>
                <w:b/>
              </w:rPr>
              <w:t xml:space="preserve">Percent </w:t>
            </w:r>
            <w:r>
              <w:rPr>
                <w:b/>
              </w:rPr>
              <w:t>Ownership</w:t>
            </w:r>
          </w:p>
        </w:tc>
        <w:tc>
          <w:tcPr>
            <w:tcW w:w="260" w:type="dxa"/>
            <w:tcMar>
              <w:bottom w:w="0" w:type="dxa"/>
            </w:tcMar>
            <w:vAlign w:val="center"/>
          </w:tcPr>
          <w:p w14:paraId="2430F698" w14:textId="77777777" w:rsidR="00E22AC0" w:rsidRDefault="00FC56F3">
            <w:pPr>
              <w:pStyle w:val="TableContents"/>
            </w:pPr>
            <w:r>
              <w:t> </w:t>
            </w:r>
          </w:p>
        </w:tc>
        <w:tc>
          <w:tcPr>
            <w:tcW w:w="60" w:type="dxa"/>
            <w:tcMar>
              <w:bottom w:w="0" w:type="dxa"/>
            </w:tcMar>
            <w:vAlign w:val="center"/>
          </w:tcPr>
          <w:p w14:paraId="0570ECDB" w14:textId="77777777" w:rsidR="00E22AC0" w:rsidRDefault="00FC56F3">
            <w:pPr>
              <w:pStyle w:val="TableContents"/>
            </w:pPr>
            <w:r>
              <w:t> </w:t>
            </w:r>
          </w:p>
        </w:tc>
        <w:tc>
          <w:tcPr>
            <w:tcW w:w="2051" w:type="dxa"/>
            <w:gridSpan w:val="2"/>
            <w:tcBorders>
              <w:bottom w:val="single" w:sz="12" w:space="0" w:color="000000"/>
            </w:tcBorders>
            <w:vAlign w:val="center"/>
          </w:tcPr>
          <w:p w14:paraId="583B338C" w14:textId="77777777" w:rsidR="00E22AC0" w:rsidRDefault="00FC56F3">
            <w:pPr>
              <w:pStyle w:val="TableContents"/>
              <w:jc w:val="center"/>
              <w:rPr>
                <w:b/>
              </w:rPr>
            </w:pPr>
            <w:r>
              <w:rPr>
                <w:b/>
              </w:rPr>
              <w:t>Number of Buyer Shares to be Received</w:t>
            </w:r>
          </w:p>
        </w:tc>
        <w:tc>
          <w:tcPr>
            <w:tcW w:w="60" w:type="dxa"/>
            <w:tcMar>
              <w:bottom w:w="0" w:type="dxa"/>
            </w:tcMar>
            <w:vAlign w:val="center"/>
          </w:tcPr>
          <w:p w14:paraId="72355F38" w14:textId="77777777" w:rsidR="00E22AC0" w:rsidRDefault="00FC56F3">
            <w:pPr>
              <w:pStyle w:val="TableContents"/>
            </w:pPr>
            <w:r>
              <w:t> </w:t>
            </w:r>
          </w:p>
        </w:tc>
        <w:tc>
          <w:tcPr>
            <w:tcW w:w="60" w:type="dxa"/>
            <w:tcMar>
              <w:bottom w:w="0" w:type="dxa"/>
            </w:tcMar>
            <w:vAlign w:val="center"/>
          </w:tcPr>
          <w:p w14:paraId="0492CDA0" w14:textId="77777777" w:rsidR="00E22AC0" w:rsidRDefault="00FC56F3">
            <w:pPr>
              <w:pStyle w:val="TableContents"/>
            </w:pPr>
            <w:r>
              <w:t> </w:t>
            </w:r>
          </w:p>
        </w:tc>
        <w:tc>
          <w:tcPr>
            <w:tcW w:w="2420" w:type="dxa"/>
            <w:gridSpan w:val="2"/>
            <w:tcBorders>
              <w:bottom w:val="single" w:sz="12" w:space="0" w:color="000000"/>
            </w:tcBorders>
            <w:vAlign w:val="center"/>
          </w:tcPr>
          <w:p w14:paraId="0EE7245B" w14:textId="77777777" w:rsidR="00E22AC0" w:rsidRDefault="00FC56F3">
            <w:pPr>
              <w:pStyle w:val="TableContents"/>
              <w:jc w:val="center"/>
              <w:rPr>
                <w:b/>
              </w:rPr>
            </w:pPr>
            <w:r>
              <w:rPr>
                <w:b/>
              </w:rPr>
              <w:t>Principal Amount of Seller Note to be Received</w:t>
            </w:r>
          </w:p>
        </w:tc>
        <w:tc>
          <w:tcPr>
            <w:tcW w:w="79" w:type="dxa"/>
            <w:tcMar>
              <w:bottom w:w="0" w:type="dxa"/>
            </w:tcMar>
            <w:vAlign w:val="center"/>
          </w:tcPr>
          <w:p w14:paraId="546A777F" w14:textId="77777777" w:rsidR="00E22AC0" w:rsidRDefault="00FC56F3">
            <w:pPr>
              <w:pStyle w:val="TableContents"/>
            </w:pPr>
            <w:r>
              <w:t> </w:t>
            </w:r>
          </w:p>
        </w:tc>
      </w:tr>
      <w:tr w:rsidR="00E22AC0" w14:paraId="524F5A19" w14:textId="77777777">
        <w:tc>
          <w:tcPr>
            <w:tcW w:w="2367" w:type="dxa"/>
            <w:shd w:val="clear" w:color="auto" w:fill="CCEEFF"/>
            <w:tcMar>
              <w:bottom w:w="0" w:type="dxa"/>
            </w:tcMar>
            <w:vAlign w:val="center"/>
          </w:tcPr>
          <w:p w14:paraId="5CD5E686" w14:textId="77777777" w:rsidR="00E22AC0" w:rsidRDefault="00FC56F3">
            <w:pPr>
              <w:pStyle w:val="TableContents"/>
            </w:pPr>
            <w:r>
              <w:lastRenderedPageBreak/>
              <w:t xml:space="preserve">Stephen </w:t>
            </w:r>
            <w:proofErr w:type="spellStart"/>
            <w:r>
              <w:t>Mallatt</w:t>
            </w:r>
            <w:proofErr w:type="spellEnd"/>
            <w:r>
              <w:t xml:space="preserve">, Jr. and Rita </w:t>
            </w:r>
            <w:proofErr w:type="spellStart"/>
            <w:r>
              <w:t>Mallatt</w:t>
            </w:r>
            <w:proofErr w:type="spellEnd"/>
            <w:r>
              <w:t>, husband and wife</w:t>
            </w:r>
          </w:p>
        </w:tc>
        <w:tc>
          <w:tcPr>
            <w:tcW w:w="60" w:type="dxa"/>
            <w:shd w:val="clear" w:color="auto" w:fill="CCEEFF"/>
            <w:tcMar>
              <w:bottom w:w="0" w:type="dxa"/>
            </w:tcMar>
            <w:vAlign w:val="center"/>
          </w:tcPr>
          <w:p w14:paraId="14F98B5C" w14:textId="77777777" w:rsidR="00E22AC0" w:rsidRDefault="00FC56F3">
            <w:pPr>
              <w:pStyle w:val="TableContents"/>
            </w:pPr>
            <w:r>
              <w:t> </w:t>
            </w:r>
          </w:p>
        </w:tc>
        <w:tc>
          <w:tcPr>
            <w:tcW w:w="130" w:type="dxa"/>
            <w:tcBorders>
              <w:bottom w:val="single" w:sz="12" w:space="0" w:color="000000"/>
            </w:tcBorders>
            <w:shd w:val="clear" w:color="auto" w:fill="CCEEFF"/>
            <w:vAlign w:val="center"/>
          </w:tcPr>
          <w:p w14:paraId="4463F262" w14:textId="77777777" w:rsidR="00E22AC0" w:rsidRDefault="00FC56F3">
            <w:pPr>
              <w:pStyle w:val="TableContents"/>
            </w:pPr>
            <w:r>
              <w:t> </w:t>
            </w:r>
          </w:p>
        </w:tc>
        <w:tc>
          <w:tcPr>
            <w:tcW w:w="1098" w:type="dxa"/>
            <w:tcBorders>
              <w:bottom w:val="single" w:sz="12" w:space="0" w:color="000000"/>
            </w:tcBorders>
            <w:shd w:val="clear" w:color="auto" w:fill="CCEEFF"/>
            <w:vAlign w:val="center"/>
          </w:tcPr>
          <w:p w14:paraId="495668A7" w14:textId="77777777" w:rsidR="00E22AC0" w:rsidRDefault="00FC56F3">
            <w:pPr>
              <w:pStyle w:val="TableContents"/>
              <w:jc w:val="right"/>
            </w:pPr>
            <w:r>
              <w:t>1000</w:t>
            </w:r>
          </w:p>
        </w:tc>
        <w:tc>
          <w:tcPr>
            <w:tcW w:w="60" w:type="dxa"/>
            <w:shd w:val="clear" w:color="auto" w:fill="CCEEFF"/>
            <w:tcMar>
              <w:bottom w:w="0" w:type="dxa"/>
            </w:tcMar>
            <w:vAlign w:val="center"/>
          </w:tcPr>
          <w:p w14:paraId="12F99A59" w14:textId="77777777" w:rsidR="00E22AC0" w:rsidRDefault="00FC56F3">
            <w:pPr>
              <w:pStyle w:val="TableContents"/>
            </w:pPr>
            <w:r>
              <w:t> </w:t>
            </w:r>
          </w:p>
        </w:tc>
        <w:tc>
          <w:tcPr>
            <w:tcW w:w="60" w:type="dxa"/>
            <w:shd w:val="clear" w:color="auto" w:fill="CCEEFF"/>
            <w:tcMar>
              <w:bottom w:w="0" w:type="dxa"/>
            </w:tcMar>
            <w:vAlign w:val="center"/>
          </w:tcPr>
          <w:p w14:paraId="0CA30D58" w14:textId="77777777" w:rsidR="00E22AC0" w:rsidRDefault="00FC56F3">
            <w:pPr>
              <w:pStyle w:val="TableContents"/>
            </w:pPr>
            <w:r>
              <w:t> </w:t>
            </w:r>
          </w:p>
        </w:tc>
        <w:tc>
          <w:tcPr>
            <w:tcW w:w="196" w:type="dxa"/>
            <w:tcBorders>
              <w:bottom w:val="single" w:sz="12" w:space="0" w:color="000000"/>
            </w:tcBorders>
            <w:shd w:val="clear" w:color="auto" w:fill="CCEEFF"/>
            <w:vAlign w:val="center"/>
          </w:tcPr>
          <w:p w14:paraId="6643A79B" w14:textId="77777777" w:rsidR="00E22AC0" w:rsidRDefault="00FC56F3">
            <w:pPr>
              <w:pStyle w:val="TableContents"/>
            </w:pPr>
            <w:r>
              <w:t> </w:t>
            </w:r>
          </w:p>
        </w:tc>
        <w:tc>
          <w:tcPr>
            <w:tcW w:w="1244" w:type="dxa"/>
            <w:tcBorders>
              <w:bottom w:val="single" w:sz="12" w:space="0" w:color="000000"/>
            </w:tcBorders>
            <w:shd w:val="clear" w:color="auto" w:fill="CCEEFF"/>
            <w:vAlign w:val="center"/>
          </w:tcPr>
          <w:p w14:paraId="4C81DFD1" w14:textId="77777777" w:rsidR="00E22AC0" w:rsidRDefault="00FC56F3">
            <w:pPr>
              <w:pStyle w:val="TableContents"/>
              <w:jc w:val="right"/>
            </w:pPr>
            <w:r>
              <w:t>100</w:t>
            </w:r>
          </w:p>
        </w:tc>
        <w:tc>
          <w:tcPr>
            <w:tcW w:w="260" w:type="dxa"/>
            <w:shd w:val="clear" w:color="auto" w:fill="CCEEFF"/>
            <w:tcMar>
              <w:bottom w:w="0" w:type="dxa"/>
            </w:tcMar>
            <w:vAlign w:val="center"/>
          </w:tcPr>
          <w:p w14:paraId="2D742E18" w14:textId="77777777" w:rsidR="00E22AC0" w:rsidRDefault="00FC56F3">
            <w:pPr>
              <w:pStyle w:val="TableContents"/>
            </w:pPr>
            <w:r>
              <w:t>%</w:t>
            </w:r>
          </w:p>
        </w:tc>
        <w:tc>
          <w:tcPr>
            <w:tcW w:w="60" w:type="dxa"/>
            <w:shd w:val="clear" w:color="auto" w:fill="CCEEFF"/>
            <w:tcMar>
              <w:bottom w:w="0" w:type="dxa"/>
            </w:tcMar>
            <w:vAlign w:val="center"/>
          </w:tcPr>
          <w:p w14:paraId="5D19080A" w14:textId="77777777" w:rsidR="00E22AC0" w:rsidRDefault="00FC56F3">
            <w:pPr>
              <w:pStyle w:val="TableContents"/>
            </w:pPr>
            <w:r>
              <w:t> </w:t>
            </w:r>
          </w:p>
        </w:tc>
        <w:tc>
          <w:tcPr>
            <w:tcW w:w="142" w:type="dxa"/>
            <w:tcBorders>
              <w:bottom w:val="single" w:sz="12" w:space="0" w:color="000000"/>
            </w:tcBorders>
            <w:shd w:val="clear" w:color="auto" w:fill="CCEEFF"/>
            <w:vAlign w:val="center"/>
          </w:tcPr>
          <w:p w14:paraId="24563FC0" w14:textId="77777777" w:rsidR="00E22AC0" w:rsidRDefault="00FC56F3">
            <w:pPr>
              <w:pStyle w:val="TableContents"/>
            </w:pPr>
            <w:r>
              <w:t> </w:t>
            </w:r>
          </w:p>
        </w:tc>
        <w:tc>
          <w:tcPr>
            <w:tcW w:w="1909" w:type="dxa"/>
            <w:tcBorders>
              <w:bottom w:val="single" w:sz="12" w:space="0" w:color="000000"/>
            </w:tcBorders>
            <w:shd w:val="clear" w:color="auto" w:fill="CCEEFF"/>
            <w:vAlign w:val="center"/>
          </w:tcPr>
          <w:p w14:paraId="1BD8739B" w14:textId="77777777" w:rsidR="00E22AC0" w:rsidRDefault="00FC56F3">
            <w:pPr>
              <w:pStyle w:val="TableContents"/>
              <w:jc w:val="right"/>
            </w:pPr>
            <w:r>
              <w:t>700,000</w:t>
            </w:r>
          </w:p>
        </w:tc>
        <w:tc>
          <w:tcPr>
            <w:tcW w:w="60" w:type="dxa"/>
            <w:shd w:val="clear" w:color="auto" w:fill="CCEEFF"/>
            <w:tcMar>
              <w:bottom w:w="0" w:type="dxa"/>
            </w:tcMar>
            <w:vAlign w:val="center"/>
          </w:tcPr>
          <w:p w14:paraId="59D7C664" w14:textId="77777777" w:rsidR="00E22AC0" w:rsidRDefault="00FC56F3">
            <w:pPr>
              <w:pStyle w:val="TableContents"/>
            </w:pPr>
            <w:r>
              <w:t> </w:t>
            </w:r>
          </w:p>
        </w:tc>
        <w:tc>
          <w:tcPr>
            <w:tcW w:w="60" w:type="dxa"/>
            <w:shd w:val="clear" w:color="auto" w:fill="CCEEFF"/>
            <w:tcMar>
              <w:bottom w:w="0" w:type="dxa"/>
            </w:tcMar>
            <w:vAlign w:val="center"/>
          </w:tcPr>
          <w:p w14:paraId="45E2D64D" w14:textId="77777777" w:rsidR="00E22AC0" w:rsidRDefault="00FC56F3">
            <w:pPr>
              <w:pStyle w:val="TableContents"/>
            </w:pPr>
            <w:r>
              <w:t> </w:t>
            </w:r>
          </w:p>
        </w:tc>
        <w:tc>
          <w:tcPr>
            <w:tcW w:w="302" w:type="dxa"/>
            <w:tcBorders>
              <w:bottom w:val="single" w:sz="12" w:space="0" w:color="000000"/>
            </w:tcBorders>
            <w:shd w:val="clear" w:color="auto" w:fill="CCEEFF"/>
            <w:vAlign w:val="center"/>
          </w:tcPr>
          <w:p w14:paraId="2A4417FF" w14:textId="77777777" w:rsidR="00E22AC0" w:rsidRDefault="00FC56F3">
            <w:pPr>
              <w:pStyle w:val="TableContents"/>
            </w:pPr>
            <w:r>
              <w:t>$</w:t>
            </w:r>
          </w:p>
        </w:tc>
        <w:tc>
          <w:tcPr>
            <w:tcW w:w="2118" w:type="dxa"/>
            <w:tcBorders>
              <w:bottom w:val="single" w:sz="12" w:space="0" w:color="000000"/>
            </w:tcBorders>
            <w:shd w:val="clear" w:color="auto" w:fill="CCEEFF"/>
            <w:vAlign w:val="center"/>
          </w:tcPr>
          <w:p w14:paraId="11596B2E" w14:textId="77777777" w:rsidR="00E22AC0" w:rsidRDefault="00FC56F3">
            <w:pPr>
              <w:pStyle w:val="TableContents"/>
              <w:jc w:val="right"/>
            </w:pPr>
            <w:r>
              <w:t>1,050,000</w:t>
            </w:r>
          </w:p>
        </w:tc>
        <w:tc>
          <w:tcPr>
            <w:tcW w:w="79" w:type="dxa"/>
            <w:shd w:val="clear" w:color="auto" w:fill="CCEEFF"/>
            <w:tcMar>
              <w:bottom w:w="0" w:type="dxa"/>
            </w:tcMar>
            <w:vAlign w:val="center"/>
          </w:tcPr>
          <w:p w14:paraId="2E717983" w14:textId="77777777" w:rsidR="00E22AC0" w:rsidRDefault="00FC56F3">
            <w:pPr>
              <w:pStyle w:val="TableContents"/>
            </w:pPr>
            <w:r>
              <w:t> </w:t>
            </w:r>
          </w:p>
        </w:tc>
      </w:tr>
      <w:tr w:rsidR="00E22AC0" w14:paraId="3778184B" w14:textId="77777777">
        <w:tc>
          <w:tcPr>
            <w:tcW w:w="2367" w:type="dxa"/>
            <w:shd w:val="clear" w:color="auto" w:fill="FFFFFF"/>
            <w:tcMar>
              <w:bottom w:w="0" w:type="dxa"/>
            </w:tcMar>
            <w:vAlign w:val="center"/>
          </w:tcPr>
          <w:p w14:paraId="4940642C" w14:textId="77777777" w:rsidR="00E22AC0" w:rsidRDefault="00FC56F3">
            <w:pPr>
              <w:pStyle w:val="TableContents"/>
              <w:jc w:val="both"/>
            </w:pPr>
            <w:r>
              <w:t> </w:t>
            </w:r>
          </w:p>
        </w:tc>
        <w:tc>
          <w:tcPr>
            <w:tcW w:w="60" w:type="dxa"/>
            <w:shd w:val="clear" w:color="auto" w:fill="FFFFFF"/>
            <w:tcMar>
              <w:bottom w:w="0" w:type="dxa"/>
            </w:tcMar>
            <w:vAlign w:val="center"/>
          </w:tcPr>
          <w:p w14:paraId="464FC5D3" w14:textId="77777777" w:rsidR="00E22AC0" w:rsidRDefault="00FC56F3">
            <w:pPr>
              <w:pStyle w:val="TableContents"/>
            </w:pPr>
            <w:r>
              <w:t> </w:t>
            </w:r>
          </w:p>
        </w:tc>
        <w:tc>
          <w:tcPr>
            <w:tcW w:w="130" w:type="dxa"/>
            <w:shd w:val="clear" w:color="auto" w:fill="FFFFFF"/>
            <w:tcMar>
              <w:bottom w:w="0" w:type="dxa"/>
            </w:tcMar>
            <w:vAlign w:val="center"/>
          </w:tcPr>
          <w:p w14:paraId="7D650152" w14:textId="77777777" w:rsidR="00E22AC0" w:rsidRDefault="00FC56F3">
            <w:pPr>
              <w:pStyle w:val="TableContents"/>
            </w:pPr>
            <w:r>
              <w:t> </w:t>
            </w:r>
          </w:p>
        </w:tc>
        <w:tc>
          <w:tcPr>
            <w:tcW w:w="1098" w:type="dxa"/>
            <w:shd w:val="clear" w:color="auto" w:fill="FFFFFF"/>
            <w:tcMar>
              <w:bottom w:w="0" w:type="dxa"/>
            </w:tcMar>
            <w:vAlign w:val="center"/>
          </w:tcPr>
          <w:p w14:paraId="26F0A68B" w14:textId="77777777" w:rsidR="00E22AC0" w:rsidRDefault="00FC56F3">
            <w:pPr>
              <w:pStyle w:val="TableContents"/>
              <w:jc w:val="right"/>
            </w:pPr>
            <w:r>
              <w:t> </w:t>
            </w:r>
          </w:p>
        </w:tc>
        <w:tc>
          <w:tcPr>
            <w:tcW w:w="60" w:type="dxa"/>
            <w:shd w:val="clear" w:color="auto" w:fill="FFFFFF"/>
            <w:tcMar>
              <w:bottom w:w="0" w:type="dxa"/>
            </w:tcMar>
            <w:vAlign w:val="center"/>
          </w:tcPr>
          <w:p w14:paraId="7931F0CB" w14:textId="77777777" w:rsidR="00E22AC0" w:rsidRDefault="00FC56F3">
            <w:pPr>
              <w:pStyle w:val="TableContents"/>
            </w:pPr>
            <w:r>
              <w:t> </w:t>
            </w:r>
          </w:p>
        </w:tc>
        <w:tc>
          <w:tcPr>
            <w:tcW w:w="60" w:type="dxa"/>
            <w:shd w:val="clear" w:color="auto" w:fill="FFFFFF"/>
            <w:tcMar>
              <w:bottom w:w="0" w:type="dxa"/>
            </w:tcMar>
            <w:vAlign w:val="center"/>
          </w:tcPr>
          <w:p w14:paraId="0BEF94D5" w14:textId="77777777" w:rsidR="00E22AC0" w:rsidRDefault="00FC56F3">
            <w:pPr>
              <w:pStyle w:val="TableContents"/>
            </w:pPr>
            <w:r>
              <w:t> </w:t>
            </w:r>
          </w:p>
        </w:tc>
        <w:tc>
          <w:tcPr>
            <w:tcW w:w="196" w:type="dxa"/>
            <w:shd w:val="clear" w:color="auto" w:fill="FFFFFF"/>
            <w:tcMar>
              <w:bottom w:w="0" w:type="dxa"/>
            </w:tcMar>
            <w:vAlign w:val="center"/>
          </w:tcPr>
          <w:p w14:paraId="012D773D" w14:textId="77777777" w:rsidR="00E22AC0" w:rsidRDefault="00FC56F3">
            <w:pPr>
              <w:pStyle w:val="TableContents"/>
            </w:pPr>
            <w:r>
              <w:t> </w:t>
            </w:r>
          </w:p>
        </w:tc>
        <w:tc>
          <w:tcPr>
            <w:tcW w:w="1244" w:type="dxa"/>
            <w:shd w:val="clear" w:color="auto" w:fill="FFFFFF"/>
            <w:tcMar>
              <w:bottom w:w="0" w:type="dxa"/>
            </w:tcMar>
            <w:vAlign w:val="center"/>
          </w:tcPr>
          <w:p w14:paraId="48441A0E" w14:textId="77777777" w:rsidR="00E22AC0" w:rsidRDefault="00FC56F3">
            <w:pPr>
              <w:pStyle w:val="TableContents"/>
              <w:jc w:val="right"/>
            </w:pPr>
            <w:r>
              <w:t> </w:t>
            </w:r>
          </w:p>
        </w:tc>
        <w:tc>
          <w:tcPr>
            <w:tcW w:w="260" w:type="dxa"/>
            <w:shd w:val="clear" w:color="auto" w:fill="FFFFFF"/>
            <w:tcMar>
              <w:bottom w:w="0" w:type="dxa"/>
            </w:tcMar>
            <w:vAlign w:val="center"/>
          </w:tcPr>
          <w:p w14:paraId="77A85C15" w14:textId="77777777" w:rsidR="00E22AC0" w:rsidRDefault="00FC56F3">
            <w:pPr>
              <w:pStyle w:val="TableContents"/>
            </w:pPr>
            <w:r>
              <w:t> </w:t>
            </w:r>
          </w:p>
        </w:tc>
        <w:tc>
          <w:tcPr>
            <w:tcW w:w="60" w:type="dxa"/>
            <w:shd w:val="clear" w:color="auto" w:fill="FFFFFF"/>
            <w:tcMar>
              <w:bottom w:w="0" w:type="dxa"/>
            </w:tcMar>
            <w:vAlign w:val="center"/>
          </w:tcPr>
          <w:p w14:paraId="10E1847F" w14:textId="77777777" w:rsidR="00E22AC0" w:rsidRDefault="00FC56F3">
            <w:pPr>
              <w:pStyle w:val="TableContents"/>
            </w:pPr>
            <w:r>
              <w:t> </w:t>
            </w:r>
          </w:p>
        </w:tc>
        <w:tc>
          <w:tcPr>
            <w:tcW w:w="142" w:type="dxa"/>
            <w:shd w:val="clear" w:color="auto" w:fill="FFFFFF"/>
            <w:tcMar>
              <w:bottom w:w="0" w:type="dxa"/>
            </w:tcMar>
            <w:vAlign w:val="center"/>
          </w:tcPr>
          <w:p w14:paraId="36A4C126" w14:textId="77777777" w:rsidR="00E22AC0" w:rsidRDefault="00FC56F3">
            <w:pPr>
              <w:pStyle w:val="TableContents"/>
            </w:pPr>
            <w:r>
              <w:t> </w:t>
            </w:r>
          </w:p>
        </w:tc>
        <w:tc>
          <w:tcPr>
            <w:tcW w:w="1909" w:type="dxa"/>
            <w:shd w:val="clear" w:color="auto" w:fill="FFFFFF"/>
            <w:tcMar>
              <w:bottom w:w="0" w:type="dxa"/>
            </w:tcMar>
            <w:vAlign w:val="center"/>
          </w:tcPr>
          <w:p w14:paraId="69928D71" w14:textId="77777777" w:rsidR="00E22AC0" w:rsidRDefault="00FC56F3">
            <w:pPr>
              <w:pStyle w:val="TableContents"/>
              <w:jc w:val="right"/>
            </w:pPr>
            <w:r>
              <w:t> </w:t>
            </w:r>
          </w:p>
        </w:tc>
        <w:tc>
          <w:tcPr>
            <w:tcW w:w="60" w:type="dxa"/>
            <w:shd w:val="clear" w:color="auto" w:fill="FFFFFF"/>
            <w:tcMar>
              <w:bottom w:w="0" w:type="dxa"/>
            </w:tcMar>
            <w:vAlign w:val="center"/>
          </w:tcPr>
          <w:p w14:paraId="3649228F" w14:textId="77777777" w:rsidR="00E22AC0" w:rsidRDefault="00FC56F3">
            <w:pPr>
              <w:pStyle w:val="TableContents"/>
            </w:pPr>
            <w:r>
              <w:t> </w:t>
            </w:r>
          </w:p>
        </w:tc>
        <w:tc>
          <w:tcPr>
            <w:tcW w:w="60" w:type="dxa"/>
            <w:shd w:val="clear" w:color="auto" w:fill="FFFFFF"/>
            <w:tcMar>
              <w:bottom w:w="0" w:type="dxa"/>
            </w:tcMar>
            <w:vAlign w:val="center"/>
          </w:tcPr>
          <w:p w14:paraId="2EBFA11E" w14:textId="77777777" w:rsidR="00E22AC0" w:rsidRDefault="00FC56F3">
            <w:pPr>
              <w:pStyle w:val="TableContents"/>
            </w:pPr>
            <w:r>
              <w:t> </w:t>
            </w:r>
          </w:p>
        </w:tc>
        <w:tc>
          <w:tcPr>
            <w:tcW w:w="302" w:type="dxa"/>
            <w:shd w:val="clear" w:color="auto" w:fill="FFFFFF"/>
            <w:tcMar>
              <w:bottom w:w="0" w:type="dxa"/>
            </w:tcMar>
            <w:vAlign w:val="center"/>
          </w:tcPr>
          <w:p w14:paraId="0894B539" w14:textId="77777777" w:rsidR="00E22AC0" w:rsidRDefault="00FC56F3">
            <w:pPr>
              <w:pStyle w:val="TableContents"/>
            </w:pPr>
            <w:r>
              <w:t> </w:t>
            </w:r>
          </w:p>
        </w:tc>
        <w:tc>
          <w:tcPr>
            <w:tcW w:w="2118" w:type="dxa"/>
            <w:shd w:val="clear" w:color="auto" w:fill="FFFFFF"/>
            <w:tcMar>
              <w:bottom w:w="0" w:type="dxa"/>
            </w:tcMar>
            <w:vAlign w:val="center"/>
          </w:tcPr>
          <w:p w14:paraId="4BF8FD76" w14:textId="77777777" w:rsidR="00E22AC0" w:rsidRDefault="00FC56F3">
            <w:pPr>
              <w:pStyle w:val="TableContents"/>
              <w:jc w:val="right"/>
            </w:pPr>
            <w:r>
              <w:t> </w:t>
            </w:r>
          </w:p>
        </w:tc>
        <w:tc>
          <w:tcPr>
            <w:tcW w:w="79" w:type="dxa"/>
            <w:shd w:val="clear" w:color="auto" w:fill="FFFFFF"/>
            <w:tcMar>
              <w:bottom w:w="0" w:type="dxa"/>
            </w:tcMar>
            <w:vAlign w:val="center"/>
          </w:tcPr>
          <w:p w14:paraId="2A2062B9" w14:textId="77777777" w:rsidR="00E22AC0" w:rsidRDefault="00FC56F3">
            <w:pPr>
              <w:pStyle w:val="TableContents"/>
            </w:pPr>
            <w:r>
              <w:t> </w:t>
            </w:r>
          </w:p>
        </w:tc>
      </w:tr>
      <w:tr w:rsidR="00E22AC0" w14:paraId="6DBD9B61" w14:textId="77777777">
        <w:tc>
          <w:tcPr>
            <w:tcW w:w="2367" w:type="dxa"/>
            <w:shd w:val="clear" w:color="auto" w:fill="CCEEFF"/>
            <w:tcMar>
              <w:bottom w:w="0" w:type="dxa"/>
            </w:tcMar>
            <w:vAlign w:val="center"/>
          </w:tcPr>
          <w:p w14:paraId="1548BADB" w14:textId="77777777" w:rsidR="00E22AC0" w:rsidRDefault="00FC56F3">
            <w:pPr>
              <w:pStyle w:val="TableContents"/>
              <w:jc w:val="both"/>
              <w:rPr>
                <w:b/>
              </w:rPr>
            </w:pPr>
            <w:r>
              <w:rPr>
                <w:b/>
              </w:rPr>
              <w:t>Totals</w:t>
            </w:r>
          </w:p>
        </w:tc>
        <w:tc>
          <w:tcPr>
            <w:tcW w:w="60" w:type="dxa"/>
            <w:shd w:val="clear" w:color="auto" w:fill="CCEEFF"/>
            <w:tcMar>
              <w:bottom w:w="0" w:type="dxa"/>
            </w:tcMar>
            <w:vAlign w:val="center"/>
          </w:tcPr>
          <w:p w14:paraId="22353396" w14:textId="77777777" w:rsidR="00E22AC0" w:rsidRDefault="00FC56F3">
            <w:pPr>
              <w:pStyle w:val="TableContents"/>
            </w:pPr>
            <w:r>
              <w:t> </w:t>
            </w:r>
          </w:p>
        </w:tc>
        <w:tc>
          <w:tcPr>
            <w:tcW w:w="130" w:type="dxa"/>
            <w:tcBorders>
              <w:bottom w:val="double" w:sz="10" w:space="0" w:color="000000"/>
            </w:tcBorders>
            <w:shd w:val="clear" w:color="auto" w:fill="CCEEFF"/>
            <w:vAlign w:val="center"/>
          </w:tcPr>
          <w:p w14:paraId="6E08B4AA" w14:textId="77777777" w:rsidR="00E22AC0" w:rsidRDefault="00FC56F3">
            <w:pPr>
              <w:pStyle w:val="TableContents"/>
            </w:pPr>
            <w:r>
              <w:t> </w:t>
            </w:r>
          </w:p>
        </w:tc>
        <w:tc>
          <w:tcPr>
            <w:tcW w:w="1098" w:type="dxa"/>
            <w:tcBorders>
              <w:bottom w:val="double" w:sz="10" w:space="0" w:color="000000"/>
            </w:tcBorders>
            <w:shd w:val="clear" w:color="auto" w:fill="CCEEFF"/>
            <w:vAlign w:val="center"/>
          </w:tcPr>
          <w:p w14:paraId="5F07E048" w14:textId="77777777" w:rsidR="00E22AC0" w:rsidRDefault="00FC56F3">
            <w:pPr>
              <w:pStyle w:val="TableContents"/>
              <w:jc w:val="right"/>
              <w:rPr>
                <w:b/>
              </w:rPr>
            </w:pPr>
            <w:r>
              <w:rPr>
                <w:b/>
              </w:rPr>
              <w:t>1000</w:t>
            </w:r>
          </w:p>
        </w:tc>
        <w:tc>
          <w:tcPr>
            <w:tcW w:w="60" w:type="dxa"/>
            <w:shd w:val="clear" w:color="auto" w:fill="CCEEFF"/>
            <w:tcMar>
              <w:bottom w:w="0" w:type="dxa"/>
            </w:tcMar>
            <w:vAlign w:val="center"/>
          </w:tcPr>
          <w:p w14:paraId="4C34142E" w14:textId="77777777" w:rsidR="00E22AC0" w:rsidRDefault="00FC56F3">
            <w:pPr>
              <w:pStyle w:val="TableContents"/>
            </w:pPr>
            <w:r>
              <w:t> </w:t>
            </w:r>
          </w:p>
        </w:tc>
        <w:tc>
          <w:tcPr>
            <w:tcW w:w="60" w:type="dxa"/>
            <w:shd w:val="clear" w:color="auto" w:fill="CCEEFF"/>
            <w:tcMar>
              <w:bottom w:w="0" w:type="dxa"/>
            </w:tcMar>
            <w:vAlign w:val="center"/>
          </w:tcPr>
          <w:p w14:paraId="04F70361" w14:textId="77777777" w:rsidR="00E22AC0" w:rsidRDefault="00FC56F3">
            <w:pPr>
              <w:pStyle w:val="TableContents"/>
            </w:pPr>
            <w:r>
              <w:t> </w:t>
            </w:r>
          </w:p>
        </w:tc>
        <w:tc>
          <w:tcPr>
            <w:tcW w:w="196" w:type="dxa"/>
            <w:tcBorders>
              <w:bottom w:val="double" w:sz="10" w:space="0" w:color="000000"/>
            </w:tcBorders>
            <w:shd w:val="clear" w:color="auto" w:fill="CCEEFF"/>
            <w:vAlign w:val="center"/>
          </w:tcPr>
          <w:p w14:paraId="13494B7A" w14:textId="77777777" w:rsidR="00E22AC0" w:rsidRDefault="00FC56F3">
            <w:pPr>
              <w:pStyle w:val="TableContents"/>
            </w:pPr>
            <w:r>
              <w:t> </w:t>
            </w:r>
          </w:p>
        </w:tc>
        <w:tc>
          <w:tcPr>
            <w:tcW w:w="1244" w:type="dxa"/>
            <w:tcBorders>
              <w:bottom w:val="double" w:sz="10" w:space="0" w:color="000000"/>
            </w:tcBorders>
            <w:shd w:val="clear" w:color="auto" w:fill="CCEEFF"/>
            <w:vAlign w:val="center"/>
          </w:tcPr>
          <w:p w14:paraId="7DE13360" w14:textId="77777777" w:rsidR="00E22AC0" w:rsidRDefault="00FC56F3">
            <w:pPr>
              <w:pStyle w:val="TableContents"/>
              <w:jc w:val="right"/>
              <w:rPr>
                <w:b/>
              </w:rPr>
            </w:pPr>
            <w:r>
              <w:rPr>
                <w:b/>
              </w:rPr>
              <w:t>100</w:t>
            </w:r>
          </w:p>
        </w:tc>
        <w:tc>
          <w:tcPr>
            <w:tcW w:w="260" w:type="dxa"/>
            <w:shd w:val="clear" w:color="auto" w:fill="CCEEFF"/>
            <w:tcMar>
              <w:bottom w:w="0" w:type="dxa"/>
            </w:tcMar>
            <w:vAlign w:val="center"/>
          </w:tcPr>
          <w:p w14:paraId="437CE296" w14:textId="77777777" w:rsidR="00E22AC0" w:rsidRDefault="00FC56F3">
            <w:pPr>
              <w:pStyle w:val="TableContents"/>
              <w:rPr>
                <w:b/>
              </w:rPr>
            </w:pPr>
            <w:r>
              <w:rPr>
                <w:b/>
              </w:rPr>
              <w:t>%</w:t>
            </w:r>
          </w:p>
        </w:tc>
        <w:tc>
          <w:tcPr>
            <w:tcW w:w="60" w:type="dxa"/>
            <w:shd w:val="clear" w:color="auto" w:fill="CCEEFF"/>
            <w:tcMar>
              <w:bottom w:w="0" w:type="dxa"/>
            </w:tcMar>
            <w:vAlign w:val="center"/>
          </w:tcPr>
          <w:p w14:paraId="290D5FF2" w14:textId="77777777" w:rsidR="00E22AC0" w:rsidRDefault="00FC56F3">
            <w:pPr>
              <w:pStyle w:val="TableContents"/>
            </w:pPr>
            <w:r>
              <w:t> </w:t>
            </w:r>
          </w:p>
        </w:tc>
        <w:tc>
          <w:tcPr>
            <w:tcW w:w="142" w:type="dxa"/>
            <w:tcBorders>
              <w:bottom w:val="double" w:sz="10" w:space="0" w:color="000000"/>
            </w:tcBorders>
            <w:shd w:val="clear" w:color="auto" w:fill="CCEEFF"/>
            <w:vAlign w:val="center"/>
          </w:tcPr>
          <w:p w14:paraId="01269D63" w14:textId="77777777" w:rsidR="00E22AC0" w:rsidRDefault="00FC56F3">
            <w:pPr>
              <w:pStyle w:val="TableContents"/>
            </w:pPr>
            <w:r>
              <w:t> </w:t>
            </w:r>
          </w:p>
        </w:tc>
        <w:tc>
          <w:tcPr>
            <w:tcW w:w="1909" w:type="dxa"/>
            <w:tcBorders>
              <w:bottom w:val="double" w:sz="10" w:space="0" w:color="000000"/>
            </w:tcBorders>
            <w:shd w:val="clear" w:color="auto" w:fill="CCEEFF"/>
            <w:vAlign w:val="center"/>
          </w:tcPr>
          <w:p w14:paraId="4170839B" w14:textId="77777777" w:rsidR="00E22AC0" w:rsidRDefault="00FC56F3">
            <w:pPr>
              <w:pStyle w:val="TableContents"/>
              <w:jc w:val="right"/>
              <w:rPr>
                <w:b/>
              </w:rPr>
            </w:pPr>
            <w:r>
              <w:rPr>
                <w:b/>
              </w:rPr>
              <w:t>700,000</w:t>
            </w:r>
          </w:p>
        </w:tc>
        <w:tc>
          <w:tcPr>
            <w:tcW w:w="60" w:type="dxa"/>
            <w:shd w:val="clear" w:color="auto" w:fill="CCEEFF"/>
            <w:tcMar>
              <w:bottom w:w="0" w:type="dxa"/>
            </w:tcMar>
            <w:vAlign w:val="center"/>
          </w:tcPr>
          <w:p w14:paraId="1475A455" w14:textId="77777777" w:rsidR="00E22AC0" w:rsidRDefault="00FC56F3">
            <w:pPr>
              <w:pStyle w:val="TableContents"/>
            </w:pPr>
            <w:r>
              <w:t> </w:t>
            </w:r>
          </w:p>
        </w:tc>
        <w:tc>
          <w:tcPr>
            <w:tcW w:w="60" w:type="dxa"/>
            <w:shd w:val="clear" w:color="auto" w:fill="CCEEFF"/>
            <w:tcMar>
              <w:bottom w:w="0" w:type="dxa"/>
            </w:tcMar>
            <w:vAlign w:val="center"/>
          </w:tcPr>
          <w:p w14:paraId="002E19B7" w14:textId="77777777" w:rsidR="00E22AC0" w:rsidRDefault="00FC56F3">
            <w:pPr>
              <w:pStyle w:val="TableContents"/>
            </w:pPr>
            <w:r>
              <w:t> </w:t>
            </w:r>
          </w:p>
        </w:tc>
        <w:tc>
          <w:tcPr>
            <w:tcW w:w="302" w:type="dxa"/>
            <w:tcBorders>
              <w:bottom w:val="double" w:sz="10" w:space="0" w:color="000000"/>
            </w:tcBorders>
            <w:shd w:val="clear" w:color="auto" w:fill="CCEEFF"/>
            <w:vAlign w:val="center"/>
          </w:tcPr>
          <w:p w14:paraId="039D23E0" w14:textId="77777777" w:rsidR="00E22AC0" w:rsidRDefault="00FC56F3">
            <w:pPr>
              <w:pStyle w:val="TableContents"/>
              <w:rPr>
                <w:b/>
              </w:rPr>
            </w:pPr>
            <w:r>
              <w:rPr>
                <w:b/>
              </w:rPr>
              <w:t>$</w:t>
            </w:r>
          </w:p>
        </w:tc>
        <w:tc>
          <w:tcPr>
            <w:tcW w:w="2118" w:type="dxa"/>
            <w:tcBorders>
              <w:bottom w:val="double" w:sz="10" w:space="0" w:color="000000"/>
            </w:tcBorders>
            <w:shd w:val="clear" w:color="auto" w:fill="CCEEFF"/>
            <w:vAlign w:val="center"/>
          </w:tcPr>
          <w:p w14:paraId="3E760A2A" w14:textId="77777777" w:rsidR="00E22AC0" w:rsidRDefault="00FC56F3">
            <w:pPr>
              <w:pStyle w:val="TableContents"/>
              <w:jc w:val="right"/>
              <w:rPr>
                <w:b/>
              </w:rPr>
            </w:pPr>
            <w:r>
              <w:rPr>
                <w:b/>
              </w:rPr>
              <w:t>1,050,000</w:t>
            </w:r>
          </w:p>
        </w:tc>
        <w:tc>
          <w:tcPr>
            <w:tcW w:w="79" w:type="dxa"/>
            <w:shd w:val="clear" w:color="auto" w:fill="CCEEFF"/>
            <w:tcMar>
              <w:bottom w:w="0" w:type="dxa"/>
            </w:tcMar>
            <w:vAlign w:val="center"/>
          </w:tcPr>
          <w:p w14:paraId="5170C18A" w14:textId="77777777" w:rsidR="00E22AC0" w:rsidRDefault="00FC56F3">
            <w:pPr>
              <w:pStyle w:val="TableContents"/>
            </w:pPr>
            <w:r>
              <w:t> </w:t>
            </w:r>
          </w:p>
        </w:tc>
      </w:tr>
    </w:tbl>
    <w:p w14:paraId="1DFEC6AF" w14:textId="77777777" w:rsidR="00E22AC0" w:rsidRDefault="00FC56F3">
      <w:pPr>
        <w:pStyle w:val="a3"/>
        <w:spacing w:after="0"/>
      </w:pPr>
      <w:r>
        <w:t> </w:t>
      </w:r>
    </w:p>
    <w:p w14:paraId="5218F786" w14:textId="77777777" w:rsidR="00E22AC0" w:rsidRDefault="00FC56F3">
      <w:pPr>
        <w:pStyle w:val="a3"/>
        <w:spacing w:after="0"/>
        <w:jc w:val="center"/>
        <w:rPr>
          <w:bdr w:val="single" w:sz="12" w:space="1" w:color="000000"/>
        </w:rPr>
      </w:pPr>
      <w:r>
        <w:rPr>
          <w:bdr w:val="single" w:sz="12" w:space="1" w:color="000000"/>
        </w:rPr>
        <w:t> </w:t>
      </w:r>
    </w:p>
    <w:p w14:paraId="22DCA241" w14:textId="77777777" w:rsidR="00E22AC0" w:rsidRDefault="00FC56F3">
      <w:pPr>
        <w:pStyle w:val="a3"/>
        <w:spacing w:after="0"/>
      </w:pPr>
      <w:r>
        <w:t> </w:t>
      </w:r>
    </w:p>
    <w:p w14:paraId="05495189" w14:textId="77777777" w:rsidR="00E22AC0" w:rsidRDefault="00FC56F3">
      <w:pPr>
        <w:pStyle w:val="a3"/>
        <w:spacing w:after="0"/>
      </w:pPr>
      <w:r>
        <w:t> </w:t>
      </w:r>
    </w:p>
    <w:p w14:paraId="68C9B7E7"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Exhibit B</w:t>
      </w:r>
    </w:p>
    <w:p w14:paraId="1DA10F88" w14:textId="77777777" w:rsidR="00E22AC0" w:rsidRDefault="00FC56F3">
      <w:pPr>
        <w:pStyle w:val="a3"/>
        <w:spacing w:after="0"/>
        <w:jc w:val="center"/>
        <w:rPr>
          <w:rFonts w:ascii="Times New Roman;Times;Serif" w:hAnsi="Times New Roman;Times;Serif"/>
          <w:b/>
          <w:sz w:val="20"/>
          <w:u w:val="single"/>
        </w:rPr>
      </w:pPr>
      <w:r>
        <w:rPr>
          <w:rFonts w:ascii="Times New Roman;Times;Serif" w:hAnsi="Times New Roman;Times;Serif"/>
          <w:b/>
          <w:sz w:val="20"/>
          <w:u w:val="single"/>
        </w:rPr>
        <w:t>Example of Net Working Capital Calculation</w:t>
      </w:r>
    </w:p>
    <w:p w14:paraId="46DD9C7D" w14:textId="77777777" w:rsidR="00E22AC0" w:rsidRDefault="00FC56F3">
      <w:pPr>
        <w:pStyle w:val="a3"/>
        <w:spacing w:after="0"/>
        <w:jc w:val="center"/>
      </w:pPr>
      <w:r>
        <w:t> </w:t>
      </w:r>
    </w:p>
    <w:p w14:paraId="3EC93736" w14:textId="77777777" w:rsidR="00E22AC0" w:rsidRDefault="00FC56F3">
      <w:pPr>
        <w:pStyle w:val="a3"/>
        <w:spacing w:after="0"/>
        <w:rPr>
          <w:rFonts w:ascii="Times New Roman;Times;Serif" w:hAnsi="Times New Roman;Times;Serif"/>
          <w:b/>
          <w:sz w:val="20"/>
        </w:rPr>
      </w:pPr>
      <w:r>
        <w:rPr>
          <w:rFonts w:ascii="Times New Roman;Times;Serif" w:hAnsi="Times New Roman;Times;Serif"/>
          <w:b/>
          <w:sz w:val="20"/>
        </w:rPr>
        <w:t>Working Capital Adjustment (Example)</w:t>
      </w:r>
    </w:p>
    <w:p w14:paraId="4857D740" w14:textId="77777777" w:rsidR="00E22AC0" w:rsidRDefault="00FC56F3">
      <w:pPr>
        <w:pStyle w:val="a3"/>
        <w:spacing w:after="0"/>
        <w:rPr>
          <w:rFonts w:ascii="Times New Roman;Times;Serif" w:hAnsi="Times New Roman;Times;Serif"/>
          <w:sz w:val="20"/>
        </w:rPr>
      </w:pPr>
      <w:r>
        <w:rPr>
          <w:rFonts w:ascii="Times New Roman;Times;Serif" w:hAnsi="Times New Roman;Times;Serif"/>
          <w:sz w:val="20"/>
        </w:rPr>
        <w:t>All Balance Sheet Balances are after Final GAAP Adjustments</w:t>
      </w:r>
    </w:p>
    <w:p w14:paraId="6CE99AC6" w14:textId="77777777" w:rsidR="00E22AC0" w:rsidRDefault="00FC56F3">
      <w:pPr>
        <w:pStyle w:val="a3"/>
        <w:spacing w:after="0"/>
      </w:pPr>
      <w:r>
        <w:t> </w:t>
      </w:r>
    </w:p>
    <w:tbl>
      <w:tblPr>
        <w:tblW w:w="7538" w:type="dxa"/>
        <w:tblCellMar>
          <w:left w:w="0" w:type="dxa"/>
          <w:right w:w="0" w:type="dxa"/>
        </w:tblCellMar>
        <w:tblLook w:val="0000" w:firstRow="0" w:lastRow="0" w:firstColumn="0" w:lastColumn="0" w:noHBand="0" w:noVBand="0"/>
      </w:tblPr>
      <w:tblGrid>
        <w:gridCol w:w="3440"/>
        <w:gridCol w:w="60"/>
        <w:gridCol w:w="63"/>
        <w:gridCol w:w="1036"/>
        <w:gridCol w:w="60"/>
        <w:gridCol w:w="60"/>
        <w:gridCol w:w="78"/>
        <w:gridCol w:w="1142"/>
        <w:gridCol w:w="365"/>
        <w:gridCol w:w="60"/>
        <w:gridCol w:w="76"/>
        <w:gridCol w:w="1023"/>
        <w:gridCol w:w="75"/>
      </w:tblGrid>
      <w:tr w:rsidR="00E22AC0" w14:paraId="6B9A432A" w14:textId="77777777">
        <w:tc>
          <w:tcPr>
            <w:tcW w:w="3440" w:type="dxa"/>
            <w:vAlign w:val="center"/>
          </w:tcPr>
          <w:p w14:paraId="58E386AE" w14:textId="77777777" w:rsidR="00E22AC0" w:rsidRDefault="00FC56F3">
            <w:pPr>
              <w:pStyle w:val="TableContents"/>
              <w:jc w:val="center"/>
            </w:pPr>
            <w:r>
              <w:t> </w:t>
            </w:r>
          </w:p>
        </w:tc>
        <w:tc>
          <w:tcPr>
            <w:tcW w:w="60" w:type="dxa"/>
            <w:vAlign w:val="center"/>
          </w:tcPr>
          <w:p w14:paraId="2BB298A7" w14:textId="77777777" w:rsidR="00E22AC0" w:rsidRDefault="00FC56F3">
            <w:pPr>
              <w:pStyle w:val="TableContents"/>
            </w:pPr>
            <w:r>
              <w:t> </w:t>
            </w:r>
          </w:p>
        </w:tc>
        <w:tc>
          <w:tcPr>
            <w:tcW w:w="1099" w:type="dxa"/>
            <w:gridSpan w:val="2"/>
            <w:tcBorders>
              <w:bottom w:val="single" w:sz="12" w:space="0" w:color="000000"/>
            </w:tcBorders>
            <w:tcMar>
              <w:bottom w:w="28" w:type="dxa"/>
            </w:tcMar>
            <w:vAlign w:val="center"/>
          </w:tcPr>
          <w:p w14:paraId="7D971788" w14:textId="77777777" w:rsidR="00E22AC0" w:rsidRDefault="00FC56F3">
            <w:pPr>
              <w:pStyle w:val="TableContents"/>
              <w:jc w:val="center"/>
              <w:rPr>
                <w:b/>
              </w:rPr>
            </w:pPr>
            <w:r>
              <w:rPr>
                <w:b/>
              </w:rPr>
              <w:t>Balance as</w:t>
            </w:r>
            <w:r>
              <w:rPr>
                <w:b/>
              </w:rPr>
              <w:br/>
              <w:t>of 8/31/20</w:t>
            </w:r>
          </w:p>
        </w:tc>
        <w:tc>
          <w:tcPr>
            <w:tcW w:w="60" w:type="dxa"/>
            <w:vAlign w:val="center"/>
          </w:tcPr>
          <w:p w14:paraId="286EA695" w14:textId="77777777" w:rsidR="00E22AC0" w:rsidRDefault="00FC56F3">
            <w:pPr>
              <w:pStyle w:val="TableContents"/>
            </w:pPr>
            <w:r>
              <w:t> </w:t>
            </w:r>
          </w:p>
        </w:tc>
        <w:tc>
          <w:tcPr>
            <w:tcW w:w="60" w:type="dxa"/>
            <w:vAlign w:val="center"/>
          </w:tcPr>
          <w:p w14:paraId="37F96471" w14:textId="77777777" w:rsidR="00E22AC0" w:rsidRDefault="00FC56F3">
            <w:pPr>
              <w:pStyle w:val="TableContents"/>
            </w:pPr>
            <w:r>
              <w:t> </w:t>
            </w:r>
          </w:p>
        </w:tc>
        <w:tc>
          <w:tcPr>
            <w:tcW w:w="1220" w:type="dxa"/>
            <w:gridSpan w:val="2"/>
            <w:tcBorders>
              <w:bottom w:val="single" w:sz="12" w:space="0" w:color="000000"/>
            </w:tcBorders>
            <w:tcMar>
              <w:bottom w:w="28" w:type="dxa"/>
            </w:tcMar>
            <w:vAlign w:val="center"/>
          </w:tcPr>
          <w:p w14:paraId="758F135F" w14:textId="77777777" w:rsidR="00E22AC0" w:rsidRDefault="00FC56F3">
            <w:pPr>
              <w:pStyle w:val="TableContents"/>
              <w:jc w:val="center"/>
              <w:rPr>
                <w:b/>
              </w:rPr>
            </w:pPr>
            <w:r>
              <w:rPr>
                <w:b/>
              </w:rPr>
              <w:t>Cash</w:t>
            </w:r>
            <w:r>
              <w:rPr>
                <w:b/>
              </w:rPr>
              <w:br/>
              <w:t>Adjustment</w:t>
            </w:r>
          </w:p>
        </w:tc>
        <w:tc>
          <w:tcPr>
            <w:tcW w:w="365" w:type="dxa"/>
            <w:vAlign w:val="center"/>
          </w:tcPr>
          <w:p w14:paraId="0CE718EE" w14:textId="77777777" w:rsidR="00E22AC0" w:rsidRDefault="00FC56F3">
            <w:pPr>
              <w:pStyle w:val="TableContents"/>
            </w:pPr>
            <w:r>
              <w:t> </w:t>
            </w:r>
          </w:p>
        </w:tc>
        <w:tc>
          <w:tcPr>
            <w:tcW w:w="60" w:type="dxa"/>
            <w:vAlign w:val="center"/>
          </w:tcPr>
          <w:p w14:paraId="18B407DA" w14:textId="77777777" w:rsidR="00E22AC0" w:rsidRDefault="00FC56F3">
            <w:pPr>
              <w:pStyle w:val="TableContents"/>
            </w:pPr>
            <w:r>
              <w:t> </w:t>
            </w:r>
          </w:p>
        </w:tc>
        <w:tc>
          <w:tcPr>
            <w:tcW w:w="1099" w:type="dxa"/>
            <w:gridSpan w:val="2"/>
            <w:tcBorders>
              <w:bottom w:val="single" w:sz="12" w:space="0" w:color="000000"/>
            </w:tcBorders>
            <w:tcMar>
              <w:bottom w:w="28" w:type="dxa"/>
            </w:tcMar>
            <w:vAlign w:val="center"/>
          </w:tcPr>
          <w:p w14:paraId="4D9E022C" w14:textId="77777777" w:rsidR="00E22AC0" w:rsidRDefault="00FC56F3">
            <w:pPr>
              <w:pStyle w:val="TableContents"/>
              <w:jc w:val="center"/>
              <w:rPr>
                <w:b/>
              </w:rPr>
            </w:pPr>
            <w:r>
              <w:rPr>
                <w:b/>
              </w:rPr>
              <w:t>Adjusted</w:t>
            </w:r>
            <w:r>
              <w:rPr>
                <w:b/>
              </w:rPr>
              <w:br/>
              <w:t>Balance as</w:t>
            </w:r>
            <w:r>
              <w:rPr>
                <w:b/>
              </w:rPr>
              <w:br/>
              <w:t xml:space="preserve">of </w:t>
            </w:r>
            <w:r>
              <w:rPr>
                <w:b/>
              </w:rPr>
              <w:t>8/31/20</w:t>
            </w:r>
          </w:p>
        </w:tc>
        <w:tc>
          <w:tcPr>
            <w:tcW w:w="75" w:type="dxa"/>
            <w:vAlign w:val="center"/>
          </w:tcPr>
          <w:p w14:paraId="41C632DE" w14:textId="77777777" w:rsidR="00E22AC0" w:rsidRDefault="00FC56F3">
            <w:pPr>
              <w:pStyle w:val="TableContents"/>
            </w:pPr>
            <w:r>
              <w:t> </w:t>
            </w:r>
          </w:p>
        </w:tc>
      </w:tr>
      <w:tr w:rsidR="00E22AC0" w14:paraId="50619940" w14:textId="77777777">
        <w:tc>
          <w:tcPr>
            <w:tcW w:w="3440" w:type="dxa"/>
            <w:shd w:val="clear" w:color="auto" w:fill="CCEEFF"/>
            <w:vAlign w:val="center"/>
          </w:tcPr>
          <w:p w14:paraId="180F9E44" w14:textId="77777777" w:rsidR="00E22AC0" w:rsidRDefault="00FC56F3">
            <w:pPr>
              <w:pStyle w:val="TableContents"/>
            </w:pPr>
            <w:r>
              <w:t>Cash</w:t>
            </w:r>
          </w:p>
        </w:tc>
        <w:tc>
          <w:tcPr>
            <w:tcW w:w="60" w:type="dxa"/>
            <w:shd w:val="clear" w:color="auto" w:fill="CCEEFF"/>
            <w:vAlign w:val="center"/>
          </w:tcPr>
          <w:p w14:paraId="2A3761DC" w14:textId="77777777" w:rsidR="00E22AC0" w:rsidRDefault="00FC56F3">
            <w:pPr>
              <w:pStyle w:val="TableContents"/>
            </w:pPr>
            <w:r>
              <w:t> </w:t>
            </w:r>
          </w:p>
        </w:tc>
        <w:tc>
          <w:tcPr>
            <w:tcW w:w="63" w:type="dxa"/>
            <w:shd w:val="clear" w:color="auto" w:fill="CCEEFF"/>
            <w:vAlign w:val="center"/>
          </w:tcPr>
          <w:p w14:paraId="29B1EF84" w14:textId="77777777" w:rsidR="00E22AC0" w:rsidRDefault="00FC56F3">
            <w:pPr>
              <w:pStyle w:val="TableContents"/>
            </w:pPr>
            <w:r>
              <w:t> </w:t>
            </w:r>
          </w:p>
        </w:tc>
        <w:tc>
          <w:tcPr>
            <w:tcW w:w="1036" w:type="dxa"/>
            <w:shd w:val="clear" w:color="auto" w:fill="CCEEFF"/>
            <w:vAlign w:val="center"/>
          </w:tcPr>
          <w:p w14:paraId="2A3E7671" w14:textId="77777777" w:rsidR="00E22AC0" w:rsidRDefault="00FC56F3">
            <w:pPr>
              <w:pStyle w:val="TableContents"/>
              <w:jc w:val="right"/>
            </w:pPr>
            <w:r>
              <w:t>542,758</w:t>
            </w:r>
          </w:p>
        </w:tc>
        <w:tc>
          <w:tcPr>
            <w:tcW w:w="60" w:type="dxa"/>
            <w:shd w:val="clear" w:color="auto" w:fill="CCEEFF"/>
            <w:vAlign w:val="center"/>
          </w:tcPr>
          <w:p w14:paraId="39529E93" w14:textId="77777777" w:rsidR="00E22AC0" w:rsidRDefault="00FC56F3">
            <w:pPr>
              <w:pStyle w:val="TableContents"/>
            </w:pPr>
            <w:r>
              <w:t> </w:t>
            </w:r>
          </w:p>
        </w:tc>
        <w:tc>
          <w:tcPr>
            <w:tcW w:w="60" w:type="dxa"/>
            <w:shd w:val="clear" w:color="auto" w:fill="CCEEFF"/>
            <w:vAlign w:val="center"/>
          </w:tcPr>
          <w:p w14:paraId="319A38DB" w14:textId="77777777" w:rsidR="00E22AC0" w:rsidRDefault="00FC56F3">
            <w:pPr>
              <w:pStyle w:val="TableContents"/>
            </w:pPr>
            <w:r>
              <w:t> </w:t>
            </w:r>
          </w:p>
        </w:tc>
        <w:tc>
          <w:tcPr>
            <w:tcW w:w="78" w:type="dxa"/>
            <w:shd w:val="clear" w:color="auto" w:fill="CCEEFF"/>
            <w:vAlign w:val="center"/>
          </w:tcPr>
          <w:p w14:paraId="04840008" w14:textId="77777777" w:rsidR="00E22AC0" w:rsidRDefault="00FC56F3">
            <w:pPr>
              <w:pStyle w:val="TableContents"/>
            </w:pPr>
            <w:r>
              <w:t> </w:t>
            </w:r>
          </w:p>
        </w:tc>
        <w:tc>
          <w:tcPr>
            <w:tcW w:w="1142" w:type="dxa"/>
            <w:shd w:val="clear" w:color="auto" w:fill="CCEEFF"/>
            <w:vAlign w:val="center"/>
          </w:tcPr>
          <w:p w14:paraId="5701D78C" w14:textId="77777777" w:rsidR="00E22AC0" w:rsidRDefault="00FC56F3">
            <w:pPr>
              <w:pStyle w:val="TableContents"/>
              <w:jc w:val="right"/>
            </w:pPr>
            <w:r>
              <w:t>(451,758</w:t>
            </w:r>
          </w:p>
        </w:tc>
        <w:tc>
          <w:tcPr>
            <w:tcW w:w="365" w:type="dxa"/>
            <w:shd w:val="clear" w:color="auto" w:fill="CCEEFF"/>
            <w:vAlign w:val="center"/>
          </w:tcPr>
          <w:p w14:paraId="7CB6E8E0" w14:textId="77777777" w:rsidR="00E22AC0" w:rsidRDefault="00FC56F3">
            <w:pPr>
              <w:pStyle w:val="TableContents"/>
            </w:pPr>
            <w:proofErr w:type="gramStart"/>
            <w:r>
              <w:t>)(</w:t>
            </w:r>
            <w:proofErr w:type="gramEnd"/>
            <w:r>
              <w:t>1)</w:t>
            </w:r>
          </w:p>
        </w:tc>
        <w:tc>
          <w:tcPr>
            <w:tcW w:w="60" w:type="dxa"/>
            <w:shd w:val="clear" w:color="auto" w:fill="CCEEFF"/>
            <w:vAlign w:val="center"/>
          </w:tcPr>
          <w:p w14:paraId="1010E379" w14:textId="77777777" w:rsidR="00E22AC0" w:rsidRDefault="00FC56F3">
            <w:pPr>
              <w:pStyle w:val="TableContents"/>
            </w:pPr>
            <w:r>
              <w:t> </w:t>
            </w:r>
          </w:p>
        </w:tc>
        <w:tc>
          <w:tcPr>
            <w:tcW w:w="76" w:type="dxa"/>
            <w:shd w:val="clear" w:color="auto" w:fill="CCEEFF"/>
            <w:vAlign w:val="center"/>
          </w:tcPr>
          <w:p w14:paraId="72F34370" w14:textId="77777777" w:rsidR="00E22AC0" w:rsidRDefault="00FC56F3">
            <w:pPr>
              <w:pStyle w:val="TableContents"/>
            </w:pPr>
            <w:r>
              <w:t> </w:t>
            </w:r>
          </w:p>
        </w:tc>
        <w:tc>
          <w:tcPr>
            <w:tcW w:w="1023" w:type="dxa"/>
            <w:shd w:val="clear" w:color="auto" w:fill="CCEEFF"/>
            <w:vAlign w:val="center"/>
          </w:tcPr>
          <w:p w14:paraId="796F1F83" w14:textId="77777777" w:rsidR="00E22AC0" w:rsidRDefault="00FC56F3">
            <w:pPr>
              <w:pStyle w:val="TableContents"/>
              <w:jc w:val="right"/>
            </w:pPr>
            <w:r>
              <w:t>91,000</w:t>
            </w:r>
          </w:p>
        </w:tc>
        <w:tc>
          <w:tcPr>
            <w:tcW w:w="75" w:type="dxa"/>
            <w:shd w:val="clear" w:color="auto" w:fill="CCEEFF"/>
            <w:vAlign w:val="center"/>
          </w:tcPr>
          <w:p w14:paraId="3718E04C" w14:textId="77777777" w:rsidR="00E22AC0" w:rsidRDefault="00FC56F3">
            <w:pPr>
              <w:pStyle w:val="TableContents"/>
            </w:pPr>
            <w:r>
              <w:t> </w:t>
            </w:r>
          </w:p>
        </w:tc>
      </w:tr>
      <w:tr w:rsidR="00E22AC0" w14:paraId="120DC287" w14:textId="77777777">
        <w:tc>
          <w:tcPr>
            <w:tcW w:w="3440" w:type="dxa"/>
            <w:shd w:val="clear" w:color="auto" w:fill="FFFFFF"/>
            <w:vAlign w:val="center"/>
          </w:tcPr>
          <w:p w14:paraId="4B411DB1" w14:textId="77777777" w:rsidR="00E22AC0" w:rsidRDefault="00FC56F3">
            <w:pPr>
              <w:pStyle w:val="TableContents"/>
            </w:pPr>
            <w:r>
              <w:t>Accounts Receivable</w:t>
            </w:r>
          </w:p>
        </w:tc>
        <w:tc>
          <w:tcPr>
            <w:tcW w:w="60" w:type="dxa"/>
            <w:shd w:val="clear" w:color="auto" w:fill="FFFFFF"/>
            <w:vAlign w:val="center"/>
          </w:tcPr>
          <w:p w14:paraId="1C1CE94B" w14:textId="77777777" w:rsidR="00E22AC0" w:rsidRDefault="00FC56F3">
            <w:pPr>
              <w:pStyle w:val="TableContents"/>
            </w:pPr>
            <w:r>
              <w:t> </w:t>
            </w:r>
          </w:p>
        </w:tc>
        <w:tc>
          <w:tcPr>
            <w:tcW w:w="63" w:type="dxa"/>
            <w:shd w:val="clear" w:color="auto" w:fill="FFFFFF"/>
            <w:vAlign w:val="center"/>
          </w:tcPr>
          <w:p w14:paraId="1C2E9B7E" w14:textId="77777777" w:rsidR="00E22AC0" w:rsidRDefault="00FC56F3">
            <w:pPr>
              <w:pStyle w:val="TableContents"/>
            </w:pPr>
            <w:r>
              <w:t> </w:t>
            </w:r>
          </w:p>
        </w:tc>
        <w:tc>
          <w:tcPr>
            <w:tcW w:w="1036" w:type="dxa"/>
            <w:shd w:val="clear" w:color="auto" w:fill="FFFFFF"/>
            <w:vAlign w:val="center"/>
          </w:tcPr>
          <w:p w14:paraId="431001EC" w14:textId="77777777" w:rsidR="00E22AC0" w:rsidRDefault="00FC56F3">
            <w:pPr>
              <w:pStyle w:val="TableContents"/>
              <w:jc w:val="right"/>
            </w:pPr>
            <w:r>
              <w:t>380,892</w:t>
            </w:r>
          </w:p>
        </w:tc>
        <w:tc>
          <w:tcPr>
            <w:tcW w:w="60" w:type="dxa"/>
            <w:shd w:val="clear" w:color="auto" w:fill="FFFFFF"/>
            <w:vAlign w:val="center"/>
          </w:tcPr>
          <w:p w14:paraId="582689B5" w14:textId="77777777" w:rsidR="00E22AC0" w:rsidRDefault="00FC56F3">
            <w:pPr>
              <w:pStyle w:val="TableContents"/>
            </w:pPr>
            <w:r>
              <w:t> </w:t>
            </w:r>
          </w:p>
        </w:tc>
        <w:tc>
          <w:tcPr>
            <w:tcW w:w="60" w:type="dxa"/>
            <w:shd w:val="clear" w:color="auto" w:fill="FFFFFF"/>
            <w:vAlign w:val="center"/>
          </w:tcPr>
          <w:p w14:paraId="597DCFD3" w14:textId="77777777" w:rsidR="00E22AC0" w:rsidRDefault="00FC56F3">
            <w:pPr>
              <w:pStyle w:val="TableContents"/>
            </w:pPr>
            <w:r>
              <w:t> </w:t>
            </w:r>
          </w:p>
        </w:tc>
        <w:tc>
          <w:tcPr>
            <w:tcW w:w="78" w:type="dxa"/>
            <w:shd w:val="clear" w:color="auto" w:fill="FFFFFF"/>
            <w:vAlign w:val="center"/>
          </w:tcPr>
          <w:p w14:paraId="4A9AC125" w14:textId="77777777" w:rsidR="00E22AC0" w:rsidRDefault="00FC56F3">
            <w:pPr>
              <w:pStyle w:val="TableContents"/>
            </w:pPr>
            <w:r>
              <w:t> </w:t>
            </w:r>
          </w:p>
        </w:tc>
        <w:tc>
          <w:tcPr>
            <w:tcW w:w="1142" w:type="dxa"/>
            <w:shd w:val="clear" w:color="auto" w:fill="FFFFFF"/>
            <w:vAlign w:val="center"/>
          </w:tcPr>
          <w:p w14:paraId="2DF08D12" w14:textId="77777777" w:rsidR="00E22AC0" w:rsidRDefault="00FC56F3">
            <w:pPr>
              <w:pStyle w:val="TableContents"/>
              <w:jc w:val="right"/>
            </w:pPr>
            <w:r>
              <w:t> </w:t>
            </w:r>
          </w:p>
        </w:tc>
        <w:tc>
          <w:tcPr>
            <w:tcW w:w="365" w:type="dxa"/>
            <w:shd w:val="clear" w:color="auto" w:fill="FFFFFF"/>
            <w:vAlign w:val="center"/>
          </w:tcPr>
          <w:p w14:paraId="0060C336" w14:textId="77777777" w:rsidR="00E22AC0" w:rsidRDefault="00FC56F3">
            <w:pPr>
              <w:pStyle w:val="TableContents"/>
            </w:pPr>
            <w:r>
              <w:t> </w:t>
            </w:r>
          </w:p>
        </w:tc>
        <w:tc>
          <w:tcPr>
            <w:tcW w:w="60" w:type="dxa"/>
            <w:shd w:val="clear" w:color="auto" w:fill="FFFFFF"/>
            <w:vAlign w:val="center"/>
          </w:tcPr>
          <w:p w14:paraId="1B2D8FAA" w14:textId="77777777" w:rsidR="00E22AC0" w:rsidRDefault="00FC56F3">
            <w:pPr>
              <w:pStyle w:val="TableContents"/>
            </w:pPr>
            <w:r>
              <w:t> </w:t>
            </w:r>
          </w:p>
        </w:tc>
        <w:tc>
          <w:tcPr>
            <w:tcW w:w="76" w:type="dxa"/>
            <w:shd w:val="clear" w:color="auto" w:fill="FFFFFF"/>
            <w:vAlign w:val="center"/>
          </w:tcPr>
          <w:p w14:paraId="3DED2435" w14:textId="77777777" w:rsidR="00E22AC0" w:rsidRDefault="00FC56F3">
            <w:pPr>
              <w:pStyle w:val="TableContents"/>
            </w:pPr>
            <w:r>
              <w:t> </w:t>
            </w:r>
          </w:p>
        </w:tc>
        <w:tc>
          <w:tcPr>
            <w:tcW w:w="1023" w:type="dxa"/>
            <w:shd w:val="clear" w:color="auto" w:fill="FFFFFF"/>
            <w:vAlign w:val="center"/>
          </w:tcPr>
          <w:p w14:paraId="4D92D700" w14:textId="77777777" w:rsidR="00E22AC0" w:rsidRDefault="00FC56F3">
            <w:pPr>
              <w:pStyle w:val="TableContents"/>
              <w:jc w:val="right"/>
            </w:pPr>
            <w:r>
              <w:t>380,892</w:t>
            </w:r>
          </w:p>
        </w:tc>
        <w:tc>
          <w:tcPr>
            <w:tcW w:w="75" w:type="dxa"/>
            <w:shd w:val="clear" w:color="auto" w:fill="FFFFFF"/>
            <w:vAlign w:val="center"/>
          </w:tcPr>
          <w:p w14:paraId="154EFB5C" w14:textId="77777777" w:rsidR="00E22AC0" w:rsidRDefault="00FC56F3">
            <w:pPr>
              <w:pStyle w:val="TableContents"/>
            </w:pPr>
            <w:r>
              <w:t> </w:t>
            </w:r>
          </w:p>
        </w:tc>
      </w:tr>
      <w:tr w:rsidR="00E22AC0" w14:paraId="2DD2D3E6" w14:textId="77777777">
        <w:tc>
          <w:tcPr>
            <w:tcW w:w="3440" w:type="dxa"/>
            <w:shd w:val="clear" w:color="auto" w:fill="CCEEFF"/>
            <w:vAlign w:val="center"/>
          </w:tcPr>
          <w:p w14:paraId="34EC812C" w14:textId="77777777" w:rsidR="00E22AC0" w:rsidRDefault="00FC56F3">
            <w:pPr>
              <w:pStyle w:val="TableContents"/>
            </w:pPr>
            <w:r>
              <w:t>Prepaid Expenses</w:t>
            </w:r>
          </w:p>
        </w:tc>
        <w:tc>
          <w:tcPr>
            <w:tcW w:w="60" w:type="dxa"/>
            <w:shd w:val="clear" w:color="auto" w:fill="CCEEFF"/>
            <w:vAlign w:val="center"/>
          </w:tcPr>
          <w:p w14:paraId="70243D70" w14:textId="77777777" w:rsidR="00E22AC0" w:rsidRDefault="00FC56F3">
            <w:pPr>
              <w:pStyle w:val="TableContents"/>
            </w:pPr>
            <w:r>
              <w:t> </w:t>
            </w:r>
          </w:p>
        </w:tc>
        <w:tc>
          <w:tcPr>
            <w:tcW w:w="63" w:type="dxa"/>
            <w:shd w:val="clear" w:color="auto" w:fill="CCEEFF"/>
            <w:vAlign w:val="center"/>
          </w:tcPr>
          <w:p w14:paraId="3955E454" w14:textId="77777777" w:rsidR="00E22AC0" w:rsidRDefault="00FC56F3">
            <w:pPr>
              <w:pStyle w:val="TableContents"/>
            </w:pPr>
            <w:r>
              <w:t> </w:t>
            </w:r>
          </w:p>
        </w:tc>
        <w:tc>
          <w:tcPr>
            <w:tcW w:w="1036" w:type="dxa"/>
            <w:shd w:val="clear" w:color="auto" w:fill="CCEEFF"/>
            <w:vAlign w:val="center"/>
          </w:tcPr>
          <w:p w14:paraId="2F25410F" w14:textId="77777777" w:rsidR="00E22AC0" w:rsidRDefault="00FC56F3">
            <w:pPr>
              <w:pStyle w:val="TableContents"/>
              <w:jc w:val="right"/>
            </w:pPr>
            <w:r>
              <w:t>7,464</w:t>
            </w:r>
          </w:p>
        </w:tc>
        <w:tc>
          <w:tcPr>
            <w:tcW w:w="60" w:type="dxa"/>
            <w:shd w:val="clear" w:color="auto" w:fill="CCEEFF"/>
            <w:vAlign w:val="center"/>
          </w:tcPr>
          <w:p w14:paraId="433DAE6C" w14:textId="77777777" w:rsidR="00E22AC0" w:rsidRDefault="00FC56F3">
            <w:pPr>
              <w:pStyle w:val="TableContents"/>
            </w:pPr>
            <w:r>
              <w:t> </w:t>
            </w:r>
          </w:p>
        </w:tc>
        <w:tc>
          <w:tcPr>
            <w:tcW w:w="60" w:type="dxa"/>
            <w:shd w:val="clear" w:color="auto" w:fill="CCEEFF"/>
            <w:vAlign w:val="center"/>
          </w:tcPr>
          <w:p w14:paraId="30593423" w14:textId="77777777" w:rsidR="00E22AC0" w:rsidRDefault="00FC56F3">
            <w:pPr>
              <w:pStyle w:val="TableContents"/>
            </w:pPr>
            <w:r>
              <w:t> </w:t>
            </w:r>
          </w:p>
        </w:tc>
        <w:tc>
          <w:tcPr>
            <w:tcW w:w="78" w:type="dxa"/>
            <w:shd w:val="clear" w:color="auto" w:fill="CCEEFF"/>
            <w:vAlign w:val="center"/>
          </w:tcPr>
          <w:p w14:paraId="6931E074" w14:textId="77777777" w:rsidR="00E22AC0" w:rsidRDefault="00FC56F3">
            <w:pPr>
              <w:pStyle w:val="TableContents"/>
            </w:pPr>
            <w:r>
              <w:t> </w:t>
            </w:r>
          </w:p>
        </w:tc>
        <w:tc>
          <w:tcPr>
            <w:tcW w:w="1142" w:type="dxa"/>
            <w:shd w:val="clear" w:color="auto" w:fill="CCEEFF"/>
            <w:vAlign w:val="center"/>
          </w:tcPr>
          <w:p w14:paraId="397CB5C1" w14:textId="77777777" w:rsidR="00E22AC0" w:rsidRDefault="00FC56F3">
            <w:pPr>
              <w:pStyle w:val="TableContents"/>
              <w:jc w:val="right"/>
            </w:pPr>
            <w:r>
              <w:t> </w:t>
            </w:r>
          </w:p>
        </w:tc>
        <w:tc>
          <w:tcPr>
            <w:tcW w:w="365" w:type="dxa"/>
            <w:shd w:val="clear" w:color="auto" w:fill="CCEEFF"/>
            <w:vAlign w:val="center"/>
          </w:tcPr>
          <w:p w14:paraId="0055915F" w14:textId="77777777" w:rsidR="00E22AC0" w:rsidRDefault="00FC56F3">
            <w:pPr>
              <w:pStyle w:val="TableContents"/>
            </w:pPr>
            <w:r>
              <w:t> </w:t>
            </w:r>
          </w:p>
        </w:tc>
        <w:tc>
          <w:tcPr>
            <w:tcW w:w="60" w:type="dxa"/>
            <w:shd w:val="clear" w:color="auto" w:fill="CCEEFF"/>
            <w:vAlign w:val="center"/>
          </w:tcPr>
          <w:p w14:paraId="6DB69E55" w14:textId="77777777" w:rsidR="00E22AC0" w:rsidRDefault="00FC56F3">
            <w:pPr>
              <w:pStyle w:val="TableContents"/>
            </w:pPr>
            <w:r>
              <w:t> </w:t>
            </w:r>
          </w:p>
        </w:tc>
        <w:tc>
          <w:tcPr>
            <w:tcW w:w="76" w:type="dxa"/>
            <w:shd w:val="clear" w:color="auto" w:fill="CCEEFF"/>
            <w:vAlign w:val="center"/>
          </w:tcPr>
          <w:p w14:paraId="11E52542" w14:textId="77777777" w:rsidR="00E22AC0" w:rsidRDefault="00FC56F3">
            <w:pPr>
              <w:pStyle w:val="TableContents"/>
            </w:pPr>
            <w:r>
              <w:t> </w:t>
            </w:r>
          </w:p>
        </w:tc>
        <w:tc>
          <w:tcPr>
            <w:tcW w:w="1023" w:type="dxa"/>
            <w:shd w:val="clear" w:color="auto" w:fill="CCEEFF"/>
            <w:vAlign w:val="center"/>
          </w:tcPr>
          <w:p w14:paraId="1ED318F0" w14:textId="77777777" w:rsidR="00E22AC0" w:rsidRDefault="00FC56F3">
            <w:pPr>
              <w:pStyle w:val="TableContents"/>
              <w:jc w:val="right"/>
            </w:pPr>
            <w:r>
              <w:t>7,464</w:t>
            </w:r>
          </w:p>
        </w:tc>
        <w:tc>
          <w:tcPr>
            <w:tcW w:w="75" w:type="dxa"/>
            <w:shd w:val="clear" w:color="auto" w:fill="CCEEFF"/>
            <w:vAlign w:val="center"/>
          </w:tcPr>
          <w:p w14:paraId="23707F5D" w14:textId="77777777" w:rsidR="00E22AC0" w:rsidRDefault="00FC56F3">
            <w:pPr>
              <w:pStyle w:val="TableContents"/>
            </w:pPr>
            <w:r>
              <w:t> </w:t>
            </w:r>
          </w:p>
        </w:tc>
      </w:tr>
      <w:tr w:rsidR="00E22AC0" w14:paraId="793E43D9" w14:textId="77777777">
        <w:tc>
          <w:tcPr>
            <w:tcW w:w="3440" w:type="dxa"/>
            <w:shd w:val="clear" w:color="auto" w:fill="FFFFFF"/>
            <w:vAlign w:val="center"/>
          </w:tcPr>
          <w:p w14:paraId="0C17F27A" w14:textId="77777777" w:rsidR="00E22AC0" w:rsidRDefault="00FC56F3">
            <w:pPr>
              <w:pStyle w:val="TableContents"/>
            </w:pPr>
            <w:r>
              <w:t>inventory</w:t>
            </w:r>
          </w:p>
        </w:tc>
        <w:tc>
          <w:tcPr>
            <w:tcW w:w="60" w:type="dxa"/>
            <w:shd w:val="clear" w:color="auto" w:fill="FFFFFF"/>
            <w:vAlign w:val="center"/>
          </w:tcPr>
          <w:p w14:paraId="0DBDF695" w14:textId="77777777" w:rsidR="00E22AC0" w:rsidRDefault="00FC56F3">
            <w:pPr>
              <w:pStyle w:val="TableContents"/>
            </w:pPr>
            <w:r>
              <w:t> </w:t>
            </w:r>
          </w:p>
        </w:tc>
        <w:tc>
          <w:tcPr>
            <w:tcW w:w="63" w:type="dxa"/>
            <w:shd w:val="clear" w:color="auto" w:fill="FFFFFF"/>
            <w:vAlign w:val="center"/>
          </w:tcPr>
          <w:p w14:paraId="4BA977D0" w14:textId="77777777" w:rsidR="00E22AC0" w:rsidRDefault="00FC56F3">
            <w:pPr>
              <w:pStyle w:val="TableContents"/>
            </w:pPr>
            <w:r>
              <w:t> </w:t>
            </w:r>
          </w:p>
        </w:tc>
        <w:tc>
          <w:tcPr>
            <w:tcW w:w="1036" w:type="dxa"/>
            <w:shd w:val="clear" w:color="auto" w:fill="FFFFFF"/>
            <w:vAlign w:val="center"/>
          </w:tcPr>
          <w:p w14:paraId="3F663D8E" w14:textId="77777777" w:rsidR="00E22AC0" w:rsidRDefault="00FC56F3">
            <w:pPr>
              <w:pStyle w:val="TableContents"/>
              <w:jc w:val="right"/>
            </w:pPr>
            <w:r>
              <w:t>4,763</w:t>
            </w:r>
          </w:p>
        </w:tc>
        <w:tc>
          <w:tcPr>
            <w:tcW w:w="60" w:type="dxa"/>
            <w:shd w:val="clear" w:color="auto" w:fill="FFFFFF"/>
            <w:vAlign w:val="center"/>
          </w:tcPr>
          <w:p w14:paraId="50544601" w14:textId="77777777" w:rsidR="00E22AC0" w:rsidRDefault="00FC56F3">
            <w:pPr>
              <w:pStyle w:val="TableContents"/>
            </w:pPr>
            <w:r>
              <w:t> </w:t>
            </w:r>
          </w:p>
        </w:tc>
        <w:tc>
          <w:tcPr>
            <w:tcW w:w="60" w:type="dxa"/>
            <w:shd w:val="clear" w:color="auto" w:fill="FFFFFF"/>
            <w:vAlign w:val="center"/>
          </w:tcPr>
          <w:p w14:paraId="4C0E70E6" w14:textId="77777777" w:rsidR="00E22AC0" w:rsidRDefault="00FC56F3">
            <w:pPr>
              <w:pStyle w:val="TableContents"/>
            </w:pPr>
            <w:r>
              <w:t> </w:t>
            </w:r>
          </w:p>
        </w:tc>
        <w:tc>
          <w:tcPr>
            <w:tcW w:w="78" w:type="dxa"/>
            <w:shd w:val="clear" w:color="auto" w:fill="FFFFFF"/>
            <w:vAlign w:val="center"/>
          </w:tcPr>
          <w:p w14:paraId="610E0DE8" w14:textId="77777777" w:rsidR="00E22AC0" w:rsidRDefault="00FC56F3">
            <w:pPr>
              <w:pStyle w:val="TableContents"/>
            </w:pPr>
            <w:r>
              <w:t> </w:t>
            </w:r>
          </w:p>
        </w:tc>
        <w:tc>
          <w:tcPr>
            <w:tcW w:w="1142" w:type="dxa"/>
            <w:shd w:val="clear" w:color="auto" w:fill="FFFFFF"/>
            <w:vAlign w:val="center"/>
          </w:tcPr>
          <w:p w14:paraId="73385BC3" w14:textId="77777777" w:rsidR="00E22AC0" w:rsidRDefault="00FC56F3">
            <w:pPr>
              <w:pStyle w:val="TableContents"/>
              <w:jc w:val="right"/>
            </w:pPr>
            <w:r>
              <w:t> </w:t>
            </w:r>
          </w:p>
        </w:tc>
        <w:tc>
          <w:tcPr>
            <w:tcW w:w="365" w:type="dxa"/>
            <w:shd w:val="clear" w:color="auto" w:fill="FFFFFF"/>
            <w:vAlign w:val="center"/>
          </w:tcPr>
          <w:p w14:paraId="542549EA" w14:textId="77777777" w:rsidR="00E22AC0" w:rsidRDefault="00FC56F3">
            <w:pPr>
              <w:pStyle w:val="TableContents"/>
            </w:pPr>
            <w:r>
              <w:t> </w:t>
            </w:r>
          </w:p>
        </w:tc>
        <w:tc>
          <w:tcPr>
            <w:tcW w:w="60" w:type="dxa"/>
            <w:shd w:val="clear" w:color="auto" w:fill="FFFFFF"/>
            <w:vAlign w:val="center"/>
          </w:tcPr>
          <w:p w14:paraId="35917C70" w14:textId="77777777" w:rsidR="00E22AC0" w:rsidRDefault="00FC56F3">
            <w:pPr>
              <w:pStyle w:val="TableContents"/>
            </w:pPr>
            <w:r>
              <w:t> </w:t>
            </w:r>
          </w:p>
        </w:tc>
        <w:tc>
          <w:tcPr>
            <w:tcW w:w="76" w:type="dxa"/>
            <w:shd w:val="clear" w:color="auto" w:fill="FFFFFF"/>
            <w:vAlign w:val="center"/>
          </w:tcPr>
          <w:p w14:paraId="295F93C7" w14:textId="77777777" w:rsidR="00E22AC0" w:rsidRDefault="00FC56F3">
            <w:pPr>
              <w:pStyle w:val="TableContents"/>
            </w:pPr>
            <w:r>
              <w:t> </w:t>
            </w:r>
          </w:p>
        </w:tc>
        <w:tc>
          <w:tcPr>
            <w:tcW w:w="1023" w:type="dxa"/>
            <w:shd w:val="clear" w:color="auto" w:fill="FFFFFF"/>
            <w:vAlign w:val="center"/>
          </w:tcPr>
          <w:p w14:paraId="52B510E2" w14:textId="77777777" w:rsidR="00E22AC0" w:rsidRDefault="00FC56F3">
            <w:pPr>
              <w:pStyle w:val="TableContents"/>
              <w:jc w:val="right"/>
            </w:pPr>
            <w:r>
              <w:t>4,763</w:t>
            </w:r>
          </w:p>
        </w:tc>
        <w:tc>
          <w:tcPr>
            <w:tcW w:w="75" w:type="dxa"/>
            <w:shd w:val="clear" w:color="auto" w:fill="FFFFFF"/>
            <w:vAlign w:val="center"/>
          </w:tcPr>
          <w:p w14:paraId="075594E8" w14:textId="77777777" w:rsidR="00E22AC0" w:rsidRDefault="00FC56F3">
            <w:pPr>
              <w:pStyle w:val="TableContents"/>
            </w:pPr>
            <w:r>
              <w:t> </w:t>
            </w:r>
          </w:p>
        </w:tc>
      </w:tr>
      <w:tr w:rsidR="00E22AC0" w14:paraId="44C2BE9E" w14:textId="77777777">
        <w:tc>
          <w:tcPr>
            <w:tcW w:w="3440" w:type="dxa"/>
            <w:shd w:val="clear" w:color="auto" w:fill="CCEEFF"/>
            <w:vAlign w:val="center"/>
          </w:tcPr>
          <w:p w14:paraId="64BDC52E" w14:textId="77777777" w:rsidR="00E22AC0" w:rsidRDefault="00FC56F3">
            <w:pPr>
              <w:pStyle w:val="TableContents"/>
            </w:pPr>
            <w:r>
              <w:t xml:space="preserve">Contact: Costs </w:t>
            </w:r>
            <w:proofErr w:type="gramStart"/>
            <w:r>
              <w:t>In</w:t>
            </w:r>
            <w:proofErr w:type="gramEnd"/>
            <w:r>
              <w:t xml:space="preserve"> Excess of Billings</w:t>
            </w:r>
          </w:p>
        </w:tc>
        <w:tc>
          <w:tcPr>
            <w:tcW w:w="60" w:type="dxa"/>
            <w:shd w:val="clear" w:color="auto" w:fill="CCEEFF"/>
            <w:vAlign w:val="center"/>
          </w:tcPr>
          <w:p w14:paraId="5F425E89" w14:textId="77777777" w:rsidR="00E22AC0" w:rsidRDefault="00FC56F3">
            <w:pPr>
              <w:pStyle w:val="TableContents"/>
            </w:pPr>
            <w:r>
              <w:t> </w:t>
            </w:r>
          </w:p>
        </w:tc>
        <w:tc>
          <w:tcPr>
            <w:tcW w:w="63" w:type="dxa"/>
            <w:tcBorders>
              <w:bottom w:val="single" w:sz="12" w:space="0" w:color="000000"/>
            </w:tcBorders>
            <w:shd w:val="clear" w:color="auto" w:fill="CCEEFF"/>
            <w:tcMar>
              <w:bottom w:w="28" w:type="dxa"/>
            </w:tcMar>
            <w:vAlign w:val="center"/>
          </w:tcPr>
          <w:p w14:paraId="10318C08" w14:textId="77777777" w:rsidR="00E22AC0" w:rsidRDefault="00FC56F3">
            <w:pPr>
              <w:pStyle w:val="TableContents"/>
            </w:pPr>
            <w:r>
              <w:t> </w:t>
            </w:r>
          </w:p>
        </w:tc>
        <w:tc>
          <w:tcPr>
            <w:tcW w:w="1036" w:type="dxa"/>
            <w:tcBorders>
              <w:bottom w:val="single" w:sz="12" w:space="0" w:color="000000"/>
            </w:tcBorders>
            <w:shd w:val="clear" w:color="auto" w:fill="CCEEFF"/>
            <w:tcMar>
              <w:bottom w:w="28" w:type="dxa"/>
            </w:tcMar>
            <w:vAlign w:val="center"/>
          </w:tcPr>
          <w:p w14:paraId="57D5D5B6" w14:textId="77777777" w:rsidR="00E22AC0" w:rsidRDefault="00FC56F3">
            <w:pPr>
              <w:pStyle w:val="TableContents"/>
              <w:jc w:val="right"/>
            </w:pPr>
            <w:r>
              <w:t>117,705</w:t>
            </w:r>
          </w:p>
        </w:tc>
        <w:tc>
          <w:tcPr>
            <w:tcW w:w="60" w:type="dxa"/>
            <w:shd w:val="clear" w:color="auto" w:fill="CCEEFF"/>
            <w:vAlign w:val="center"/>
          </w:tcPr>
          <w:p w14:paraId="417499E8" w14:textId="77777777" w:rsidR="00E22AC0" w:rsidRDefault="00FC56F3">
            <w:pPr>
              <w:pStyle w:val="TableContents"/>
            </w:pPr>
            <w:r>
              <w:t> </w:t>
            </w:r>
          </w:p>
        </w:tc>
        <w:tc>
          <w:tcPr>
            <w:tcW w:w="60" w:type="dxa"/>
            <w:shd w:val="clear" w:color="auto" w:fill="CCEEFF"/>
            <w:vAlign w:val="center"/>
          </w:tcPr>
          <w:p w14:paraId="31413D9D" w14:textId="77777777" w:rsidR="00E22AC0" w:rsidRDefault="00FC56F3">
            <w:pPr>
              <w:pStyle w:val="TableContents"/>
            </w:pPr>
            <w:r>
              <w:t> </w:t>
            </w:r>
          </w:p>
        </w:tc>
        <w:tc>
          <w:tcPr>
            <w:tcW w:w="78" w:type="dxa"/>
            <w:shd w:val="clear" w:color="auto" w:fill="CCEEFF"/>
            <w:vAlign w:val="center"/>
          </w:tcPr>
          <w:p w14:paraId="2EE56BD4" w14:textId="77777777" w:rsidR="00E22AC0" w:rsidRDefault="00FC56F3">
            <w:pPr>
              <w:pStyle w:val="TableContents"/>
            </w:pPr>
            <w:r>
              <w:t> </w:t>
            </w:r>
          </w:p>
        </w:tc>
        <w:tc>
          <w:tcPr>
            <w:tcW w:w="1142" w:type="dxa"/>
            <w:shd w:val="clear" w:color="auto" w:fill="CCEEFF"/>
            <w:vAlign w:val="center"/>
          </w:tcPr>
          <w:p w14:paraId="32667BE8" w14:textId="77777777" w:rsidR="00E22AC0" w:rsidRDefault="00FC56F3">
            <w:pPr>
              <w:pStyle w:val="TableContents"/>
              <w:jc w:val="right"/>
            </w:pPr>
            <w:r>
              <w:t> </w:t>
            </w:r>
          </w:p>
        </w:tc>
        <w:tc>
          <w:tcPr>
            <w:tcW w:w="365" w:type="dxa"/>
            <w:shd w:val="clear" w:color="auto" w:fill="CCEEFF"/>
            <w:vAlign w:val="center"/>
          </w:tcPr>
          <w:p w14:paraId="20AC4F98" w14:textId="77777777" w:rsidR="00E22AC0" w:rsidRDefault="00FC56F3">
            <w:pPr>
              <w:pStyle w:val="TableContents"/>
            </w:pPr>
            <w:r>
              <w:t> </w:t>
            </w:r>
          </w:p>
        </w:tc>
        <w:tc>
          <w:tcPr>
            <w:tcW w:w="60" w:type="dxa"/>
            <w:shd w:val="clear" w:color="auto" w:fill="CCEEFF"/>
            <w:vAlign w:val="center"/>
          </w:tcPr>
          <w:p w14:paraId="0D764BAB" w14:textId="77777777" w:rsidR="00E22AC0" w:rsidRDefault="00FC56F3">
            <w:pPr>
              <w:pStyle w:val="TableContents"/>
            </w:pPr>
            <w:r>
              <w:t> </w:t>
            </w:r>
          </w:p>
        </w:tc>
        <w:tc>
          <w:tcPr>
            <w:tcW w:w="76" w:type="dxa"/>
            <w:tcBorders>
              <w:bottom w:val="single" w:sz="12" w:space="0" w:color="000000"/>
            </w:tcBorders>
            <w:shd w:val="clear" w:color="auto" w:fill="CCEEFF"/>
            <w:tcMar>
              <w:bottom w:w="28" w:type="dxa"/>
            </w:tcMar>
            <w:vAlign w:val="center"/>
          </w:tcPr>
          <w:p w14:paraId="0E41A39C" w14:textId="77777777" w:rsidR="00E22AC0" w:rsidRDefault="00FC56F3">
            <w:pPr>
              <w:pStyle w:val="TableContents"/>
            </w:pPr>
            <w:r>
              <w:t> </w:t>
            </w:r>
          </w:p>
        </w:tc>
        <w:tc>
          <w:tcPr>
            <w:tcW w:w="1023" w:type="dxa"/>
            <w:tcBorders>
              <w:bottom w:val="single" w:sz="12" w:space="0" w:color="000000"/>
            </w:tcBorders>
            <w:shd w:val="clear" w:color="auto" w:fill="CCEEFF"/>
            <w:tcMar>
              <w:bottom w:w="28" w:type="dxa"/>
            </w:tcMar>
            <w:vAlign w:val="center"/>
          </w:tcPr>
          <w:p w14:paraId="072E4BE7" w14:textId="77777777" w:rsidR="00E22AC0" w:rsidRDefault="00FC56F3">
            <w:pPr>
              <w:pStyle w:val="TableContents"/>
              <w:jc w:val="right"/>
            </w:pPr>
            <w:r>
              <w:t>117,705</w:t>
            </w:r>
          </w:p>
        </w:tc>
        <w:tc>
          <w:tcPr>
            <w:tcW w:w="75" w:type="dxa"/>
            <w:shd w:val="clear" w:color="auto" w:fill="CCEEFF"/>
            <w:vAlign w:val="center"/>
          </w:tcPr>
          <w:p w14:paraId="16228130" w14:textId="77777777" w:rsidR="00E22AC0" w:rsidRDefault="00FC56F3">
            <w:pPr>
              <w:pStyle w:val="TableContents"/>
            </w:pPr>
            <w:r>
              <w:t> </w:t>
            </w:r>
          </w:p>
        </w:tc>
      </w:tr>
      <w:tr w:rsidR="00E22AC0" w14:paraId="5E8B668E" w14:textId="77777777">
        <w:tc>
          <w:tcPr>
            <w:tcW w:w="3440" w:type="dxa"/>
            <w:shd w:val="clear" w:color="auto" w:fill="FFFFFF"/>
            <w:vAlign w:val="center"/>
          </w:tcPr>
          <w:p w14:paraId="7E17855E" w14:textId="77777777" w:rsidR="00E22AC0" w:rsidRDefault="00FC56F3">
            <w:pPr>
              <w:pStyle w:val="TableContents"/>
            </w:pPr>
            <w:r>
              <w:t> </w:t>
            </w:r>
          </w:p>
        </w:tc>
        <w:tc>
          <w:tcPr>
            <w:tcW w:w="60" w:type="dxa"/>
            <w:shd w:val="clear" w:color="auto" w:fill="FFFFFF"/>
            <w:vAlign w:val="center"/>
          </w:tcPr>
          <w:p w14:paraId="67645C69" w14:textId="77777777" w:rsidR="00E22AC0" w:rsidRDefault="00FC56F3">
            <w:pPr>
              <w:pStyle w:val="TableContents"/>
            </w:pPr>
            <w:r>
              <w:t> </w:t>
            </w:r>
          </w:p>
        </w:tc>
        <w:tc>
          <w:tcPr>
            <w:tcW w:w="63" w:type="dxa"/>
            <w:shd w:val="clear" w:color="auto" w:fill="FFFFFF"/>
            <w:vAlign w:val="center"/>
          </w:tcPr>
          <w:p w14:paraId="103A0C54" w14:textId="77777777" w:rsidR="00E22AC0" w:rsidRDefault="00FC56F3">
            <w:pPr>
              <w:pStyle w:val="TableContents"/>
            </w:pPr>
            <w:r>
              <w:t> </w:t>
            </w:r>
          </w:p>
        </w:tc>
        <w:tc>
          <w:tcPr>
            <w:tcW w:w="1036" w:type="dxa"/>
            <w:shd w:val="clear" w:color="auto" w:fill="FFFFFF"/>
            <w:vAlign w:val="center"/>
          </w:tcPr>
          <w:p w14:paraId="1DF7A060" w14:textId="77777777" w:rsidR="00E22AC0" w:rsidRDefault="00FC56F3">
            <w:pPr>
              <w:pStyle w:val="TableContents"/>
              <w:jc w:val="right"/>
            </w:pPr>
            <w:r>
              <w:t> </w:t>
            </w:r>
          </w:p>
        </w:tc>
        <w:tc>
          <w:tcPr>
            <w:tcW w:w="60" w:type="dxa"/>
            <w:shd w:val="clear" w:color="auto" w:fill="FFFFFF"/>
            <w:vAlign w:val="center"/>
          </w:tcPr>
          <w:p w14:paraId="3FD03CA5" w14:textId="77777777" w:rsidR="00E22AC0" w:rsidRDefault="00FC56F3">
            <w:pPr>
              <w:pStyle w:val="TableContents"/>
            </w:pPr>
            <w:r>
              <w:t> </w:t>
            </w:r>
          </w:p>
        </w:tc>
        <w:tc>
          <w:tcPr>
            <w:tcW w:w="60" w:type="dxa"/>
            <w:shd w:val="clear" w:color="auto" w:fill="FFFFFF"/>
            <w:vAlign w:val="center"/>
          </w:tcPr>
          <w:p w14:paraId="32B36181" w14:textId="77777777" w:rsidR="00E22AC0" w:rsidRDefault="00FC56F3">
            <w:pPr>
              <w:pStyle w:val="TableContents"/>
            </w:pPr>
            <w:r>
              <w:t> </w:t>
            </w:r>
          </w:p>
        </w:tc>
        <w:tc>
          <w:tcPr>
            <w:tcW w:w="78" w:type="dxa"/>
            <w:shd w:val="clear" w:color="auto" w:fill="FFFFFF"/>
            <w:vAlign w:val="center"/>
          </w:tcPr>
          <w:p w14:paraId="26B06A5B" w14:textId="77777777" w:rsidR="00E22AC0" w:rsidRDefault="00FC56F3">
            <w:pPr>
              <w:pStyle w:val="TableContents"/>
            </w:pPr>
            <w:r>
              <w:t> </w:t>
            </w:r>
          </w:p>
        </w:tc>
        <w:tc>
          <w:tcPr>
            <w:tcW w:w="1142" w:type="dxa"/>
            <w:shd w:val="clear" w:color="auto" w:fill="FFFFFF"/>
            <w:vAlign w:val="center"/>
          </w:tcPr>
          <w:p w14:paraId="58ECEC64" w14:textId="77777777" w:rsidR="00E22AC0" w:rsidRDefault="00FC56F3">
            <w:pPr>
              <w:pStyle w:val="TableContents"/>
              <w:jc w:val="right"/>
            </w:pPr>
            <w:r>
              <w:t> </w:t>
            </w:r>
          </w:p>
        </w:tc>
        <w:tc>
          <w:tcPr>
            <w:tcW w:w="365" w:type="dxa"/>
            <w:shd w:val="clear" w:color="auto" w:fill="FFFFFF"/>
            <w:vAlign w:val="center"/>
          </w:tcPr>
          <w:p w14:paraId="14358F2C" w14:textId="77777777" w:rsidR="00E22AC0" w:rsidRDefault="00FC56F3">
            <w:pPr>
              <w:pStyle w:val="TableContents"/>
            </w:pPr>
            <w:r>
              <w:t> </w:t>
            </w:r>
          </w:p>
        </w:tc>
        <w:tc>
          <w:tcPr>
            <w:tcW w:w="60" w:type="dxa"/>
            <w:shd w:val="clear" w:color="auto" w:fill="FFFFFF"/>
            <w:vAlign w:val="center"/>
          </w:tcPr>
          <w:p w14:paraId="65C25277" w14:textId="77777777" w:rsidR="00E22AC0" w:rsidRDefault="00FC56F3">
            <w:pPr>
              <w:pStyle w:val="TableContents"/>
            </w:pPr>
            <w:r>
              <w:t> </w:t>
            </w:r>
          </w:p>
        </w:tc>
        <w:tc>
          <w:tcPr>
            <w:tcW w:w="76" w:type="dxa"/>
            <w:shd w:val="clear" w:color="auto" w:fill="FFFFFF"/>
            <w:vAlign w:val="center"/>
          </w:tcPr>
          <w:p w14:paraId="6AE28402" w14:textId="77777777" w:rsidR="00E22AC0" w:rsidRDefault="00FC56F3">
            <w:pPr>
              <w:pStyle w:val="TableContents"/>
            </w:pPr>
            <w:r>
              <w:t> </w:t>
            </w:r>
          </w:p>
        </w:tc>
        <w:tc>
          <w:tcPr>
            <w:tcW w:w="1023" w:type="dxa"/>
            <w:shd w:val="clear" w:color="auto" w:fill="FFFFFF"/>
            <w:vAlign w:val="center"/>
          </w:tcPr>
          <w:p w14:paraId="0EEF2655" w14:textId="77777777" w:rsidR="00E22AC0" w:rsidRDefault="00FC56F3">
            <w:pPr>
              <w:pStyle w:val="TableContents"/>
              <w:jc w:val="right"/>
            </w:pPr>
            <w:r>
              <w:t> </w:t>
            </w:r>
          </w:p>
        </w:tc>
        <w:tc>
          <w:tcPr>
            <w:tcW w:w="75" w:type="dxa"/>
            <w:shd w:val="clear" w:color="auto" w:fill="FFFFFF"/>
            <w:vAlign w:val="center"/>
          </w:tcPr>
          <w:p w14:paraId="079E4A0C" w14:textId="77777777" w:rsidR="00E22AC0" w:rsidRDefault="00FC56F3">
            <w:pPr>
              <w:pStyle w:val="TableContents"/>
            </w:pPr>
            <w:r>
              <w:t> </w:t>
            </w:r>
          </w:p>
        </w:tc>
      </w:tr>
      <w:tr w:rsidR="00E22AC0" w14:paraId="4439E6D0" w14:textId="77777777">
        <w:tc>
          <w:tcPr>
            <w:tcW w:w="3440" w:type="dxa"/>
            <w:shd w:val="clear" w:color="auto" w:fill="CCEEFF"/>
            <w:vAlign w:val="center"/>
          </w:tcPr>
          <w:p w14:paraId="24EA3845" w14:textId="77777777" w:rsidR="00E22AC0" w:rsidRDefault="00FC56F3">
            <w:pPr>
              <w:pStyle w:val="TableContents"/>
              <w:rPr>
                <w:i/>
              </w:rPr>
            </w:pPr>
            <w:r>
              <w:rPr>
                <w:i/>
              </w:rPr>
              <w:t>Total Current Assets</w:t>
            </w:r>
          </w:p>
        </w:tc>
        <w:tc>
          <w:tcPr>
            <w:tcW w:w="60" w:type="dxa"/>
            <w:shd w:val="clear" w:color="auto" w:fill="CCEEFF"/>
            <w:vAlign w:val="center"/>
          </w:tcPr>
          <w:p w14:paraId="487D6B02" w14:textId="77777777" w:rsidR="00E22AC0" w:rsidRDefault="00FC56F3">
            <w:pPr>
              <w:pStyle w:val="TableContents"/>
            </w:pPr>
            <w:r>
              <w:t> </w:t>
            </w:r>
          </w:p>
        </w:tc>
        <w:tc>
          <w:tcPr>
            <w:tcW w:w="63" w:type="dxa"/>
            <w:shd w:val="clear" w:color="auto" w:fill="CCEEFF"/>
            <w:vAlign w:val="center"/>
          </w:tcPr>
          <w:p w14:paraId="0E7F118F" w14:textId="77777777" w:rsidR="00E22AC0" w:rsidRDefault="00FC56F3">
            <w:pPr>
              <w:pStyle w:val="TableContents"/>
            </w:pPr>
            <w:r>
              <w:t> </w:t>
            </w:r>
          </w:p>
        </w:tc>
        <w:tc>
          <w:tcPr>
            <w:tcW w:w="1036" w:type="dxa"/>
            <w:shd w:val="clear" w:color="auto" w:fill="CCEEFF"/>
            <w:vAlign w:val="center"/>
          </w:tcPr>
          <w:p w14:paraId="3BD148A8" w14:textId="77777777" w:rsidR="00E22AC0" w:rsidRDefault="00FC56F3">
            <w:pPr>
              <w:pStyle w:val="TableContents"/>
              <w:jc w:val="right"/>
              <w:rPr>
                <w:i/>
              </w:rPr>
            </w:pPr>
            <w:r>
              <w:rPr>
                <w:i/>
              </w:rPr>
              <w:t>1,053,582</w:t>
            </w:r>
          </w:p>
        </w:tc>
        <w:tc>
          <w:tcPr>
            <w:tcW w:w="60" w:type="dxa"/>
            <w:shd w:val="clear" w:color="auto" w:fill="CCEEFF"/>
            <w:vAlign w:val="center"/>
          </w:tcPr>
          <w:p w14:paraId="66DD273A" w14:textId="77777777" w:rsidR="00E22AC0" w:rsidRDefault="00FC56F3">
            <w:pPr>
              <w:pStyle w:val="TableContents"/>
            </w:pPr>
            <w:r>
              <w:t> </w:t>
            </w:r>
          </w:p>
        </w:tc>
        <w:tc>
          <w:tcPr>
            <w:tcW w:w="60" w:type="dxa"/>
            <w:shd w:val="clear" w:color="auto" w:fill="CCEEFF"/>
            <w:vAlign w:val="center"/>
          </w:tcPr>
          <w:p w14:paraId="4D36BFE0" w14:textId="77777777" w:rsidR="00E22AC0" w:rsidRDefault="00FC56F3">
            <w:pPr>
              <w:pStyle w:val="TableContents"/>
            </w:pPr>
            <w:r>
              <w:t> </w:t>
            </w:r>
          </w:p>
        </w:tc>
        <w:tc>
          <w:tcPr>
            <w:tcW w:w="78" w:type="dxa"/>
            <w:shd w:val="clear" w:color="auto" w:fill="CCEEFF"/>
            <w:vAlign w:val="center"/>
          </w:tcPr>
          <w:p w14:paraId="486BCC1E" w14:textId="77777777" w:rsidR="00E22AC0" w:rsidRDefault="00FC56F3">
            <w:pPr>
              <w:pStyle w:val="TableContents"/>
            </w:pPr>
            <w:r>
              <w:t> </w:t>
            </w:r>
          </w:p>
        </w:tc>
        <w:tc>
          <w:tcPr>
            <w:tcW w:w="1142" w:type="dxa"/>
            <w:shd w:val="clear" w:color="auto" w:fill="CCEEFF"/>
            <w:vAlign w:val="center"/>
          </w:tcPr>
          <w:p w14:paraId="6A826945" w14:textId="77777777" w:rsidR="00E22AC0" w:rsidRDefault="00FC56F3">
            <w:pPr>
              <w:pStyle w:val="TableContents"/>
              <w:jc w:val="right"/>
            </w:pPr>
            <w:r>
              <w:t> </w:t>
            </w:r>
          </w:p>
        </w:tc>
        <w:tc>
          <w:tcPr>
            <w:tcW w:w="365" w:type="dxa"/>
            <w:shd w:val="clear" w:color="auto" w:fill="CCEEFF"/>
            <w:vAlign w:val="center"/>
          </w:tcPr>
          <w:p w14:paraId="280D7C1F" w14:textId="77777777" w:rsidR="00E22AC0" w:rsidRDefault="00FC56F3">
            <w:pPr>
              <w:pStyle w:val="TableContents"/>
            </w:pPr>
            <w:r>
              <w:t> </w:t>
            </w:r>
          </w:p>
        </w:tc>
        <w:tc>
          <w:tcPr>
            <w:tcW w:w="60" w:type="dxa"/>
            <w:shd w:val="clear" w:color="auto" w:fill="CCEEFF"/>
            <w:vAlign w:val="center"/>
          </w:tcPr>
          <w:p w14:paraId="285F7500" w14:textId="77777777" w:rsidR="00E22AC0" w:rsidRDefault="00FC56F3">
            <w:pPr>
              <w:pStyle w:val="TableContents"/>
            </w:pPr>
            <w:r>
              <w:t> </w:t>
            </w:r>
          </w:p>
        </w:tc>
        <w:tc>
          <w:tcPr>
            <w:tcW w:w="76" w:type="dxa"/>
            <w:shd w:val="clear" w:color="auto" w:fill="CCEEFF"/>
            <w:vAlign w:val="center"/>
          </w:tcPr>
          <w:p w14:paraId="71183C44" w14:textId="77777777" w:rsidR="00E22AC0" w:rsidRDefault="00FC56F3">
            <w:pPr>
              <w:pStyle w:val="TableContents"/>
            </w:pPr>
            <w:r>
              <w:t> </w:t>
            </w:r>
          </w:p>
        </w:tc>
        <w:tc>
          <w:tcPr>
            <w:tcW w:w="1023" w:type="dxa"/>
            <w:shd w:val="clear" w:color="auto" w:fill="CCEEFF"/>
            <w:vAlign w:val="center"/>
          </w:tcPr>
          <w:p w14:paraId="49CCF08B" w14:textId="77777777" w:rsidR="00E22AC0" w:rsidRDefault="00FC56F3">
            <w:pPr>
              <w:pStyle w:val="TableContents"/>
              <w:jc w:val="right"/>
              <w:rPr>
                <w:i/>
              </w:rPr>
            </w:pPr>
            <w:r>
              <w:rPr>
                <w:i/>
              </w:rPr>
              <w:t>601,824</w:t>
            </w:r>
          </w:p>
        </w:tc>
        <w:tc>
          <w:tcPr>
            <w:tcW w:w="75" w:type="dxa"/>
            <w:shd w:val="clear" w:color="auto" w:fill="CCEEFF"/>
            <w:vAlign w:val="center"/>
          </w:tcPr>
          <w:p w14:paraId="5634D771" w14:textId="77777777" w:rsidR="00E22AC0" w:rsidRDefault="00FC56F3">
            <w:pPr>
              <w:pStyle w:val="TableContents"/>
            </w:pPr>
            <w:r>
              <w:t> </w:t>
            </w:r>
          </w:p>
        </w:tc>
      </w:tr>
      <w:tr w:rsidR="00E22AC0" w14:paraId="33690B05" w14:textId="77777777">
        <w:tc>
          <w:tcPr>
            <w:tcW w:w="3440" w:type="dxa"/>
            <w:shd w:val="clear" w:color="auto" w:fill="FFFFFF"/>
            <w:vAlign w:val="center"/>
          </w:tcPr>
          <w:p w14:paraId="7C588E74" w14:textId="77777777" w:rsidR="00E22AC0" w:rsidRDefault="00FC56F3">
            <w:pPr>
              <w:pStyle w:val="TableContents"/>
            </w:pPr>
            <w:r>
              <w:t> </w:t>
            </w:r>
          </w:p>
        </w:tc>
        <w:tc>
          <w:tcPr>
            <w:tcW w:w="60" w:type="dxa"/>
            <w:shd w:val="clear" w:color="auto" w:fill="FFFFFF"/>
            <w:vAlign w:val="center"/>
          </w:tcPr>
          <w:p w14:paraId="6C5DF09F" w14:textId="77777777" w:rsidR="00E22AC0" w:rsidRDefault="00FC56F3">
            <w:pPr>
              <w:pStyle w:val="TableContents"/>
            </w:pPr>
            <w:r>
              <w:t> </w:t>
            </w:r>
          </w:p>
        </w:tc>
        <w:tc>
          <w:tcPr>
            <w:tcW w:w="63" w:type="dxa"/>
            <w:shd w:val="clear" w:color="auto" w:fill="FFFFFF"/>
            <w:vAlign w:val="center"/>
          </w:tcPr>
          <w:p w14:paraId="6AE506F5" w14:textId="77777777" w:rsidR="00E22AC0" w:rsidRDefault="00FC56F3">
            <w:pPr>
              <w:pStyle w:val="TableContents"/>
            </w:pPr>
            <w:r>
              <w:t> </w:t>
            </w:r>
          </w:p>
        </w:tc>
        <w:tc>
          <w:tcPr>
            <w:tcW w:w="1036" w:type="dxa"/>
            <w:shd w:val="clear" w:color="auto" w:fill="FFFFFF"/>
            <w:vAlign w:val="center"/>
          </w:tcPr>
          <w:p w14:paraId="6F48E74D" w14:textId="77777777" w:rsidR="00E22AC0" w:rsidRDefault="00FC56F3">
            <w:pPr>
              <w:pStyle w:val="TableContents"/>
              <w:jc w:val="right"/>
            </w:pPr>
            <w:r>
              <w:t> </w:t>
            </w:r>
          </w:p>
        </w:tc>
        <w:tc>
          <w:tcPr>
            <w:tcW w:w="60" w:type="dxa"/>
            <w:shd w:val="clear" w:color="auto" w:fill="FFFFFF"/>
            <w:vAlign w:val="center"/>
          </w:tcPr>
          <w:p w14:paraId="5ADE7061" w14:textId="77777777" w:rsidR="00E22AC0" w:rsidRDefault="00FC56F3">
            <w:pPr>
              <w:pStyle w:val="TableContents"/>
            </w:pPr>
            <w:r>
              <w:t> </w:t>
            </w:r>
          </w:p>
        </w:tc>
        <w:tc>
          <w:tcPr>
            <w:tcW w:w="60" w:type="dxa"/>
            <w:shd w:val="clear" w:color="auto" w:fill="FFFFFF"/>
            <w:vAlign w:val="center"/>
          </w:tcPr>
          <w:p w14:paraId="228A1960" w14:textId="77777777" w:rsidR="00E22AC0" w:rsidRDefault="00FC56F3">
            <w:pPr>
              <w:pStyle w:val="TableContents"/>
            </w:pPr>
            <w:r>
              <w:t> </w:t>
            </w:r>
          </w:p>
        </w:tc>
        <w:tc>
          <w:tcPr>
            <w:tcW w:w="78" w:type="dxa"/>
            <w:shd w:val="clear" w:color="auto" w:fill="FFFFFF"/>
            <w:vAlign w:val="center"/>
          </w:tcPr>
          <w:p w14:paraId="26FC2D13" w14:textId="77777777" w:rsidR="00E22AC0" w:rsidRDefault="00FC56F3">
            <w:pPr>
              <w:pStyle w:val="TableContents"/>
            </w:pPr>
            <w:r>
              <w:t> </w:t>
            </w:r>
          </w:p>
        </w:tc>
        <w:tc>
          <w:tcPr>
            <w:tcW w:w="1142" w:type="dxa"/>
            <w:shd w:val="clear" w:color="auto" w:fill="FFFFFF"/>
            <w:vAlign w:val="center"/>
          </w:tcPr>
          <w:p w14:paraId="335A0A65" w14:textId="77777777" w:rsidR="00E22AC0" w:rsidRDefault="00FC56F3">
            <w:pPr>
              <w:pStyle w:val="TableContents"/>
              <w:jc w:val="right"/>
            </w:pPr>
            <w:r>
              <w:t> </w:t>
            </w:r>
          </w:p>
        </w:tc>
        <w:tc>
          <w:tcPr>
            <w:tcW w:w="365" w:type="dxa"/>
            <w:shd w:val="clear" w:color="auto" w:fill="FFFFFF"/>
            <w:vAlign w:val="center"/>
          </w:tcPr>
          <w:p w14:paraId="204D8C07" w14:textId="77777777" w:rsidR="00E22AC0" w:rsidRDefault="00FC56F3">
            <w:pPr>
              <w:pStyle w:val="TableContents"/>
            </w:pPr>
            <w:r>
              <w:t> </w:t>
            </w:r>
          </w:p>
        </w:tc>
        <w:tc>
          <w:tcPr>
            <w:tcW w:w="60" w:type="dxa"/>
            <w:shd w:val="clear" w:color="auto" w:fill="FFFFFF"/>
            <w:vAlign w:val="center"/>
          </w:tcPr>
          <w:p w14:paraId="5A019905" w14:textId="77777777" w:rsidR="00E22AC0" w:rsidRDefault="00FC56F3">
            <w:pPr>
              <w:pStyle w:val="TableContents"/>
            </w:pPr>
            <w:r>
              <w:t> </w:t>
            </w:r>
          </w:p>
        </w:tc>
        <w:tc>
          <w:tcPr>
            <w:tcW w:w="76" w:type="dxa"/>
            <w:shd w:val="clear" w:color="auto" w:fill="FFFFFF"/>
            <w:vAlign w:val="center"/>
          </w:tcPr>
          <w:p w14:paraId="0A5842AA" w14:textId="77777777" w:rsidR="00E22AC0" w:rsidRDefault="00FC56F3">
            <w:pPr>
              <w:pStyle w:val="TableContents"/>
            </w:pPr>
            <w:r>
              <w:t> </w:t>
            </w:r>
          </w:p>
        </w:tc>
        <w:tc>
          <w:tcPr>
            <w:tcW w:w="1023" w:type="dxa"/>
            <w:shd w:val="clear" w:color="auto" w:fill="FFFFFF"/>
            <w:vAlign w:val="center"/>
          </w:tcPr>
          <w:p w14:paraId="7702322C" w14:textId="77777777" w:rsidR="00E22AC0" w:rsidRDefault="00FC56F3">
            <w:pPr>
              <w:pStyle w:val="TableContents"/>
              <w:jc w:val="right"/>
            </w:pPr>
            <w:r>
              <w:t> </w:t>
            </w:r>
          </w:p>
        </w:tc>
        <w:tc>
          <w:tcPr>
            <w:tcW w:w="75" w:type="dxa"/>
            <w:shd w:val="clear" w:color="auto" w:fill="FFFFFF"/>
            <w:vAlign w:val="center"/>
          </w:tcPr>
          <w:p w14:paraId="2A4BA797" w14:textId="77777777" w:rsidR="00E22AC0" w:rsidRDefault="00FC56F3">
            <w:pPr>
              <w:pStyle w:val="TableContents"/>
            </w:pPr>
            <w:r>
              <w:t> </w:t>
            </w:r>
          </w:p>
        </w:tc>
      </w:tr>
      <w:tr w:rsidR="00E22AC0" w14:paraId="43C3FA59" w14:textId="77777777">
        <w:tc>
          <w:tcPr>
            <w:tcW w:w="3440" w:type="dxa"/>
            <w:shd w:val="clear" w:color="auto" w:fill="CCEEFF"/>
            <w:vAlign w:val="center"/>
          </w:tcPr>
          <w:p w14:paraId="5FD89D60" w14:textId="77777777" w:rsidR="00E22AC0" w:rsidRDefault="00FC56F3">
            <w:pPr>
              <w:pStyle w:val="TableContents"/>
            </w:pPr>
            <w:r>
              <w:t>Accounts Payable</w:t>
            </w:r>
          </w:p>
        </w:tc>
        <w:tc>
          <w:tcPr>
            <w:tcW w:w="60" w:type="dxa"/>
            <w:shd w:val="clear" w:color="auto" w:fill="CCEEFF"/>
            <w:vAlign w:val="center"/>
          </w:tcPr>
          <w:p w14:paraId="141A4E8F" w14:textId="77777777" w:rsidR="00E22AC0" w:rsidRDefault="00FC56F3">
            <w:pPr>
              <w:pStyle w:val="TableContents"/>
            </w:pPr>
            <w:r>
              <w:t> </w:t>
            </w:r>
          </w:p>
        </w:tc>
        <w:tc>
          <w:tcPr>
            <w:tcW w:w="63" w:type="dxa"/>
            <w:shd w:val="clear" w:color="auto" w:fill="CCEEFF"/>
            <w:vAlign w:val="center"/>
          </w:tcPr>
          <w:p w14:paraId="50447FE4" w14:textId="77777777" w:rsidR="00E22AC0" w:rsidRDefault="00FC56F3">
            <w:pPr>
              <w:pStyle w:val="TableContents"/>
            </w:pPr>
            <w:r>
              <w:t> </w:t>
            </w:r>
          </w:p>
        </w:tc>
        <w:tc>
          <w:tcPr>
            <w:tcW w:w="1036" w:type="dxa"/>
            <w:shd w:val="clear" w:color="auto" w:fill="CCEEFF"/>
            <w:vAlign w:val="center"/>
          </w:tcPr>
          <w:p w14:paraId="6EEB33A7" w14:textId="77777777" w:rsidR="00E22AC0" w:rsidRDefault="00FC56F3">
            <w:pPr>
              <w:pStyle w:val="TableContents"/>
              <w:jc w:val="right"/>
            </w:pPr>
            <w:r>
              <w:t>186,082</w:t>
            </w:r>
          </w:p>
        </w:tc>
        <w:tc>
          <w:tcPr>
            <w:tcW w:w="60" w:type="dxa"/>
            <w:shd w:val="clear" w:color="auto" w:fill="CCEEFF"/>
            <w:vAlign w:val="center"/>
          </w:tcPr>
          <w:p w14:paraId="5029881A" w14:textId="77777777" w:rsidR="00E22AC0" w:rsidRDefault="00FC56F3">
            <w:pPr>
              <w:pStyle w:val="TableContents"/>
            </w:pPr>
            <w:r>
              <w:t> </w:t>
            </w:r>
          </w:p>
        </w:tc>
        <w:tc>
          <w:tcPr>
            <w:tcW w:w="60" w:type="dxa"/>
            <w:shd w:val="clear" w:color="auto" w:fill="CCEEFF"/>
            <w:vAlign w:val="center"/>
          </w:tcPr>
          <w:p w14:paraId="64571FCA" w14:textId="77777777" w:rsidR="00E22AC0" w:rsidRDefault="00FC56F3">
            <w:pPr>
              <w:pStyle w:val="TableContents"/>
            </w:pPr>
            <w:r>
              <w:t> </w:t>
            </w:r>
          </w:p>
        </w:tc>
        <w:tc>
          <w:tcPr>
            <w:tcW w:w="78" w:type="dxa"/>
            <w:shd w:val="clear" w:color="auto" w:fill="CCEEFF"/>
            <w:vAlign w:val="center"/>
          </w:tcPr>
          <w:p w14:paraId="7D6B7A1F" w14:textId="77777777" w:rsidR="00E22AC0" w:rsidRDefault="00FC56F3">
            <w:pPr>
              <w:pStyle w:val="TableContents"/>
            </w:pPr>
            <w:r>
              <w:t> </w:t>
            </w:r>
          </w:p>
        </w:tc>
        <w:tc>
          <w:tcPr>
            <w:tcW w:w="1142" w:type="dxa"/>
            <w:shd w:val="clear" w:color="auto" w:fill="CCEEFF"/>
            <w:vAlign w:val="center"/>
          </w:tcPr>
          <w:p w14:paraId="1F38ED20" w14:textId="77777777" w:rsidR="00E22AC0" w:rsidRDefault="00FC56F3">
            <w:pPr>
              <w:pStyle w:val="TableContents"/>
              <w:jc w:val="right"/>
            </w:pPr>
            <w:r>
              <w:t> </w:t>
            </w:r>
          </w:p>
        </w:tc>
        <w:tc>
          <w:tcPr>
            <w:tcW w:w="365" w:type="dxa"/>
            <w:shd w:val="clear" w:color="auto" w:fill="CCEEFF"/>
            <w:vAlign w:val="center"/>
          </w:tcPr>
          <w:p w14:paraId="65EDB3D2" w14:textId="77777777" w:rsidR="00E22AC0" w:rsidRDefault="00FC56F3">
            <w:pPr>
              <w:pStyle w:val="TableContents"/>
            </w:pPr>
            <w:r>
              <w:t> </w:t>
            </w:r>
          </w:p>
        </w:tc>
        <w:tc>
          <w:tcPr>
            <w:tcW w:w="60" w:type="dxa"/>
            <w:shd w:val="clear" w:color="auto" w:fill="CCEEFF"/>
            <w:vAlign w:val="center"/>
          </w:tcPr>
          <w:p w14:paraId="6B187F44" w14:textId="77777777" w:rsidR="00E22AC0" w:rsidRDefault="00FC56F3">
            <w:pPr>
              <w:pStyle w:val="TableContents"/>
            </w:pPr>
            <w:r>
              <w:t> </w:t>
            </w:r>
          </w:p>
        </w:tc>
        <w:tc>
          <w:tcPr>
            <w:tcW w:w="76" w:type="dxa"/>
            <w:shd w:val="clear" w:color="auto" w:fill="CCEEFF"/>
            <w:vAlign w:val="center"/>
          </w:tcPr>
          <w:p w14:paraId="25D736D6" w14:textId="77777777" w:rsidR="00E22AC0" w:rsidRDefault="00FC56F3">
            <w:pPr>
              <w:pStyle w:val="TableContents"/>
            </w:pPr>
            <w:r>
              <w:t> </w:t>
            </w:r>
          </w:p>
        </w:tc>
        <w:tc>
          <w:tcPr>
            <w:tcW w:w="1023" w:type="dxa"/>
            <w:shd w:val="clear" w:color="auto" w:fill="CCEEFF"/>
            <w:vAlign w:val="center"/>
          </w:tcPr>
          <w:p w14:paraId="4C5F6F35" w14:textId="77777777" w:rsidR="00E22AC0" w:rsidRDefault="00FC56F3">
            <w:pPr>
              <w:pStyle w:val="TableContents"/>
              <w:jc w:val="right"/>
            </w:pPr>
            <w:r>
              <w:t>186,082</w:t>
            </w:r>
          </w:p>
        </w:tc>
        <w:tc>
          <w:tcPr>
            <w:tcW w:w="75" w:type="dxa"/>
            <w:shd w:val="clear" w:color="auto" w:fill="CCEEFF"/>
            <w:vAlign w:val="center"/>
          </w:tcPr>
          <w:p w14:paraId="043A1854" w14:textId="77777777" w:rsidR="00E22AC0" w:rsidRDefault="00FC56F3">
            <w:pPr>
              <w:pStyle w:val="TableContents"/>
            </w:pPr>
            <w:r>
              <w:t> </w:t>
            </w:r>
          </w:p>
        </w:tc>
      </w:tr>
      <w:tr w:rsidR="00E22AC0" w14:paraId="13DC5B0B" w14:textId="77777777">
        <w:tc>
          <w:tcPr>
            <w:tcW w:w="3440" w:type="dxa"/>
            <w:shd w:val="clear" w:color="auto" w:fill="FFFFFF"/>
            <w:vAlign w:val="center"/>
          </w:tcPr>
          <w:p w14:paraId="50680C23" w14:textId="77777777" w:rsidR="00E22AC0" w:rsidRDefault="00FC56F3">
            <w:pPr>
              <w:pStyle w:val="TableContents"/>
            </w:pPr>
            <w:r>
              <w:t>Credit Cards</w:t>
            </w:r>
          </w:p>
        </w:tc>
        <w:tc>
          <w:tcPr>
            <w:tcW w:w="60" w:type="dxa"/>
            <w:shd w:val="clear" w:color="auto" w:fill="FFFFFF"/>
            <w:vAlign w:val="center"/>
          </w:tcPr>
          <w:p w14:paraId="42A67275" w14:textId="77777777" w:rsidR="00E22AC0" w:rsidRDefault="00FC56F3">
            <w:pPr>
              <w:pStyle w:val="TableContents"/>
            </w:pPr>
            <w:r>
              <w:t> </w:t>
            </w:r>
          </w:p>
        </w:tc>
        <w:tc>
          <w:tcPr>
            <w:tcW w:w="63" w:type="dxa"/>
            <w:shd w:val="clear" w:color="auto" w:fill="FFFFFF"/>
            <w:vAlign w:val="center"/>
          </w:tcPr>
          <w:p w14:paraId="0681C0E2" w14:textId="77777777" w:rsidR="00E22AC0" w:rsidRDefault="00FC56F3">
            <w:pPr>
              <w:pStyle w:val="TableContents"/>
            </w:pPr>
            <w:r>
              <w:t> </w:t>
            </w:r>
          </w:p>
        </w:tc>
        <w:tc>
          <w:tcPr>
            <w:tcW w:w="1036" w:type="dxa"/>
            <w:shd w:val="clear" w:color="auto" w:fill="FFFFFF"/>
            <w:vAlign w:val="center"/>
          </w:tcPr>
          <w:p w14:paraId="3AD1516E" w14:textId="77777777" w:rsidR="00E22AC0" w:rsidRDefault="00FC56F3">
            <w:pPr>
              <w:pStyle w:val="TableContents"/>
              <w:jc w:val="right"/>
            </w:pPr>
            <w:r>
              <w:t>2,288</w:t>
            </w:r>
          </w:p>
        </w:tc>
        <w:tc>
          <w:tcPr>
            <w:tcW w:w="60" w:type="dxa"/>
            <w:shd w:val="clear" w:color="auto" w:fill="FFFFFF"/>
            <w:vAlign w:val="center"/>
          </w:tcPr>
          <w:p w14:paraId="0B2DACB3" w14:textId="77777777" w:rsidR="00E22AC0" w:rsidRDefault="00FC56F3">
            <w:pPr>
              <w:pStyle w:val="TableContents"/>
            </w:pPr>
            <w:r>
              <w:t> </w:t>
            </w:r>
          </w:p>
        </w:tc>
        <w:tc>
          <w:tcPr>
            <w:tcW w:w="60" w:type="dxa"/>
            <w:shd w:val="clear" w:color="auto" w:fill="FFFFFF"/>
            <w:vAlign w:val="center"/>
          </w:tcPr>
          <w:p w14:paraId="72470A4B" w14:textId="77777777" w:rsidR="00E22AC0" w:rsidRDefault="00FC56F3">
            <w:pPr>
              <w:pStyle w:val="TableContents"/>
            </w:pPr>
            <w:r>
              <w:t> </w:t>
            </w:r>
          </w:p>
        </w:tc>
        <w:tc>
          <w:tcPr>
            <w:tcW w:w="78" w:type="dxa"/>
            <w:shd w:val="clear" w:color="auto" w:fill="FFFFFF"/>
            <w:vAlign w:val="center"/>
          </w:tcPr>
          <w:p w14:paraId="2A62D316" w14:textId="77777777" w:rsidR="00E22AC0" w:rsidRDefault="00FC56F3">
            <w:pPr>
              <w:pStyle w:val="TableContents"/>
            </w:pPr>
            <w:r>
              <w:t> </w:t>
            </w:r>
          </w:p>
        </w:tc>
        <w:tc>
          <w:tcPr>
            <w:tcW w:w="1142" w:type="dxa"/>
            <w:shd w:val="clear" w:color="auto" w:fill="FFFFFF"/>
            <w:vAlign w:val="center"/>
          </w:tcPr>
          <w:p w14:paraId="2C48C5F0" w14:textId="77777777" w:rsidR="00E22AC0" w:rsidRDefault="00FC56F3">
            <w:pPr>
              <w:pStyle w:val="TableContents"/>
              <w:jc w:val="right"/>
            </w:pPr>
            <w:r>
              <w:t> </w:t>
            </w:r>
          </w:p>
        </w:tc>
        <w:tc>
          <w:tcPr>
            <w:tcW w:w="365" w:type="dxa"/>
            <w:shd w:val="clear" w:color="auto" w:fill="FFFFFF"/>
            <w:vAlign w:val="center"/>
          </w:tcPr>
          <w:p w14:paraId="7EDE64F2" w14:textId="77777777" w:rsidR="00E22AC0" w:rsidRDefault="00FC56F3">
            <w:pPr>
              <w:pStyle w:val="TableContents"/>
            </w:pPr>
            <w:r>
              <w:t> </w:t>
            </w:r>
          </w:p>
        </w:tc>
        <w:tc>
          <w:tcPr>
            <w:tcW w:w="60" w:type="dxa"/>
            <w:shd w:val="clear" w:color="auto" w:fill="FFFFFF"/>
            <w:vAlign w:val="center"/>
          </w:tcPr>
          <w:p w14:paraId="34D3932C" w14:textId="77777777" w:rsidR="00E22AC0" w:rsidRDefault="00FC56F3">
            <w:pPr>
              <w:pStyle w:val="TableContents"/>
            </w:pPr>
            <w:r>
              <w:t> </w:t>
            </w:r>
          </w:p>
        </w:tc>
        <w:tc>
          <w:tcPr>
            <w:tcW w:w="76" w:type="dxa"/>
            <w:shd w:val="clear" w:color="auto" w:fill="FFFFFF"/>
            <w:vAlign w:val="center"/>
          </w:tcPr>
          <w:p w14:paraId="33C1D12F" w14:textId="77777777" w:rsidR="00E22AC0" w:rsidRDefault="00FC56F3">
            <w:pPr>
              <w:pStyle w:val="TableContents"/>
            </w:pPr>
            <w:r>
              <w:t> </w:t>
            </w:r>
          </w:p>
        </w:tc>
        <w:tc>
          <w:tcPr>
            <w:tcW w:w="1023" w:type="dxa"/>
            <w:shd w:val="clear" w:color="auto" w:fill="FFFFFF"/>
            <w:vAlign w:val="center"/>
          </w:tcPr>
          <w:p w14:paraId="2D82B584" w14:textId="77777777" w:rsidR="00E22AC0" w:rsidRDefault="00FC56F3">
            <w:pPr>
              <w:pStyle w:val="TableContents"/>
              <w:jc w:val="right"/>
            </w:pPr>
            <w:r>
              <w:t>2,288</w:t>
            </w:r>
          </w:p>
        </w:tc>
        <w:tc>
          <w:tcPr>
            <w:tcW w:w="75" w:type="dxa"/>
            <w:shd w:val="clear" w:color="auto" w:fill="FFFFFF"/>
            <w:vAlign w:val="center"/>
          </w:tcPr>
          <w:p w14:paraId="0A7A60B3" w14:textId="77777777" w:rsidR="00E22AC0" w:rsidRDefault="00FC56F3">
            <w:pPr>
              <w:pStyle w:val="TableContents"/>
            </w:pPr>
            <w:r>
              <w:t> </w:t>
            </w:r>
          </w:p>
        </w:tc>
      </w:tr>
      <w:tr w:rsidR="00E22AC0" w14:paraId="2024B577" w14:textId="77777777">
        <w:tc>
          <w:tcPr>
            <w:tcW w:w="3440" w:type="dxa"/>
            <w:shd w:val="clear" w:color="auto" w:fill="CCEEFF"/>
            <w:vAlign w:val="center"/>
          </w:tcPr>
          <w:p w14:paraId="079D6853" w14:textId="77777777" w:rsidR="00E22AC0" w:rsidRDefault="00FC56F3">
            <w:pPr>
              <w:pStyle w:val="TableContents"/>
            </w:pPr>
            <w:r>
              <w:t>Deferred Revenue</w:t>
            </w:r>
          </w:p>
        </w:tc>
        <w:tc>
          <w:tcPr>
            <w:tcW w:w="60" w:type="dxa"/>
            <w:shd w:val="clear" w:color="auto" w:fill="CCEEFF"/>
            <w:vAlign w:val="center"/>
          </w:tcPr>
          <w:p w14:paraId="3CB7FBE3" w14:textId="77777777" w:rsidR="00E22AC0" w:rsidRDefault="00FC56F3">
            <w:pPr>
              <w:pStyle w:val="TableContents"/>
            </w:pPr>
            <w:r>
              <w:t> </w:t>
            </w:r>
          </w:p>
        </w:tc>
        <w:tc>
          <w:tcPr>
            <w:tcW w:w="63" w:type="dxa"/>
            <w:shd w:val="clear" w:color="auto" w:fill="CCEEFF"/>
            <w:vAlign w:val="center"/>
          </w:tcPr>
          <w:p w14:paraId="79471518" w14:textId="77777777" w:rsidR="00E22AC0" w:rsidRDefault="00FC56F3">
            <w:pPr>
              <w:pStyle w:val="TableContents"/>
            </w:pPr>
            <w:r>
              <w:t> </w:t>
            </w:r>
          </w:p>
        </w:tc>
        <w:tc>
          <w:tcPr>
            <w:tcW w:w="1036" w:type="dxa"/>
            <w:shd w:val="clear" w:color="auto" w:fill="CCEEFF"/>
            <w:vAlign w:val="center"/>
          </w:tcPr>
          <w:p w14:paraId="37012D8F" w14:textId="77777777" w:rsidR="00E22AC0" w:rsidRDefault="00FC56F3">
            <w:pPr>
              <w:pStyle w:val="TableContents"/>
              <w:jc w:val="right"/>
            </w:pPr>
            <w:r>
              <w:t>2,500</w:t>
            </w:r>
          </w:p>
        </w:tc>
        <w:tc>
          <w:tcPr>
            <w:tcW w:w="60" w:type="dxa"/>
            <w:shd w:val="clear" w:color="auto" w:fill="CCEEFF"/>
            <w:vAlign w:val="center"/>
          </w:tcPr>
          <w:p w14:paraId="433D99E5" w14:textId="77777777" w:rsidR="00E22AC0" w:rsidRDefault="00FC56F3">
            <w:pPr>
              <w:pStyle w:val="TableContents"/>
            </w:pPr>
            <w:r>
              <w:t> </w:t>
            </w:r>
          </w:p>
        </w:tc>
        <w:tc>
          <w:tcPr>
            <w:tcW w:w="60" w:type="dxa"/>
            <w:shd w:val="clear" w:color="auto" w:fill="CCEEFF"/>
            <w:vAlign w:val="center"/>
          </w:tcPr>
          <w:p w14:paraId="2D45C2F4" w14:textId="77777777" w:rsidR="00E22AC0" w:rsidRDefault="00FC56F3">
            <w:pPr>
              <w:pStyle w:val="TableContents"/>
            </w:pPr>
            <w:r>
              <w:t> </w:t>
            </w:r>
          </w:p>
        </w:tc>
        <w:tc>
          <w:tcPr>
            <w:tcW w:w="78" w:type="dxa"/>
            <w:shd w:val="clear" w:color="auto" w:fill="CCEEFF"/>
            <w:vAlign w:val="center"/>
          </w:tcPr>
          <w:p w14:paraId="6854DF88" w14:textId="77777777" w:rsidR="00E22AC0" w:rsidRDefault="00FC56F3">
            <w:pPr>
              <w:pStyle w:val="TableContents"/>
            </w:pPr>
            <w:r>
              <w:t> </w:t>
            </w:r>
          </w:p>
        </w:tc>
        <w:tc>
          <w:tcPr>
            <w:tcW w:w="1142" w:type="dxa"/>
            <w:shd w:val="clear" w:color="auto" w:fill="CCEEFF"/>
            <w:vAlign w:val="center"/>
          </w:tcPr>
          <w:p w14:paraId="1B105CE5" w14:textId="77777777" w:rsidR="00E22AC0" w:rsidRDefault="00FC56F3">
            <w:pPr>
              <w:pStyle w:val="TableContents"/>
              <w:jc w:val="right"/>
            </w:pPr>
            <w:r>
              <w:t> </w:t>
            </w:r>
          </w:p>
        </w:tc>
        <w:tc>
          <w:tcPr>
            <w:tcW w:w="365" w:type="dxa"/>
            <w:shd w:val="clear" w:color="auto" w:fill="CCEEFF"/>
            <w:vAlign w:val="center"/>
          </w:tcPr>
          <w:p w14:paraId="5DC873AA" w14:textId="77777777" w:rsidR="00E22AC0" w:rsidRDefault="00FC56F3">
            <w:pPr>
              <w:pStyle w:val="TableContents"/>
            </w:pPr>
            <w:r>
              <w:t> </w:t>
            </w:r>
          </w:p>
        </w:tc>
        <w:tc>
          <w:tcPr>
            <w:tcW w:w="60" w:type="dxa"/>
            <w:shd w:val="clear" w:color="auto" w:fill="CCEEFF"/>
            <w:vAlign w:val="center"/>
          </w:tcPr>
          <w:p w14:paraId="6E0A1C9E" w14:textId="77777777" w:rsidR="00E22AC0" w:rsidRDefault="00FC56F3">
            <w:pPr>
              <w:pStyle w:val="TableContents"/>
            </w:pPr>
            <w:r>
              <w:t> </w:t>
            </w:r>
          </w:p>
        </w:tc>
        <w:tc>
          <w:tcPr>
            <w:tcW w:w="76" w:type="dxa"/>
            <w:shd w:val="clear" w:color="auto" w:fill="CCEEFF"/>
            <w:vAlign w:val="center"/>
          </w:tcPr>
          <w:p w14:paraId="14F8CDC4" w14:textId="77777777" w:rsidR="00E22AC0" w:rsidRDefault="00FC56F3">
            <w:pPr>
              <w:pStyle w:val="TableContents"/>
            </w:pPr>
            <w:r>
              <w:t> </w:t>
            </w:r>
          </w:p>
        </w:tc>
        <w:tc>
          <w:tcPr>
            <w:tcW w:w="1023" w:type="dxa"/>
            <w:shd w:val="clear" w:color="auto" w:fill="CCEEFF"/>
            <w:vAlign w:val="center"/>
          </w:tcPr>
          <w:p w14:paraId="27FA8F21" w14:textId="77777777" w:rsidR="00E22AC0" w:rsidRDefault="00FC56F3">
            <w:pPr>
              <w:pStyle w:val="TableContents"/>
              <w:jc w:val="right"/>
            </w:pPr>
            <w:r>
              <w:t>2,500</w:t>
            </w:r>
          </w:p>
        </w:tc>
        <w:tc>
          <w:tcPr>
            <w:tcW w:w="75" w:type="dxa"/>
            <w:shd w:val="clear" w:color="auto" w:fill="CCEEFF"/>
            <w:vAlign w:val="center"/>
          </w:tcPr>
          <w:p w14:paraId="52519DEF" w14:textId="77777777" w:rsidR="00E22AC0" w:rsidRDefault="00FC56F3">
            <w:pPr>
              <w:pStyle w:val="TableContents"/>
            </w:pPr>
            <w:r>
              <w:t> </w:t>
            </w:r>
          </w:p>
        </w:tc>
      </w:tr>
      <w:tr w:rsidR="00E22AC0" w14:paraId="3C5A7B28" w14:textId="77777777">
        <w:tc>
          <w:tcPr>
            <w:tcW w:w="3440" w:type="dxa"/>
            <w:shd w:val="clear" w:color="auto" w:fill="FFFFFF"/>
            <w:vAlign w:val="center"/>
          </w:tcPr>
          <w:p w14:paraId="3B524F54" w14:textId="77777777" w:rsidR="00E22AC0" w:rsidRDefault="00FC56F3">
            <w:pPr>
              <w:pStyle w:val="TableContents"/>
            </w:pPr>
            <w:r>
              <w:t>Accrued Payroll</w:t>
            </w:r>
          </w:p>
        </w:tc>
        <w:tc>
          <w:tcPr>
            <w:tcW w:w="60" w:type="dxa"/>
            <w:shd w:val="clear" w:color="auto" w:fill="FFFFFF"/>
            <w:vAlign w:val="center"/>
          </w:tcPr>
          <w:p w14:paraId="5FBA0CBA" w14:textId="77777777" w:rsidR="00E22AC0" w:rsidRDefault="00FC56F3">
            <w:pPr>
              <w:pStyle w:val="TableContents"/>
            </w:pPr>
            <w:r>
              <w:t> </w:t>
            </w:r>
          </w:p>
        </w:tc>
        <w:tc>
          <w:tcPr>
            <w:tcW w:w="63" w:type="dxa"/>
            <w:shd w:val="clear" w:color="auto" w:fill="FFFFFF"/>
            <w:vAlign w:val="center"/>
          </w:tcPr>
          <w:p w14:paraId="7F8712C9" w14:textId="77777777" w:rsidR="00E22AC0" w:rsidRDefault="00FC56F3">
            <w:pPr>
              <w:pStyle w:val="TableContents"/>
            </w:pPr>
            <w:r>
              <w:t> </w:t>
            </w:r>
          </w:p>
        </w:tc>
        <w:tc>
          <w:tcPr>
            <w:tcW w:w="1036" w:type="dxa"/>
            <w:shd w:val="clear" w:color="auto" w:fill="FFFFFF"/>
            <w:vAlign w:val="center"/>
          </w:tcPr>
          <w:p w14:paraId="7BE89357" w14:textId="77777777" w:rsidR="00E22AC0" w:rsidRDefault="00FC56F3">
            <w:pPr>
              <w:pStyle w:val="TableContents"/>
              <w:jc w:val="right"/>
            </w:pPr>
            <w:r>
              <w:t>16,200</w:t>
            </w:r>
          </w:p>
        </w:tc>
        <w:tc>
          <w:tcPr>
            <w:tcW w:w="60" w:type="dxa"/>
            <w:shd w:val="clear" w:color="auto" w:fill="FFFFFF"/>
            <w:vAlign w:val="center"/>
          </w:tcPr>
          <w:p w14:paraId="24696738" w14:textId="77777777" w:rsidR="00E22AC0" w:rsidRDefault="00FC56F3">
            <w:pPr>
              <w:pStyle w:val="TableContents"/>
            </w:pPr>
            <w:r>
              <w:t> </w:t>
            </w:r>
          </w:p>
        </w:tc>
        <w:tc>
          <w:tcPr>
            <w:tcW w:w="60" w:type="dxa"/>
            <w:shd w:val="clear" w:color="auto" w:fill="FFFFFF"/>
            <w:vAlign w:val="center"/>
          </w:tcPr>
          <w:p w14:paraId="7AA9977F" w14:textId="77777777" w:rsidR="00E22AC0" w:rsidRDefault="00FC56F3">
            <w:pPr>
              <w:pStyle w:val="TableContents"/>
            </w:pPr>
            <w:r>
              <w:t> </w:t>
            </w:r>
          </w:p>
        </w:tc>
        <w:tc>
          <w:tcPr>
            <w:tcW w:w="78" w:type="dxa"/>
            <w:shd w:val="clear" w:color="auto" w:fill="FFFFFF"/>
            <w:vAlign w:val="center"/>
          </w:tcPr>
          <w:p w14:paraId="5725E044" w14:textId="77777777" w:rsidR="00E22AC0" w:rsidRDefault="00FC56F3">
            <w:pPr>
              <w:pStyle w:val="TableContents"/>
            </w:pPr>
            <w:r>
              <w:t> </w:t>
            </w:r>
          </w:p>
        </w:tc>
        <w:tc>
          <w:tcPr>
            <w:tcW w:w="1142" w:type="dxa"/>
            <w:shd w:val="clear" w:color="auto" w:fill="FFFFFF"/>
            <w:vAlign w:val="center"/>
          </w:tcPr>
          <w:p w14:paraId="631977BA" w14:textId="77777777" w:rsidR="00E22AC0" w:rsidRDefault="00FC56F3">
            <w:pPr>
              <w:pStyle w:val="TableContents"/>
              <w:jc w:val="right"/>
            </w:pPr>
            <w:r>
              <w:t> </w:t>
            </w:r>
          </w:p>
        </w:tc>
        <w:tc>
          <w:tcPr>
            <w:tcW w:w="365" w:type="dxa"/>
            <w:shd w:val="clear" w:color="auto" w:fill="FFFFFF"/>
            <w:vAlign w:val="center"/>
          </w:tcPr>
          <w:p w14:paraId="63131168" w14:textId="77777777" w:rsidR="00E22AC0" w:rsidRDefault="00FC56F3">
            <w:pPr>
              <w:pStyle w:val="TableContents"/>
            </w:pPr>
            <w:r>
              <w:t> </w:t>
            </w:r>
          </w:p>
        </w:tc>
        <w:tc>
          <w:tcPr>
            <w:tcW w:w="60" w:type="dxa"/>
            <w:shd w:val="clear" w:color="auto" w:fill="FFFFFF"/>
            <w:vAlign w:val="center"/>
          </w:tcPr>
          <w:p w14:paraId="6D8F9FC4" w14:textId="77777777" w:rsidR="00E22AC0" w:rsidRDefault="00FC56F3">
            <w:pPr>
              <w:pStyle w:val="TableContents"/>
            </w:pPr>
            <w:r>
              <w:t> </w:t>
            </w:r>
          </w:p>
        </w:tc>
        <w:tc>
          <w:tcPr>
            <w:tcW w:w="76" w:type="dxa"/>
            <w:shd w:val="clear" w:color="auto" w:fill="FFFFFF"/>
            <w:vAlign w:val="center"/>
          </w:tcPr>
          <w:p w14:paraId="39F10C01" w14:textId="77777777" w:rsidR="00E22AC0" w:rsidRDefault="00FC56F3">
            <w:pPr>
              <w:pStyle w:val="TableContents"/>
            </w:pPr>
            <w:r>
              <w:t> </w:t>
            </w:r>
          </w:p>
        </w:tc>
        <w:tc>
          <w:tcPr>
            <w:tcW w:w="1023" w:type="dxa"/>
            <w:shd w:val="clear" w:color="auto" w:fill="FFFFFF"/>
            <w:vAlign w:val="center"/>
          </w:tcPr>
          <w:p w14:paraId="6F66481E" w14:textId="77777777" w:rsidR="00E22AC0" w:rsidRDefault="00FC56F3">
            <w:pPr>
              <w:pStyle w:val="TableContents"/>
              <w:jc w:val="right"/>
            </w:pPr>
            <w:r>
              <w:t>16,200</w:t>
            </w:r>
          </w:p>
        </w:tc>
        <w:tc>
          <w:tcPr>
            <w:tcW w:w="75" w:type="dxa"/>
            <w:shd w:val="clear" w:color="auto" w:fill="FFFFFF"/>
            <w:vAlign w:val="center"/>
          </w:tcPr>
          <w:p w14:paraId="41E9AB39" w14:textId="77777777" w:rsidR="00E22AC0" w:rsidRDefault="00FC56F3">
            <w:pPr>
              <w:pStyle w:val="TableContents"/>
            </w:pPr>
            <w:r>
              <w:t> </w:t>
            </w:r>
          </w:p>
        </w:tc>
      </w:tr>
      <w:tr w:rsidR="00E22AC0" w14:paraId="1DA07D1E" w14:textId="77777777">
        <w:tc>
          <w:tcPr>
            <w:tcW w:w="3440" w:type="dxa"/>
            <w:shd w:val="clear" w:color="auto" w:fill="CCEEFF"/>
            <w:vAlign w:val="center"/>
          </w:tcPr>
          <w:p w14:paraId="76337203" w14:textId="77777777" w:rsidR="00E22AC0" w:rsidRDefault="00FC56F3">
            <w:pPr>
              <w:pStyle w:val="TableContents"/>
            </w:pPr>
            <w:r>
              <w:t>Accrued Payroll Liabilities</w:t>
            </w:r>
          </w:p>
        </w:tc>
        <w:tc>
          <w:tcPr>
            <w:tcW w:w="60" w:type="dxa"/>
            <w:shd w:val="clear" w:color="auto" w:fill="CCEEFF"/>
            <w:vAlign w:val="center"/>
          </w:tcPr>
          <w:p w14:paraId="2EA9DE0B" w14:textId="77777777" w:rsidR="00E22AC0" w:rsidRDefault="00FC56F3">
            <w:pPr>
              <w:pStyle w:val="TableContents"/>
            </w:pPr>
            <w:r>
              <w:t> </w:t>
            </w:r>
          </w:p>
        </w:tc>
        <w:tc>
          <w:tcPr>
            <w:tcW w:w="63" w:type="dxa"/>
            <w:shd w:val="clear" w:color="auto" w:fill="CCEEFF"/>
            <w:vAlign w:val="center"/>
          </w:tcPr>
          <w:p w14:paraId="45B816B3" w14:textId="77777777" w:rsidR="00E22AC0" w:rsidRDefault="00FC56F3">
            <w:pPr>
              <w:pStyle w:val="TableContents"/>
            </w:pPr>
            <w:r>
              <w:t> </w:t>
            </w:r>
          </w:p>
        </w:tc>
        <w:tc>
          <w:tcPr>
            <w:tcW w:w="1036" w:type="dxa"/>
            <w:shd w:val="clear" w:color="auto" w:fill="CCEEFF"/>
            <w:vAlign w:val="center"/>
          </w:tcPr>
          <w:p w14:paraId="424BAE8A" w14:textId="77777777" w:rsidR="00E22AC0" w:rsidRDefault="00FC56F3">
            <w:pPr>
              <w:pStyle w:val="TableContents"/>
              <w:jc w:val="right"/>
            </w:pPr>
            <w:r>
              <w:t>12,348</w:t>
            </w:r>
          </w:p>
        </w:tc>
        <w:tc>
          <w:tcPr>
            <w:tcW w:w="60" w:type="dxa"/>
            <w:shd w:val="clear" w:color="auto" w:fill="CCEEFF"/>
            <w:vAlign w:val="center"/>
          </w:tcPr>
          <w:p w14:paraId="6C73B1FB" w14:textId="77777777" w:rsidR="00E22AC0" w:rsidRDefault="00FC56F3">
            <w:pPr>
              <w:pStyle w:val="TableContents"/>
            </w:pPr>
            <w:r>
              <w:t> </w:t>
            </w:r>
          </w:p>
        </w:tc>
        <w:tc>
          <w:tcPr>
            <w:tcW w:w="60" w:type="dxa"/>
            <w:shd w:val="clear" w:color="auto" w:fill="CCEEFF"/>
            <w:vAlign w:val="center"/>
          </w:tcPr>
          <w:p w14:paraId="2D7FDFD3" w14:textId="77777777" w:rsidR="00E22AC0" w:rsidRDefault="00FC56F3">
            <w:pPr>
              <w:pStyle w:val="TableContents"/>
            </w:pPr>
            <w:r>
              <w:t> </w:t>
            </w:r>
          </w:p>
        </w:tc>
        <w:tc>
          <w:tcPr>
            <w:tcW w:w="78" w:type="dxa"/>
            <w:shd w:val="clear" w:color="auto" w:fill="CCEEFF"/>
            <w:vAlign w:val="center"/>
          </w:tcPr>
          <w:p w14:paraId="1DBA5C06" w14:textId="77777777" w:rsidR="00E22AC0" w:rsidRDefault="00FC56F3">
            <w:pPr>
              <w:pStyle w:val="TableContents"/>
            </w:pPr>
            <w:r>
              <w:t> </w:t>
            </w:r>
          </w:p>
        </w:tc>
        <w:tc>
          <w:tcPr>
            <w:tcW w:w="1142" w:type="dxa"/>
            <w:shd w:val="clear" w:color="auto" w:fill="CCEEFF"/>
            <w:vAlign w:val="center"/>
          </w:tcPr>
          <w:p w14:paraId="116918C4" w14:textId="77777777" w:rsidR="00E22AC0" w:rsidRDefault="00FC56F3">
            <w:pPr>
              <w:pStyle w:val="TableContents"/>
              <w:jc w:val="right"/>
            </w:pPr>
            <w:r>
              <w:t> </w:t>
            </w:r>
          </w:p>
        </w:tc>
        <w:tc>
          <w:tcPr>
            <w:tcW w:w="365" w:type="dxa"/>
            <w:shd w:val="clear" w:color="auto" w:fill="CCEEFF"/>
            <w:vAlign w:val="center"/>
          </w:tcPr>
          <w:p w14:paraId="07E7CEBB" w14:textId="77777777" w:rsidR="00E22AC0" w:rsidRDefault="00FC56F3">
            <w:pPr>
              <w:pStyle w:val="TableContents"/>
            </w:pPr>
            <w:r>
              <w:t> </w:t>
            </w:r>
          </w:p>
        </w:tc>
        <w:tc>
          <w:tcPr>
            <w:tcW w:w="60" w:type="dxa"/>
            <w:shd w:val="clear" w:color="auto" w:fill="CCEEFF"/>
            <w:vAlign w:val="center"/>
          </w:tcPr>
          <w:p w14:paraId="62F27FE6" w14:textId="77777777" w:rsidR="00E22AC0" w:rsidRDefault="00FC56F3">
            <w:pPr>
              <w:pStyle w:val="TableContents"/>
            </w:pPr>
            <w:r>
              <w:t> </w:t>
            </w:r>
          </w:p>
        </w:tc>
        <w:tc>
          <w:tcPr>
            <w:tcW w:w="76" w:type="dxa"/>
            <w:shd w:val="clear" w:color="auto" w:fill="CCEEFF"/>
            <w:vAlign w:val="center"/>
          </w:tcPr>
          <w:p w14:paraId="0C217B97" w14:textId="77777777" w:rsidR="00E22AC0" w:rsidRDefault="00FC56F3">
            <w:pPr>
              <w:pStyle w:val="TableContents"/>
            </w:pPr>
            <w:r>
              <w:t> </w:t>
            </w:r>
          </w:p>
        </w:tc>
        <w:tc>
          <w:tcPr>
            <w:tcW w:w="1023" w:type="dxa"/>
            <w:shd w:val="clear" w:color="auto" w:fill="CCEEFF"/>
            <w:vAlign w:val="center"/>
          </w:tcPr>
          <w:p w14:paraId="7B8F0BF2" w14:textId="77777777" w:rsidR="00E22AC0" w:rsidRDefault="00FC56F3">
            <w:pPr>
              <w:pStyle w:val="TableContents"/>
              <w:jc w:val="right"/>
            </w:pPr>
            <w:r>
              <w:t>12,348</w:t>
            </w:r>
          </w:p>
        </w:tc>
        <w:tc>
          <w:tcPr>
            <w:tcW w:w="75" w:type="dxa"/>
            <w:shd w:val="clear" w:color="auto" w:fill="CCEEFF"/>
            <w:vAlign w:val="center"/>
          </w:tcPr>
          <w:p w14:paraId="39CA36AE" w14:textId="77777777" w:rsidR="00E22AC0" w:rsidRDefault="00FC56F3">
            <w:pPr>
              <w:pStyle w:val="TableContents"/>
            </w:pPr>
            <w:r>
              <w:t> </w:t>
            </w:r>
          </w:p>
        </w:tc>
      </w:tr>
      <w:tr w:rsidR="00E22AC0" w14:paraId="5AF92AD3" w14:textId="77777777">
        <w:tc>
          <w:tcPr>
            <w:tcW w:w="3440" w:type="dxa"/>
            <w:shd w:val="clear" w:color="auto" w:fill="FFFFFF"/>
            <w:vAlign w:val="center"/>
          </w:tcPr>
          <w:p w14:paraId="30EC9B73"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Contact: Billings in Excess of Costs</w:t>
            </w:r>
          </w:p>
        </w:tc>
        <w:tc>
          <w:tcPr>
            <w:tcW w:w="60" w:type="dxa"/>
            <w:shd w:val="clear" w:color="auto" w:fill="FFFFFF"/>
            <w:vAlign w:val="center"/>
          </w:tcPr>
          <w:p w14:paraId="0014636C" w14:textId="77777777" w:rsidR="00E22AC0" w:rsidRDefault="00FC56F3">
            <w:pPr>
              <w:pStyle w:val="TableContents"/>
            </w:pPr>
            <w:r>
              <w:t> </w:t>
            </w:r>
          </w:p>
        </w:tc>
        <w:tc>
          <w:tcPr>
            <w:tcW w:w="63" w:type="dxa"/>
            <w:shd w:val="clear" w:color="auto" w:fill="FFFFFF"/>
            <w:vAlign w:val="center"/>
          </w:tcPr>
          <w:p w14:paraId="2936D524" w14:textId="77777777" w:rsidR="00E22AC0" w:rsidRDefault="00FC56F3">
            <w:pPr>
              <w:pStyle w:val="TableContents"/>
            </w:pPr>
            <w:r>
              <w:t> </w:t>
            </w:r>
          </w:p>
        </w:tc>
        <w:tc>
          <w:tcPr>
            <w:tcW w:w="1036" w:type="dxa"/>
            <w:shd w:val="clear" w:color="auto" w:fill="FFFFFF"/>
            <w:vAlign w:val="center"/>
          </w:tcPr>
          <w:p w14:paraId="379B94AE" w14:textId="77777777" w:rsidR="00E22AC0" w:rsidRDefault="00FC56F3">
            <w:pPr>
              <w:pStyle w:val="TableContents"/>
              <w:jc w:val="right"/>
            </w:pPr>
            <w:r>
              <w:t>59,921</w:t>
            </w:r>
          </w:p>
        </w:tc>
        <w:tc>
          <w:tcPr>
            <w:tcW w:w="60" w:type="dxa"/>
            <w:shd w:val="clear" w:color="auto" w:fill="FFFFFF"/>
            <w:vAlign w:val="center"/>
          </w:tcPr>
          <w:p w14:paraId="66A3AD14" w14:textId="77777777" w:rsidR="00E22AC0" w:rsidRDefault="00FC56F3">
            <w:pPr>
              <w:pStyle w:val="TableContents"/>
            </w:pPr>
            <w:r>
              <w:t> </w:t>
            </w:r>
          </w:p>
        </w:tc>
        <w:tc>
          <w:tcPr>
            <w:tcW w:w="60" w:type="dxa"/>
            <w:shd w:val="clear" w:color="auto" w:fill="FFFFFF"/>
            <w:vAlign w:val="center"/>
          </w:tcPr>
          <w:p w14:paraId="3033B840" w14:textId="77777777" w:rsidR="00E22AC0" w:rsidRDefault="00FC56F3">
            <w:pPr>
              <w:pStyle w:val="TableContents"/>
            </w:pPr>
            <w:r>
              <w:t> </w:t>
            </w:r>
          </w:p>
        </w:tc>
        <w:tc>
          <w:tcPr>
            <w:tcW w:w="78" w:type="dxa"/>
            <w:shd w:val="clear" w:color="auto" w:fill="FFFFFF"/>
            <w:vAlign w:val="center"/>
          </w:tcPr>
          <w:p w14:paraId="4B303CE0" w14:textId="77777777" w:rsidR="00E22AC0" w:rsidRDefault="00FC56F3">
            <w:pPr>
              <w:pStyle w:val="TableContents"/>
            </w:pPr>
            <w:r>
              <w:t> </w:t>
            </w:r>
          </w:p>
        </w:tc>
        <w:tc>
          <w:tcPr>
            <w:tcW w:w="1142" w:type="dxa"/>
            <w:shd w:val="clear" w:color="auto" w:fill="FFFFFF"/>
            <w:vAlign w:val="center"/>
          </w:tcPr>
          <w:p w14:paraId="149C3E1C" w14:textId="77777777" w:rsidR="00E22AC0" w:rsidRDefault="00FC56F3">
            <w:pPr>
              <w:pStyle w:val="TableContents"/>
              <w:jc w:val="right"/>
            </w:pPr>
            <w:r>
              <w:t> </w:t>
            </w:r>
          </w:p>
        </w:tc>
        <w:tc>
          <w:tcPr>
            <w:tcW w:w="365" w:type="dxa"/>
            <w:shd w:val="clear" w:color="auto" w:fill="FFFFFF"/>
            <w:vAlign w:val="center"/>
          </w:tcPr>
          <w:p w14:paraId="49077EC1" w14:textId="77777777" w:rsidR="00E22AC0" w:rsidRDefault="00FC56F3">
            <w:pPr>
              <w:pStyle w:val="TableContents"/>
            </w:pPr>
            <w:r>
              <w:t> </w:t>
            </w:r>
          </w:p>
        </w:tc>
        <w:tc>
          <w:tcPr>
            <w:tcW w:w="60" w:type="dxa"/>
            <w:shd w:val="clear" w:color="auto" w:fill="FFFFFF"/>
            <w:vAlign w:val="center"/>
          </w:tcPr>
          <w:p w14:paraId="3F969000" w14:textId="77777777" w:rsidR="00E22AC0" w:rsidRDefault="00FC56F3">
            <w:pPr>
              <w:pStyle w:val="TableContents"/>
            </w:pPr>
            <w:r>
              <w:t> </w:t>
            </w:r>
          </w:p>
        </w:tc>
        <w:tc>
          <w:tcPr>
            <w:tcW w:w="76" w:type="dxa"/>
            <w:shd w:val="clear" w:color="auto" w:fill="FFFFFF"/>
            <w:vAlign w:val="center"/>
          </w:tcPr>
          <w:p w14:paraId="0E1F1A55" w14:textId="77777777" w:rsidR="00E22AC0" w:rsidRDefault="00FC56F3">
            <w:pPr>
              <w:pStyle w:val="TableContents"/>
            </w:pPr>
            <w:r>
              <w:t> </w:t>
            </w:r>
          </w:p>
        </w:tc>
        <w:tc>
          <w:tcPr>
            <w:tcW w:w="1023" w:type="dxa"/>
            <w:shd w:val="clear" w:color="auto" w:fill="FFFFFF"/>
            <w:vAlign w:val="center"/>
          </w:tcPr>
          <w:p w14:paraId="5A41E98C" w14:textId="77777777" w:rsidR="00E22AC0" w:rsidRDefault="00FC56F3">
            <w:pPr>
              <w:pStyle w:val="TableContents"/>
              <w:jc w:val="right"/>
            </w:pPr>
            <w:r>
              <w:t>59,921</w:t>
            </w:r>
          </w:p>
        </w:tc>
        <w:tc>
          <w:tcPr>
            <w:tcW w:w="75" w:type="dxa"/>
            <w:shd w:val="clear" w:color="auto" w:fill="FFFFFF"/>
            <w:vAlign w:val="center"/>
          </w:tcPr>
          <w:p w14:paraId="2DA98251" w14:textId="77777777" w:rsidR="00E22AC0" w:rsidRDefault="00FC56F3">
            <w:pPr>
              <w:pStyle w:val="TableContents"/>
            </w:pPr>
            <w:r>
              <w:t> </w:t>
            </w:r>
          </w:p>
        </w:tc>
      </w:tr>
      <w:tr w:rsidR="00E22AC0" w14:paraId="2D673283" w14:textId="77777777">
        <w:tc>
          <w:tcPr>
            <w:tcW w:w="3440" w:type="dxa"/>
            <w:shd w:val="clear" w:color="auto" w:fill="CCEEFF"/>
            <w:vAlign w:val="center"/>
          </w:tcPr>
          <w:p w14:paraId="23ECD2D8" w14:textId="77777777" w:rsidR="00E22AC0" w:rsidRDefault="00FC56F3">
            <w:pPr>
              <w:pStyle w:val="TableContents"/>
            </w:pPr>
            <w:r>
              <w:t xml:space="preserve">Line of Credit </w:t>
            </w:r>
            <w:r>
              <w:t>(Outstanding)</w:t>
            </w:r>
          </w:p>
        </w:tc>
        <w:tc>
          <w:tcPr>
            <w:tcW w:w="60" w:type="dxa"/>
            <w:shd w:val="clear" w:color="auto" w:fill="CCEEFF"/>
            <w:vAlign w:val="center"/>
          </w:tcPr>
          <w:p w14:paraId="4F617B6A" w14:textId="77777777" w:rsidR="00E22AC0" w:rsidRDefault="00FC56F3">
            <w:pPr>
              <w:pStyle w:val="TableContents"/>
            </w:pPr>
            <w:r>
              <w:t> </w:t>
            </w:r>
          </w:p>
        </w:tc>
        <w:tc>
          <w:tcPr>
            <w:tcW w:w="63" w:type="dxa"/>
            <w:tcBorders>
              <w:bottom w:val="single" w:sz="12" w:space="0" w:color="000000"/>
            </w:tcBorders>
            <w:shd w:val="clear" w:color="auto" w:fill="CCEEFF"/>
            <w:tcMar>
              <w:bottom w:w="28" w:type="dxa"/>
            </w:tcMar>
            <w:vAlign w:val="center"/>
          </w:tcPr>
          <w:p w14:paraId="69C86E44" w14:textId="77777777" w:rsidR="00E22AC0" w:rsidRDefault="00FC56F3">
            <w:pPr>
              <w:pStyle w:val="TableContents"/>
            </w:pPr>
            <w:r>
              <w:t> </w:t>
            </w:r>
          </w:p>
        </w:tc>
        <w:tc>
          <w:tcPr>
            <w:tcW w:w="1036" w:type="dxa"/>
            <w:tcBorders>
              <w:bottom w:val="single" w:sz="12" w:space="0" w:color="000000"/>
            </w:tcBorders>
            <w:shd w:val="clear" w:color="auto" w:fill="CCEEFF"/>
            <w:tcMar>
              <w:bottom w:w="28" w:type="dxa"/>
            </w:tcMar>
            <w:vAlign w:val="center"/>
          </w:tcPr>
          <w:p w14:paraId="493B21F6" w14:textId="77777777" w:rsidR="00E22AC0" w:rsidRDefault="00FC56F3">
            <w:pPr>
              <w:pStyle w:val="TableContents"/>
              <w:jc w:val="right"/>
            </w:pPr>
            <w:r>
              <w:t>-</w:t>
            </w:r>
          </w:p>
        </w:tc>
        <w:tc>
          <w:tcPr>
            <w:tcW w:w="60" w:type="dxa"/>
            <w:shd w:val="clear" w:color="auto" w:fill="CCEEFF"/>
            <w:vAlign w:val="center"/>
          </w:tcPr>
          <w:p w14:paraId="7C92AC7C" w14:textId="77777777" w:rsidR="00E22AC0" w:rsidRDefault="00FC56F3">
            <w:pPr>
              <w:pStyle w:val="TableContents"/>
            </w:pPr>
            <w:r>
              <w:t> </w:t>
            </w:r>
          </w:p>
        </w:tc>
        <w:tc>
          <w:tcPr>
            <w:tcW w:w="60" w:type="dxa"/>
            <w:shd w:val="clear" w:color="auto" w:fill="CCEEFF"/>
            <w:vAlign w:val="center"/>
          </w:tcPr>
          <w:p w14:paraId="21F01440" w14:textId="77777777" w:rsidR="00E22AC0" w:rsidRDefault="00FC56F3">
            <w:pPr>
              <w:pStyle w:val="TableContents"/>
            </w:pPr>
            <w:r>
              <w:t> </w:t>
            </w:r>
          </w:p>
        </w:tc>
        <w:tc>
          <w:tcPr>
            <w:tcW w:w="78" w:type="dxa"/>
            <w:shd w:val="clear" w:color="auto" w:fill="CCEEFF"/>
            <w:vAlign w:val="center"/>
          </w:tcPr>
          <w:p w14:paraId="124590D4" w14:textId="77777777" w:rsidR="00E22AC0" w:rsidRDefault="00FC56F3">
            <w:pPr>
              <w:pStyle w:val="TableContents"/>
            </w:pPr>
            <w:r>
              <w:t> </w:t>
            </w:r>
          </w:p>
        </w:tc>
        <w:tc>
          <w:tcPr>
            <w:tcW w:w="1142" w:type="dxa"/>
            <w:shd w:val="clear" w:color="auto" w:fill="CCEEFF"/>
            <w:vAlign w:val="center"/>
          </w:tcPr>
          <w:p w14:paraId="11D1C3A0" w14:textId="77777777" w:rsidR="00E22AC0" w:rsidRDefault="00FC56F3">
            <w:pPr>
              <w:pStyle w:val="TableContents"/>
              <w:jc w:val="right"/>
            </w:pPr>
            <w:r>
              <w:t> </w:t>
            </w:r>
          </w:p>
        </w:tc>
        <w:tc>
          <w:tcPr>
            <w:tcW w:w="365" w:type="dxa"/>
            <w:shd w:val="clear" w:color="auto" w:fill="CCEEFF"/>
            <w:vAlign w:val="center"/>
          </w:tcPr>
          <w:p w14:paraId="374A83DA" w14:textId="77777777" w:rsidR="00E22AC0" w:rsidRDefault="00FC56F3">
            <w:pPr>
              <w:pStyle w:val="TableContents"/>
            </w:pPr>
            <w:r>
              <w:t> </w:t>
            </w:r>
          </w:p>
        </w:tc>
        <w:tc>
          <w:tcPr>
            <w:tcW w:w="60" w:type="dxa"/>
            <w:shd w:val="clear" w:color="auto" w:fill="CCEEFF"/>
            <w:vAlign w:val="center"/>
          </w:tcPr>
          <w:p w14:paraId="40B11AE9" w14:textId="77777777" w:rsidR="00E22AC0" w:rsidRDefault="00FC56F3">
            <w:pPr>
              <w:pStyle w:val="TableContents"/>
            </w:pPr>
            <w:r>
              <w:t> </w:t>
            </w:r>
          </w:p>
        </w:tc>
        <w:tc>
          <w:tcPr>
            <w:tcW w:w="76" w:type="dxa"/>
            <w:tcBorders>
              <w:bottom w:val="single" w:sz="12" w:space="0" w:color="000000"/>
            </w:tcBorders>
            <w:shd w:val="clear" w:color="auto" w:fill="CCEEFF"/>
            <w:tcMar>
              <w:bottom w:w="28" w:type="dxa"/>
            </w:tcMar>
            <w:vAlign w:val="center"/>
          </w:tcPr>
          <w:p w14:paraId="656238E1" w14:textId="77777777" w:rsidR="00E22AC0" w:rsidRDefault="00FC56F3">
            <w:pPr>
              <w:pStyle w:val="TableContents"/>
            </w:pPr>
            <w:r>
              <w:t> </w:t>
            </w:r>
          </w:p>
        </w:tc>
        <w:tc>
          <w:tcPr>
            <w:tcW w:w="1023" w:type="dxa"/>
            <w:tcBorders>
              <w:bottom w:val="single" w:sz="12" w:space="0" w:color="000000"/>
            </w:tcBorders>
            <w:shd w:val="clear" w:color="auto" w:fill="CCEEFF"/>
            <w:tcMar>
              <w:bottom w:w="28" w:type="dxa"/>
            </w:tcMar>
            <w:vAlign w:val="center"/>
          </w:tcPr>
          <w:p w14:paraId="042D0096" w14:textId="77777777" w:rsidR="00E22AC0" w:rsidRDefault="00FC56F3">
            <w:pPr>
              <w:pStyle w:val="TableContents"/>
              <w:jc w:val="right"/>
            </w:pPr>
            <w:r>
              <w:t>-</w:t>
            </w:r>
          </w:p>
        </w:tc>
        <w:tc>
          <w:tcPr>
            <w:tcW w:w="75" w:type="dxa"/>
            <w:shd w:val="clear" w:color="auto" w:fill="CCEEFF"/>
            <w:vAlign w:val="center"/>
          </w:tcPr>
          <w:p w14:paraId="4D7C1CBC" w14:textId="77777777" w:rsidR="00E22AC0" w:rsidRDefault="00FC56F3">
            <w:pPr>
              <w:pStyle w:val="TableContents"/>
            </w:pPr>
            <w:r>
              <w:t> </w:t>
            </w:r>
          </w:p>
        </w:tc>
      </w:tr>
      <w:tr w:rsidR="00E22AC0" w14:paraId="6772C9E8" w14:textId="77777777">
        <w:tc>
          <w:tcPr>
            <w:tcW w:w="3440" w:type="dxa"/>
            <w:shd w:val="clear" w:color="auto" w:fill="FFFFFF"/>
            <w:vAlign w:val="center"/>
          </w:tcPr>
          <w:p w14:paraId="6B0999BD" w14:textId="77777777" w:rsidR="00E22AC0" w:rsidRDefault="00FC56F3">
            <w:pPr>
              <w:pStyle w:val="TableContents"/>
            </w:pPr>
            <w:r>
              <w:t> </w:t>
            </w:r>
          </w:p>
        </w:tc>
        <w:tc>
          <w:tcPr>
            <w:tcW w:w="60" w:type="dxa"/>
            <w:shd w:val="clear" w:color="auto" w:fill="FFFFFF"/>
            <w:vAlign w:val="center"/>
          </w:tcPr>
          <w:p w14:paraId="6A5BD2CE" w14:textId="77777777" w:rsidR="00E22AC0" w:rsidRDefault="00FC56F3">
            <w:pPr>
              <w:pStyle w:val="TableContents"/>
            </w:pPr>
            <w:r>
              <w:t> </w:t>
            </w:r>
          </w:p>
        </w:tc>
        <w:tc>
          <w:tcPr>
            <w:tcW w:w="63" w:type="dxa"/>
            <w:shd w:val="clear" w:color="auto" w:fill="FFFFFF"/>
            <w:vAlign w:val="center"/>
          </w:tcPr>
          <w:p w14:paraId="5FB31F72" w14:textId="77777777" w:rsidR="00E22AC0" w:rsidRDefault="00FC56F3">
            <w:pPr>
              <w:pStyle w:val="TableContents"/>
            </w:pPr>
            <w:r>
              <w:t> </w:t>
            </w:r>
          </w:p>
        </w:tc>
        <w:tc>
          <w:tcPr>
            <w:tcW w:w="1036" w:type="dxa"/>
            <w:shd w:val="clear" w:color="auto" w:fill="FFFFFF"/>
            <w:vAlign w:val="center"/>
          </w:tcPr>
          <w:p w14:paraId="75CA46DB" w14:textId="77777777" w:rsidR="00E22AC0" w:rsidRDefault="00FC56F3">
            <w:pPr>
              <w:pStyle w:val="TableContents"/>
              <w:jc w:val="right"/>
            </w:pPr>
            <w:r>
              <w:t> </w:t>
            </w:r>
          </w:p>
        </w:tc>
        <w:tc>
          <w:tcPr>
            <w:tcW w:w="60" w:type="dxa"/>
            <w:shd w:val="clear" w:color="auto" w:fill="FFFFFF"/>
            <w:vAlign w:val="center"/>
          </w:tcPr>
          <w:p w14:paraId="6C0D35B8" w14:textId="77777777" w:rsidR="00E22AC0" w:rsidRDefault="00FC56F3">
            <w:pPr>
              <w:pStyle w:val="TableContents"/>
            </w:pPr>
            <w:r>
              <w:t> </w:t>
            </w:r>
          </w:p>
        </w:tc>
        <w:tc>
          <w:tcPr>
            <w:tcW w:w="60" w:type="dxa"/>
            <w:shd w:val="clear" w:color="auto" w:fill="FFFFFF"/>
            <w:vAlign w:val="center"/>
          </w:tcPr>
          <w:p w14:paraId="51D2BEEA" w14:textId="77777777" w:rsidR="00E22AC0" w:rsidRDefault="00FC56F3">
            <w:pPr>
              <w:pStyle w:val="TableContents"/>
            </w:pPr>
            <w:r>
              <w:t> </w:t>
            </w:r>
          </w:p>
        </w:tc>
        <w:tc>
          <w:tcPr>
            <w:tcW w:w="78" w:type="dxa"/>
            <w:shd w:val="clear" w:color="auto" w:fill="FFFFFF"/>
            <w:vAlign w:val="center"/>
          </w:tcPr>
          <w:p w14:paraId="1CF30694" w14:textId="77777777" w:rsidR="00E22AC0" w:rsidRDefault="00FC56F3">
            <w:pPr>
              <w:pStyle w:val="TableContents"/>
            </w:pPr>
            <w:r>
              <w:t> </w:t>
            </w:r>
          </w:p>
        </w:tc>
        <w:tc>
          <w:tcPr>
            <w:tcW w:w="1142" w:type="dxa"/>
            <w:shd w:val="clear" w:color="auto" w:fill="FFFFFF"/>
            <w:vAlign w:val="center"/>
          </w:tcPr>
          <w:p w14:paraId="32502100" w14:textId="77777777" w:rsidR="00E22AC0" w:rsidRDefault="00FC56F3">
            <w:pPr>
              <w:pStyle w:val="TableContents"/>
              <w:jc w:val="right"/>
            </w:pPr>
            <w:r>
              <w:t> </w:t>
            </w:r>
          </w:p>
        </w:tc>
        <w:tc>
          <w:tcPr>
            <w:tcW w:w="365" w:type="dxa"/>
            <w:shd w:val="clear" w:color="auto" w:fill="FFFFFF"/>
            <w:vAlign w:val="center"/>
          </w:tcPr>
          <w:p w14:paraId="470ED08C" w14:textId="77777777" w:rsidR="00E22AC0" w:rsidRDefault="00FC56F3">
            <w:pPr>
              <w:pStyle w:val="TableContents"/>
            </w:pPr>
            <w:r>
              <w:t> </w:t>
            </w:r>
          </w:p>
        </w:tc>
        <w:tc>
          <w:tcPr>
            <w:tcW w:w="60" w:type="dxa"/>
            <w:shd w:val="clear" w:color="auto" w:fill="FFFFFF"/>
            <w:vAlign w:val="center"/>
          </w:tcPr>
          <w:p w14:paraId="1E6352A5" w14:textId="77777777" w:rsidR="00E22AC0" w:rsidRDefault="00FC56F3">
            <w:pPr>
              <w:pStyle w:val="TableContents"/>
            </w:pPr>
            <w:r>
              <w:t> </w:t>
            </w:r>
          </w:p>
        </w:tc>
        <w:tc>
          <w:tcPr>
            <w:tcW w:w="76" w:type="dxa"/>
            <w:shd w:val="clear" w:color="auto" w:fill="FFFFFF"/>
            <w:vAlign w:val="center"/>
          </w:tcPr>
          <w:p w14:paraId="636637DD" w14:textId="77777777" w:rsidR="00E22AC0" w:rsidRDefault="00FC56F3">
            <w:pPr>
              <w:pStyle w:val="TableContents"/>
            </w:pPr>
            <w:r>
              <w:t> </w:t>
            </w:r>
          </w:p>
        </w:tc>
        <w:tc>
          <w:tcPr>
            <w:tcW w:w="1023" w:type="dxa"/>
            <w:shd w:val="clear" w:color="auto" w:fill="FFFFFF"/>
            <w:vAlign w:val="center"/>
          </w:tcPr>
          <w:p w14:paraId="637A14C4" w14:textId="77777777" w:rsidR="00E22AC0" w:rsidRDefault="00FC56F3">
            <w:pPr>
              <w:pStyle w:val="TableContents"/>
              <w:jc w:val="right"/>
            </w:pPr>
            <w:r>
              <w:t> </w:t>
            </w:r>
          </w:p>
        </w:tc>
        <w:tc>
          <w:tcPr>
            <w:tcW w:w="75" w:type="dxa"/>
            <w:shd w:val="clear" w:color="auto" w:fill="FFFFFF"/>
            <w:vAlign w:val="center"/>
          </w:tcPr>
          <w:p w14:paraId="5D7B8A3A" w14:textId="77777777" w:rsidR="00E22AC0" w:rsidRDefault="00FC56F3">
            <w:pPr>
              <w:pStyle w:val="TableContents"/>
            </w:pPr>
            <w:r>
              <w:t> </w:t>
            </w:r>
          </w:p>
        </w:tc>
      </w:tr>
      <w:tr w:rsidR="00E22AC0" w14:paraId="379D622A" w14:textId="77777777">
        <w:tc>
          <w:tcPr>
            <w:tcW w:w="3440" w:type="dxa"/>
            <w:shd w:val="clear" w:color="auto" w:fill="CCEEFF"/>
            <w:vAlign w:val="center"/>
          </w:tcPr>
          <w:p w14:paraId="39B8A645" w14:textId="77777777" w:rsidR="00E22AC0" w:rsidRDefault="00FC56F3">
            <w:pPr>
              <w:pStyle w:val="TableContents"/>
              <w:rPr>
                <w:i/>
              </w:rPr>
            </w:pPr>
            <w:r>
              <w:rPr>
                <w:i/>
              </w:rPr>
              <w:t>Total Current Liabilities</w:t>
            </w:r>
          </w:p>
        </w:tc>
        <w:tc>
          <w:tcPr>
            <w:tcW w:w="60" w:type="dxa"/>
            <w:shd w:val="clear" w:color="auto" w:fill="CCEEFF"/>
            <w:vAlign w:val="center"/>
          </w:tcPr>
          <w:p w14:paraId="7BCF6880" w14:textId="77777777" w:rsidR="00E22AC0" w:rsidRDefault="00FC56F3">
            <w:pPr>
              <w:pStyle w:val="TableContents"/>
            </w:pPr>
            <w:r>
              <w:t> </w:t>
            </w:r>
          </w:p>
        </w:tc>
        <w:tc>
          <w:tcPr>
            <w:tcW w:w="63" w:type="dxa"/>
            <w:tcBorders>
              <w:bottom w:val="single" w:sz="12" w:space="0" w:color="000000"/>
            </w:tcBorders>
            <w:shd w:val="clear" w:color="auto" w:fill="CCEEFF"/>
            <w:tcMar>
              <w:bottom w:w="28" w:type="dxa"/>
            </w:tcMar>
            <w:vAlign w:val="center"/>
          </w:tcPr>
          <w:p w14:paraId="5EE8E29F" w14:textId="77777777" w:rsidR="00E22AC0" w:rsidRDefault="00FC56F3">
            <w:pPr>
              <w:pStyle w:val="TableContents"/>
            </w:pPr>
            <w:r>
              <w:t> </w:t>
            </w:r>
          </w:p>
        </w:tc>
        <w:tc>
          <w:tcPr>
            <w:tcW w:w="1036" w:type="dxa"/>
            <w:tcBorders>
              <w:bottom w:val="single" w:sz="12" w:space="0" w:color="000000"/>
            </w:tcBorders>
            <w:shd w:val="clear" w:color="auto" w:fill="CCEEFF"/>
            <w:tcMar>
              <w:bottom w:w="28" w:type="dxa"/>
            </w:tcMar>
            <w:vAlign w:val="center"/>
          </w:tcPr>
          <w:p w14:paraId="274ACBCC" w14:textId="77777777" w:rsidR="00E22AC0" w:rsidRDefault="00FC56F3">
            <w:pPr>
              <w:pStyle w:val="TableContents"/>
              <w:jc w:val="right"/>
              <w:rPr>
                <w:i/>
              </w:rPr>
            </w:pPr>
            <w:r>
              <w:rPr>
                <w:i/>
              </w:rPr>
              <w:t>279,339</w:t>
            </w:r>
          </w:p>
        </w:tc>
        <w:tc>
          <w:tcPr>
            <w:tcW w:w="60" w:type="dxa"/>
            <w:shd w:val="clear" w:color="auto" w:fill="CCEEFF"/>
            <w:vAlign w:val="center"/>
          </w:tcPr>
          <w:p w14:paraId="7B79295F" w14:textId="77777777" w:rsidR="00E22AC0" w:rsidRDefault="00FC56F3">
            <w:pPr>
              <w:pStyle w:val="TableContents"/>
            </w:pPr>
            <w:r>
              <w:t> </w:t>
            </w:r>
          </w:p>
        </w:tc>
        <w:tc>
          <w:tcPr>
            <w:tcW w:w="60" w:type="dxa"/>
            <w:shd w:val="clear" w:color="auto" w:fill="CCEEFF"/>
            <w:vAlign w:val="center"/>
          </w:tcPr>
          <w:p w14:paraId="723520AA" w14:textId="77777777" w:rsidR="00E22AC0" w:rsidRDefault="00FC56F3">
            <w:pPr>
              <w:pStyle w:val="TableContents"/>
            </w:pPr>
            <w:r>
              <w:t> </w:t>
            </w:r>
          </w:p>
        </w:tc>
        <w:tc>
          <w:tcPr>
            <w:tcW w:w="78" w:type="dxa"/>
            <w:shd w:val="clear" w:color="auto" w:fill="CCEEFF"/>
            <w:vAlign w:val="center"/>
          </w:tcPr>
          <w:p w14:paraId="7B32FD09" w14:textId="77777777" w:rsidR="00E22AC0" w:rsidRDefault="00FC56F3">
            <w:pPr>
              <w:pStyle w:val="TableContents"/>
            </w:pPr>
            <w:r>
              <w:t> </w:t>
            </w:r>
          </w:p>
        </w:tc>
        <w:tc>
          <w:tcPr>
            <w:tcW w:w="1142" w:type="dxa"/>
            <w:shd w:val="clear" w:color="auto" w:fill="CCEEFF"/>
            <w:vAlign w:val="center"/>
          </w:tcPr>
          <w:p w14:paraId="6E223608" w14:textId="77777777" w:rsidR="00E22AC0" w:rsidRDefault="00FC56F3">
            <w:pPr>
              <w:pStyle w:val="TableContents"/>
              <w:jc w:val="right"/>
            </w:pPr>
            <w:r>
              <w:t> </w:t>
            </w:r>
          </w:p>
        </w:tc>
        <w:tc>
          <w:tcPr>
            <w:tcW w:w="365" w:type="dxa"/>
            <w:shd w:val="clear" w:color="auto" w:fill="CCEEFF"/>
            <w:vAlign w:val="center"/>
          </w:tcPr>
          <w:p w14:paraId="317FC32C" w14:textId="77777777" w:rsidR="00E22AC0" w:rsidRDefault="00FC56F3">
            <w:pPr>
              <w:pStyle w:val="TableContents"/>
            </w:pPr>
            <w:r>
              <w:t> </w:t>
            </w:r>
          </w:p>
        </w:tc>
        <w:tc>
          <w:tcPr>
            <w:tcW w:w="60" w:type="dxa"/>
            <w:shd w:val="clear" w:color="auto" w:fill="CCEEFF"/>
            <w:vAlign w:val="center"/>
          </w:tcPr>
          <w:p w14:paraId="0D6F48FA" w14:textId="77777777" w:rsidR="00E22AC0" w:rsidRDefault="00FC56F3">
            <w:pPr>
              <w:pStyle w:val="TableContents"/>
            </w:pPr>
            <w:r>
              <w:t> </w:t>
            </w:r>
          </w:p>
        </w:tc>
        <w:tc>
          <w:tcPr>
            <w:tcW w:w="76" w:type="dxa"/>
            <w:tcBorders>
              <w:bottom w:val="single" w:sz="12" w:space="0" w:color="000000"/>
            </w:tcBorders>
            <w:shd w:val="clear" w:color="auto" w:fill="CCEEFF"/>
            <w:tcMar>
              <w:bottom w:w="28" w:type="dxa"/>
            </w:tcMar>
            <w:vAlign w:val="center"/>
          </w:tcPr>
          <w:p w14:paraId="014F5812" w14:textId="77777777" w:rsidR="00E22AC0" w:rsidRDefault="00FC56F3">
            <w:pPr>
              <w:pStyle w:val="TableContents"/>
            </w:pPr>
            <w:r>
              <w:t> </w:t>
            </w:r>
          </w:p>
        </w:tc>
        <w:tc>
          <w:tcPr>
            <w:tcW w:w="1023" w:type="dxa"/>
            <w:tcBorders>
              <w:bottom w:val="single" w:sz="12" w:space="0" w:color="000000"/>
            </w:tcBorders>
            <w:shd w:val="clear" w:color="auto" w:fill="CCEEFF"/>
            <w:tcMar>
              <w:bottom w:w="28" w:type="dxa"/>
            </w:tcMar>
            <w:vAlign w:val="center"/>
          </w:tcPr>
          <w:p w14:paraId="5BF25552" w14:textId="77777777" w:rsidR="00E22AC0" w:rsidRDefault="00FC56F3">
            <w:pPr>
              <w:pStyle w:val="TableContents"/>
              <w:jc w:val="right"/>
              <w:rPr>
                <w:i/>
              </w:rPr>
            </w:pPr>
            <w:r>
              <w:rPr>
                <w:i/>
              </w:rPr>
              <w:t>279,339</w:t>
            </w:r>
          </w:p>
        </w:tc>
        <w:tc>
          <w:tcPr>
            <w:tcW w:w="75" w:type="dxa"/>
            <w:shd w:val="clear" w:color="auto" w:fill="CCEEFF"/>
            <w:vAlign w:val="center"/>
          </w:tcPr>
          <w:p w14:paraId="7AC02020" w14:textId="77777777" w:rsidR="00E22AC0" w:rsidRDefault="00FC56F3">
            <w:pPr>
              <w:pStyle w:val="TableContents"/>
            </w:pPr>
            <w:r>
              <w:t> </w:t>
            </w:r>
          </w:p>
        </w:tc>
      </w:tr>
      <w:tr w:rsidR="00E22AC0" w14:paraId="11D24A32" w14:textId="77777777">
        <w:tc>
          <w:tcPr>
            <w:tcW w:w="3440" w:type="dxa"/>
            <w:shd w:val="clear" w:color="auto" w:fill="FFFFFF"/>
            <w:vAlign w:val="center"/>
          </w:tcPr>
          <w:p w14:paraId="2BCBA686" w14:textId="77777777" w:rsidR="00E22AC0" w:rsidRDefault="00FC56F3">
            <w:pPr>
              <w:pStyle w:val="TableContents"/>
            </w:pPr>
            <w:r>
              <w:t> </w:t>
            </w:r>
          </w:p>
        </w:tc>
        <w:tc>
          <w:tcPr>
            <w:tcW w:w="60" w:type="dxa"/>
            <w:shd w:val="clear" w:color="auto" w:fill="FFFFFF"/>
            <w:vAlign w:val="center"/>
          </w:tcPr>
          <w:p w14:paraId="3EC01E2C" w14:textId="77777777" w:rsidR="00E22AC0" w:rsidRDefault="00FC56F3">
            <w:pPr>
              <w:pStyle w:val="TableContents"/>
            </w:pPr>
            <w:r>
              <w:t> </w:t>
            </w:r>
          </w:p>
        </w:tc>
        <w:tc>
          <w:tcPr>
            <w:tcW w:w="63" w:type="dxa"/>
            <w:shd w:val="clear" w:color="auto" w:fill="FFFFFF"/>
            <w:vAlign w:val="center"/>
          </w:tcPr>
          <w:p w14:paraId="6B52605D" w14:textId="77777777" w:rsidR="00E22AC0" w:rsidRDefault="00FC56F3">
            <w:pPr>
              <w:pStyle w:val="TableContents"/>
            </w:pPr>
            <w:r>
              <w:t> </w:t>
            </w:r>
          </w:p>
        </w:tc>
        <w:tc>
          <w:tcPr>
            <w:tcW w:w="1036" w:type="dxa"/>
            <w:shd w:val="clear" w:color="auto" w:fill="FFFFFF"/>
            <w:vAlign w:val="center"/>
          </w:tcPr>
          <w:p w14:paraId="5247BC95" w14:textId="77777777" w:rsidR="00E22AC0" w:rsidRDefault="00FC56F3">
            <w:pPr>
              <w:pStyle w:val="TableContents"/>
              <w:jc w:val="right"/>
            </w:pPr>
            <w:r>
              <w:t> </w:t>
            </w:r>
          </w:p>
        </w:tc>
        <w:tc>
          <w:tcPr>
            <w:tcW w:w="60" w:type="dxa"/>
            <w:shd w:val="clear" w:color="auto" w:fill="FFFFFF"/>
            <w:vAlign w:val="center"/>
          </w:tcPr>
          <w:p w14:paraId="251A7014" w14:textId="77777777" w:rsidR="00E22AC0" w:rsidRDefault="00FC56F3">
            <w:pPr>
              <w:pStyle w:val="TableContents"/>
            </w:pPr>
            <w:r>
              <w:t> </w:t>
            </w:r>
          </w:p>
        </w:tc>
        <w:tc>
          <w:tcPr>
            <w:tcW w:w="60" w:type="dxa"/>
            <w:shd w:val="clear" w:color="auto" w:fill="FFFFFF"/>
            <w:vAlign w:val="center"/>
          </w:tcPr>
          <w:p w14:paraId="024A81D7" w14:textId="77777777" w:rsidR="00E22AC0" w:rsidRDefault="00FC56F3">
            <w:pPr>
              <w:pStyle w:val="TableContents"/>
            </w:pPr>
            <w:r>
              <w:t> </w:t>
            </w:r>
          </w:p>
        </w:tc>
        <w:tc>
          <w:tcPr>
            <w:tcW w:w="78" w:type="dxa"/>
            <w:shd w:val="clear" w:color="auto" w:fill="FFFFFF"/>
            <w:vAlign w:val="center"/>
          </w:tcPr>
          <w:p w14:paraId="7F63CF06" w14:textId="77777777" w:rsidR="00E22AC0" w:rsidRDefault="00FC56F3">
            <w:pPr>
              <w:pStyle w:val="TableContents"/>
            </w:pPr>
            <w:r>
              <w:t> </w:t>
            </w:r>
          </w:p>
        </w:tc>
        <w:tc>
          <w:tcPr>
            <w:tcW w:w="1142" w:type="dxa"/>
            <w:shd w:val="clear" w:color="auto" w:fill="FFFFFF"/>
            <w:vAlign w:val="center"/>
          </w:tcPr>
          <w:p w14:paraId="330A02AF" w14:textId="77777777" w:rsidR="00E22AC0" w:rsidRDefault="00FC56F3">
            <w:pPr>
              <w:pStyle w:val="TableContents"/>
              <w:jc w:val="right"/>
            </w:pPr>
            <w:r>
              <w:t> </w:t>
            </w:r>
          </w:p>
        </w:tc>
        <w:tc>
          <w:tcPr>
            <w:tcW w:w="365" w:type="dxa"/>
            <w:shd w:val="clear" w:color="auto" w:fill="FFFFFF"/>
            <w:vAlign w:val="center"/>
          </w:tcPr>
          <w:p w14:paraId="2215B48A" w14:textId="77777777" w:rsidR="00E22AC0" w:rsidRDefault="00FC56F3">
            <w:pPr>
              <w:pStyle w:val="TableContents"/>
            </w:pPr>
            <w:r>
              <w:t> </w:t>
            </w:r>
          </w:p>
        </w:tc>
        <w:tc>
          <w:tcPr>
            <w:tcW w:w="60" w:type="dxa"/>
            <w:shd w:val="clear" w:color="auto" w:fill="FFFFFF"/>
            <w:vAlign w:val="center"/>
          </w:tcPr>
          <w:p w14:paraId="35BBD81E" w14:textId="77777777" w:rsidR="00E22AC0" w:rsidRDefault="00FC56F3">
            <w:pPr>
              <w:pStyle w:val="TableContents"/>
            </w:pPr>
            <w:r>
              <w:t> </w:t>
            </w:r>
          </w:p>
        </w:tc>
        <w:tc>
          <w:tcPr>
            <w:tcW w:w="76" w:type="dxa"/>
            <w:shd w:val="clear" w:color="auto" w:fill="FFFFFF"/>
            <w:vAlign w:val="center"/>
          </w:tcPr>
          <w:p w14:paraId="025EC368" w14:textId="77777777" w:rsidR="00E22AC0" w:rsidRDefault="00FC56F3">
            <w:pPr>
              <w:pStyle w:val="TableContents"/>
            </w:pPr>
            <w:r>
              <w:t> </w:t>
            </w:r>
          </w:p>
        </w:tc>
        <w:tc>
          <w:tcPr>
            <w:tcW w:w="1023" w:type="dxa"/>
            <w:shd w:val="clear" w:color="auto" w:fill="FFFFFF"/>
            <w:vAlign w:val="center"/>
          </w:tcPr>
          <w:p w14:paraId="087B0B5B" w14:textId="77777777" w:rsidR="00E22AC0" w:rsidRDefault="00FC56F3">
            <w:pPr>
              <w:pStyle w:val="TableContents"/>
              <w:jc w:val="right"/>
            </w:pPr>
            <w:r>
              <w:t> </w:t>
            </w:r>
          </w:p>
        </w:tc>
        <w:tc>
          <w:tcPr>
            <w:tcW w:w="75" w:type="dxa"/>
            <w:shd w:val="clear" w:color="auto" w:fill="FFFFFF"/>
            <w:vAlign w:val="center"/>
          </w:tcPr>
          <w:p w14:paraId="736F59BB" w14:textId="77777777" w:rsidR="00E22AC0" w:rsidRDefault="00FC56F3">
            <w:pPr>
              <w:pStyle w:val="TableContents"/>
            </w:pPr>
            <w:r>
              <w:t> </w:t>
            </w:r>
          </w:p>
        </w:tc>
      </w:tr>
      <w:tr w:rsidR="00E22AC0" w14:paraId="38EFDB21" w14:textId="77777777">
        <w:tc>
          <w:tcPr>
            <w:tcW w:w="3440" w:type="dxa"/>
            <w:shd w:val="clear" w:color="auto" w:fill="CCEEFF"/>
            <w:vAlign w:val="center"/>
          </w:tcPr>
          <w:p w14:paraId="4B7520AD" w14:textId="77777777" w:rsidR="00E22AC0" w:rsidRDefault="00FC56F3">
            <w:pPr>
              <w:pStyle w:val="TableContents"/>
            </w:pPr>
            <w:r>
              <w:t>Net Working Capital</w:t>
            </w:r>
          </w:p>
        </w:tc>
        <w:tc>
          <w:tcPr>
            <w:tcW w:w="60" w:type="dxa"/>
            <w:shd w:val="clear" w:color="auto" w:fill="CCEEFF"/>
            <w:vAlign w:val="center"/>
          </w:tcPr>
          <w:p w14:paraId="677375BF" w14:textId="77777777" w:rsidR="00E22AC0" w:rsidRDefault="00FC56F3">
            <w:pPr>
              <w:pStyle w:val="TableContents"/>
            </w:pPr>
            <w:r>
              <w:t> </w:t>
            </w:r>
          </w:p>
        </w:tc>
        <w:tc>
          <w:tcPr>
            <w:tcW w:w="63" w:type="dxa"/>
            <w:tcBorders>
              <w:bottom w:val="double" w:sz="10" w:space="0" w:color="000000"/>
            </w:tcBorders>
            <w:shd w:val="clear" w:color="auto" w:fill="CCEEFF"/>
            <w:tcMar>
              <w:bottom w:w="28" w:type="dxa"/>
            </w:tcMar>
            <w:vAlign w:val="center"/>
          </w:tcPr>
          <w:p w14:paraId="5379059D" w14:textId="77777777" w:rsidR="00E22AC0" w:rsidRDefault="00FC56F3">
            <w:pPr>
              <w:pStyle w:val="TableContents"/>
            </w:pPr>
            <w:r>
              <w:t> </w:t>
            </w:r>
          </w:p>
        </w:tc>
        <w:tc>
          <w:tcPr>
            <w:tcW w:w="1036" w:type="dxa"/>
            <w:tcBorders>
              <w:bottom w:val="double" w:sz="10" w:space="0" w:color="000000"/>
            </w:tcBorders>
            <w:shd w:val="clear" w:color="auto" w:fill="CCEEFF"/>
            <w:tcMar>
              <w:bottom w:w="28" w:type="dxa"/>
            </w:tcMar>
            <w:vAlign w:val="center"/>
          </w:tcPr>
          <w:p w14:paraId="64D94115" w14:textId="77777777" w:rsidR="00E22AC0" w:rsidRDefault="00FC56F3">
            <w:pPr>
              <w:pStyle w:val="TableContents"/>
              <w:jc w:val="right"/>
            </w:pPr>
            <w:r>
              <w:t>774,243</w:t>
            </w:r>
          </w:p>
        </w:tc>
        <w:tc>
          <w:tcPr>
            <w:tcW w:w="60" w:type="dxa"/>
            <w:shd w:val="clear" w:color="auto" w:fill="CCEEFF"/>
            <w:vAlign w:val="center"/>
          </w:tcPr>
          <w:p w14:paraId="7DA2B5CA" w14:textId="77777777" w:rsidR="00E22AC0" w:rsidRDefault="00FC56F3">
            <w:pPr>
              <w:pStyle w:val="TableContents"/>
            </w:pPr>
            <w:r>
              <w:t> </w:t>
            </w:r>
          </w:p>
        </w:tc>
        <w:tc>
          <w:tcPr>
            <w:tcW w:w="60" w:type="dxa"/>
            <w:shd w:val="clear" w:color="auto" w:fill="CCEEFF"/>
            <w:vAlign w:val="center"/>
          </w:tcPr>
          <w:p w14:paraId="66250D8D" w14:textId="77777777" w:rsidR="00E22AC0" w:rsidRDefault="00FC56F3">
            <w:pPr>
              <w:pStyle w:val="TableContents"/>
            </w:pPr>
            <w:r>
              <w:t> </w:t>
            </w:r>
          </w:p>
        </w:tc>
        <w:tc>
          <w:tcPr>
            <w:tcW w:w="78" w:type="dxa"/>
            <w:shd w:val="clear" w:color="auto" w:fill="CCEEFF"/>
            <w:vAlign w:val="center"/>
          </w:tcPr>
          <w:p w14:paraId="3685CE23" w14:textId="77777777" w:rsidR="00E22AC0" w:rsidRDefault="00FC56F3">
            <w:pPr>
              <w:pStyle w:val="TableContents"/>
            </w:pPr>
            <w:r>
              <w:t> </w:t>
            </w:r>
          </w:p>
        </w:tc>
        <w:tc>
          <w:tcPr>
            <w:tcW w:w="1142" w:type="dxa"/>
            <w:shd w:val="clear" w:color="auto" w:fill="CCEEFF"/>
            <w:vAlign w:val="center"/>
          </w:tcPr>
          <w:p w14:paraId="4641EE7B" w14:textId="77777777" w:rsidR="00E22AC0" w:rsidRDefault="00FC56F3">
            <w:pPr>
              <w:pStyle w:val="TableContents"/>
              <w:jc w:val="right"/>
            </w:pPr>
            <w:r>
              <w:t>(451,758</w:t>
            </w:r>
          </w:p>
        </w:tc>
        <w:tc>
          <w:tcPr>
            <w:tcW w:w="365" w:type="dxa"/>
            <w:shd w:val="clear" w:color="auto" w:fill="CCEEFF"/>
            <w:vAlign w:val="center"/>
          </w:tcPr>
          <w:p w14:paraId="6A66AF63" w14:textId="77777777" w:rsidR="00E22AC0" w:rsidRDefault="00FC56F3">
            <w:pPr>
              <w:pStyle w:val="TableContents"/>
            </w:pPr>
            <w:proofErr w:type="gramStart"/>
            <w:r>
              <w:t>)(</w:t>
            </w:r>
            <w:proofErr w:type="gramEnd"/>
            <w:r>
              <w:t>1)</w:t>
            </w:r>
          </w:p>
        </w:tc>
        <w:tc>
          <w:tcPr>
            <w:tcW w:w="60" w:type="dxa"/>
            <w:shd w:val="clear" w:color="auto" w:fill="CCEEFF"/>
            <w:vAlign w:val="center"/>
          </w:tcPr>
          <w:p w14:paraId="0063467B" w14:textId="77777777" w:rsidR="00E22AC0" w:rsidRDefault="00FC56F3">
            <w:pPr>
              <w:pStyle w:val="TableContents"/>
            </w:pPr>
            <w:r>
              <w:t> </w:t>
            </w:r>
          </w:p>
        </w:tc>
        <w:tc>
          <w:tcPr>
            <w:tcW w:w="76" w:type="dxa"/>
            <w:tcBorders>
              <w:bottom w:val="double" w:sz="10" w:space="0" w:color="000000"/>
            </w:tcBorders>
            <w:shd w:val="clear" w:color="auto" w:fill="CCEEFF"/>
            <w:tcMar>
              <w:bottom w:w="28" w:type="dxa"/>
            </w:tcMar>
            <w:vAlign w:val="center"/>
          </w:tcPr>
          <w:p w14:paraId="7B93842B" w14:textId="77777777" w:rsidR="00E22AC0" w:rsidRDefault="00FC56F3">
            <w:pPr>
              <w:pStyle w:val="TableContents"/>
            </w:pPr>
            <w:r>
              <w:t> </w:t>
            </w:r>
          </w:p>
        </w:tc>
        <w:tc>
          <w:tcPr>
            <w:tcW w:w="1023" w:type="dxa"/>
            <w:tcBorders>
              <w:bottom w:val="double" w:sz="10" w:space="0" w:color="000000"/>
            </w:tcBorders>
            <w:shd w:val="clear" w:color="auto" w:fill="CCEEFF"/>
            <w:tcMar>
              <w:bottom w:w="28" w:type="dxa"/>
            </w:tcMar>
            <w:vAlign w:val="center"/>
          </w:tcPr>
          <w:p w14:paraId="65425B42" w14:textId="77777777" w:rsidR="00E22AC0" w:rsidRDefault="00FC56F3">
            <w:pPr>
              <w:pStyle w:val="TableContents"/>
              <w:jc w:val="right"/>
            </w:pPr>
            <w:r>
              <w:t>322,485</w:t>
            </w:r>
          </w:p>
        </w:tc>
        <w:tc>
          <w:tcPr>
            <w:tcW w:w="75" w:type="dxa"/>
            <w:shd w:val="clear" w:color="auto" w:fill="CCEEFF"/>
            <w:vAlign w:val="center"/>
          </w:tcPr>
          <w:p w14:paraId="3DB3E1F2" w14:textId="77777777" w:rsidR="00E22AC0" w:rsidRDefault="00FC56F3">
            <w:pPr>
              <w:pStyle w:val="TableContents"/>
            </w:pPr>
            <w:r>
              <w:t> </w:t>
            </w:r>
          </w:p>
        </w:tc>
      </w:tr>
    </w:tbl>
    <w:p w14:paraId="64B64F23" w14:textId="77777777" w:rsidR="00E22AC0" w:rsidRDefault="00FC56F3">
      <w:pPr>
        <w:pStyle w:val="a3"/>
        <w:spacing w:after="0"/>
      </w:pPr>
      <w:r>
        <w:t> </w:t>
      </w:r>
    </w:p>
    <w:tbl>
      <w:tblPr>
        <w:tblW w:w="10205" w:type="dxa"/>
        <w:tblCellMar>
          <w:left w:w="0" w:type="dxa"/>
          <w:right w:w="0" w:type="dxa"/>
        </w:tblCellMar>
        <w:tblLook w:val="0000" w:firstRow="0" w:lastRow="0" w:firstColumn="0" w:lastColumn="0" w:noHBand="0" w:noVBand="0"/>
      </w:tblPr>
      <w:tblGrid>
        <w:gridCol w:w="38"/>
        <w:gridCol w:w="280"/>
        <w:gridCol w:w="9887"/>
      </w:tblGrid>
      <w:tr w:rsidR="00E22AC0" w14:paraId="523C8436" w14:textId="77777777">
        <w:tc>
          <w:tcPr>
            <w:tcW w:w="38" w:type="dxa"/>
            <w:vAlign w:val="center"/>
          </w:tcPr>
          <w:p w14:paraId="4106DCDD" w14:textId="77777777" w:rsidR="00E22AC0" w:rsidRDefault="00E22AC0">
            <w:pPr>
              <w:pStyle w:val="TableContents"/>
              <w:rPr>
                <w:sz w:val="4"/>
                <w:szCs w:val="4"/>
              </w:rPr>
            </w:pPr>
          </w:p>
        </w:tc>
        <w:tc>
          <w:tcPr>
            <w:tcW w:w="244" w:type="dxa"/>
            <w:vAlign w:val="center"/>
          </w:tcPr>
          <w:p w14:paraId="3F53DA62" w14:textId="77777777" w:rsidR="00E22AC0" w:rsidRDefault="00FC56F3">
            <w:pPr>
              <w:pStyle w:val="TableContents"/>
            </w:pPr>
            <w:r>
              <w:t>(1)</w:t>
            </w:r>
          </w:p>
        </w:tc>
        <w:tc>
          <w:tcPr>
            <w:tcW w:w="9923" w:type="dxa"/>
            <w:vAlign w:val="center"/>
          </w:tcPr>
          <w:p w14:paraId="0EEDC21D" w14:textId="77777777" w:rsidR="00E22AC0" w:rsidRDefault="00FC56F3">
            <w:pPr>
              <w:pStyle w:val="TableContents"/>
              <w:jc w:val="both"/>
            </w:pPr>
            <w:r>
              <w:t xml:space="preserve">- Adjustment to pay </w:t>
            </w:r>
            <w:r>
              <w:t>excess cash to Sellers and leave minimum of $91,000 on hand to cover initial expenses after closing. Seller will pay their portion of the transactional costs of the Acquisition thru the Company effective on or before the closing date.</w:t>
            </w:r>
          </w:p>
        </w:tc>
      </w:tr>
    </w:tbl>
    <w:p w14:paraId="76A8F5DD" w14:textId="77777777" w:rsidR="00E22AC0" w:rsidRDefault="00FC56F3">
      <w:pPr>
        <w:pStyle w:val="a3"/>
        <w:spacing w:after="0"/>
      </w:pPr>
      <w:r>
        <w:t> </w:t>
      </w:r>
    </w:p>
    <w:p w14:paraId="4AED0EDA"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Final Working Cabi</w:t>
      </w:r>
      <w:r>
        <w:rPr>
          <w:rFonts w:ascii="Times New Roman;Times;Serif" w:hAnsi="Times New Roman;Times;Serif"/>
          <w:b/>
          <w:sz w:val="20"/>
        </w:rPr>
        <w:t>net Adjustment Calculation</w:t>
      </w:r>
    </w:p>
    <w:p w14:paraId="035FACDF" w14:textId="77777777" w:rsidR="00E22AC0" w:rsidRDefault="00FC56F3">
      <w:pPr>
        <w:pStyle w:val="a3"/>
        <w:spacing w:after="0"/>
      </w:pPr>
      <w:r>
        <w:t> </w:t>
      </w:r>
    </w:p>
    <w:tbl>
      <w:tblPr>
        <w:tblW w:w="7950" w:type="dxa"/>
        <w:tblCellMar>
          <w:left w:w="0" w:type="dxa"/>
          <w:right w:w="0" w:type="dxa"/>
        </w:tblCellMar>
        <w:tblLook w:val="0000" w:firstRow="0" w:lastRow="0" w:firstColumn="0" w:lastColumn="0" w:noHBand="0" w:noVBand="0"/>
      </w:tblPr>
      <w:tblGrid>
        <w:gridCol w:w="6845"/>
        <w:gridCol w:w="60"/>
        <w:gridCol w:w="60"/>
        <w:gridCol w:w="875"/>
        <w:gridCol w:w="110"/>
      </w:tblGrid>
      <w:tr w:rsidR="00E22AC0" w14:paraId="2FA4F4AB" w14:textId="77777777">
        <w:tc>
          <w:tcPr>
            <w:tcW w:w="6845" w:type="dxa"/>
            <w:shd w:val="clear" w:color="auto" w:fill="CCEEFF"/>
            <w:vAlign w:val="center"/>
          </w:tcPr>
          <w:p w14:paraId="08779B2A" w14:textId="77777777" w:rsidR="00E22AC0" w:rsidRDefault="00FC56F3">
            <w:pPr>
              <w:pStyle w:val="TableContents"/>
            </w:pPr>
            <w:r>
              <w:t>Adjusted Working Capital Balance (after Cash Adjustment)</w:t>
            </w:r>
          </w:p>
        </w:tc>
        <w:tc>
          <w:tcPr>
            <w:tcW w:w="60" w:type="dxa"/>
            <w:shd w:val="clear" w:color="auto" w:fill="CCEEFF"/>
            <w:vAlign w:val="center"/>
          </w:tcPr>
          <w:p w14:paraId="6F885DEA" w14:textId="77777777" w:rsidR="00E22AC0" w:rsidRDefault="00FC56F3">
            <w:pPr>
              <w:pStyle w:val="TableContents"/>
            </w:pPr>
            <w:r>
              <w:t> </w:t>
            </w:r>
          </w:p>
        </w:tc>
        <w:tc>
          <w:tcPr>
            <w:tcW w:w="60" w:type="dxa"/>
            <w:shd w:val="clear" w:color="auto" w:fill="CCEEFF"/>
            <w:vAlign w:val="center"/>
          </w:tcPr>
          <w:p w14:paraId="5D87DB08" w14:textId="77777777" w:rsidR="00E22AC0" w:rsidRDefault="00FC56F3">
            <w:pPr>
              <w:pStyle w:val="TableContents"/>
            </w:pPr>
            <w:r>
              <w:t> </w:t>
            </w:r>
          </w:p>
        </w:tc>
        <w:tc>
          <w:tcPr>
            <w:tcW w:w="875" w:type="dxa"/>
            <w:shd w:val="clear" w:color="auto" w:fill="CCEEFF"/>
            <w:vAlign w:val="center"/>
          </w:tcPr>
          <w:p w14:paraId="3FEABA04" w14:textId="77777777" w:rsidR="00E22AC0" w:rsidRDefault="00FC56F3">
            <w:pPr>
              <w:pStyle w:val="TableContents"/>
              <w:jc w:val="right"/>
            </w:pPr>
            <w:r>
              <w:t>322,485</w:t>
            </w:r>
          </w:p>
        </w:tc>
        <w:tc>
          <w:tcPr>
            <w:tcW w:w="110" w:type="dxa"/>
            <w:shd w:val="clear" w:color="auto" w:fill="CCEEFF"/>
            <w:vAlign w:val="center"/>
          </w:tcPr>
          <w:p w14:paraId="2AEF0BD0" w14:textId="77777777" w:rsidR="00E22AC0" w:rsidRDefault="00FC56F3">
            <w:pPr>
              <w:pStyle w:val="TableContents"/>
            </w:pPr>
            <w:r>
              <w:t> </w:t>
            </w:r>
          </w:p>
        </w:tc>
      </w:tr>
      <w:tr w:rsidR="00E22AC0" w14:paraId="4D0465BD" w14:textId="77777777">
        <w:tc>
          <w:tcPr>
            <w:tcW w:w="6845" w:type="dxa"/>
            <w:shd w:val="clear" w:color="auto" w:fill="FFFFFF"/>
            <w:vAlign w:val="center"/>
          </w:tcPr>
          <w:p w14:paraId="664B103F" w14:textId="77777777" w:rsidR="00E22AC0" w:rsidRDefault="00FC56F3">
            <w:pPr>
              <w:pStyle w:val="TableContents"/>
              <w:rPr>
                <w:rFonts w:ascii="Times New Roman;Times;Serif" w:hAnsi="Times New Roman;Times;Serif"/>
                <w:sz w:val="20"/>
              </w:rPr>
            </w:pPr>
            <w:r>
              <w:rPr>
                <w:rFonts w:ascii="Times New Roman;Times;Serif" w:hAnsi="Times New Roman;Times;Serif"/>
                <w:sz w:val="20"/>
              </w:rPr>
              <w:t>Net Working Capital Target per Stock Purchase Agreement</w:t>
            </w:r>
          </w:p>
        </w:tc>
        <w:tc>
          <w:tcPr>
            <w:tcW w:w="60" w:type="dxa"/>
            <w:shd w:val="clear" w:color="auto" w:fill="FFFFFF"/>
            <w:vAlign w:val="center"/>
          </w:tcPr>
          <w:p w14:paraId="68BB2FB4" w14:textId="77777777" w:rsidR="00E22AC0" w:rsidRDefault="00FC56F3">
            <w:pPr>
              <w:pStyle w:val="TableContents"/>
            </w:pPr>
            <w:r>
              <w:t> </w:t>
            </w:r>
          </w:p>
        </w:tc>
        <w:tc>
          <w:tcPr>
            <w:tcW w:w="60" w:type="dxa"/>
            <w:tcBorders>
              <w:bottom w:val="single" w:sz="12" w:space="0" w:color="000000"/>
            </w:tcBorders>
            <w:shd w:val="clear" w:color="auto" w:fill="FFFFFF"/>
            <w:tcMar>
              <w:bottom w:w="28" w:type="dxa"/>
            </w:tcMar>
            <w:vAlign w:val="center"/>
          </w:tcPr>
          <w:p w14:paraId="7021FF07" w14:textId="77777777" w:rsidR="00E22AC0" w:rsidRDefault="00FC56F3">
            <w:pPr>
              <w:pStyle w:val="TableContents"/>
            </w:pPr>
            <w:r>
              <w:t> </w:t>
            </w:r>
          </w:p>
        </w:tc>
        <w:tc>
          <w:tcPr>
            <w:tcW w:w="875" w:type="dxa"/>
            <w:tcBorders>
              <w:bottom w:val="single" w:sz="12" w:space="0" w:color="000000"/>
            </w:tcBorders>
            <w:shd w:val="clear" w:color="auto" w:fill="FFFFFF"/>
            <w:tcMar>
              <w:bottom w:w="28" w:type="dxa"/>
            </w:tcMar>
            <w:vAlign w:val="center"/>
          </w:tcPr>
          <w:p w14:paraId="6341AC4C" w14:textId="77777777" w:rsidR="00E22AC0" w:rsidRDefault="00FC56F3">
            <w:pPr>
              <w:pStyle w:val="TableContents"/>
              <w:jc w:val="right"/>
            </w:pPr>
            <w:r>
              <w:t>(154,000</w:t>
            </w:r>
          </w:p>
        </w:tc>
        <w:tc>
          <w:tcPr>
            <w:tcW w:w="110" w:type="dxa"/>
            <w:shd w:val="clear" w:color="auto" w:fill="FFFFFF"/>
            <w:vAlign w:val="center"/>
          </w:tcPr>
          <w:p w14:paraId="697BCA15" w14:textId="77777777" w:rsidR="00E22AC0" w:rsidRDefault="00FC56F3">
            <w:pPr>
              <w:pStyle w:val="TableContents"/>
            </w:pPr>
            <w:r>
              <w:t>)</w:t>
            </w:r>
          </w:p>
        </w:tc>
      </w:tr>
      <w:tr w:rsidR="00E22AC0" w14:paraId="6B68D5C4" w14:textId="77777777">
        <w:tc>
          <w:tcPr>
            <w:tcW w:w="6845" w:type="dxa"/>
            <w:shd w:val="clear" w:color="auto" w:fill="CCEEFF"/>
            <w:vAlign w:val="center"/>
          </w:tcPr>
          <w:p w14:paraId="3CBFE2E5" w14:textId="77777777" w:rsidR="00E22AC0" w:rsidRDefault="00FC56F3">
            <w:pPr>
              <w:pStyle w:val="TableContents"/>
            </w:pPr>
            <w:r>
              <w:t>Excess (Deficit) of Closing Working Cabinet to Target Working Capital</w:t>
            </w:r>
          </w:p>
        </w:tc>
        <w:tc>
          <w:tcPr>
            <w:tcW w:w="60" w:type="dxa"/>
            <w:shd w:val="clear" w:color="auto" w:fill="CCEEFF"/>
            <w:vAlign w:val="center"/>
          </w:tcPr>
          <w:p w14:paraId="28703FDD" w14:textId="77777777" w:rsidR="00E22AC0" w:rsidRDefault="00FC56F3">
            <w:pPr>
              <w:pStyle w:val="TableContents"/>
            </w:pPr>
            <w:r>
              <w:t> </w:t>
            </w:r>
          </w:p>
        </w:tc>
        <w:tc>
          <w:tcPr>
            <w:tcW w:w="60" w:type="dxa"/>
            <w:shd w:val="clear" w:color="auto" w:fill="CCEEFF"/>
            <w:vAlign w:val="center"/>
          </w:tcPr>
          <w:p w14:paraId="754EBE80" w14:textId="77777777" w:rsidR="00E22AC0" w:rsidRDefault="00FC56F3">
            <w:pPr>
              <w:pStyle w:val="TableContents"/>
            </w:pPr>
            <w:r>
              <w:t> </w:t>
            </w:r>
          </w:p>
        </w:tc>
        <w:tc>
          <w:tcPr>
            <w:tcW w:w="875" w:type="dxa"/>
            <w:shd w:val="clear" w:color="auto" w:fill="CCEEFF"/>
            <w:vAlign w:val="center"/>
          </w:tcPr>
          <w:p w14:paraId="68EF1DB2" w14:textId="77777777" w:rsidR="00E22AC0" w:rsidRDefault="00FC56F3">
            <w:pPr>
              <w:pStyle w:val="TableContents"/>
              <w:jc w:val="right"/>
            </w:pPr>
            <w:r>
              <w:t>168,485</w:t>
            </w:r>
          </w:p>
        </w:tc>
        <w:tc>
          <w:tcPr>
            <w:tcW w:w="110" w:type="dxa"/>
            <w:shd w:val="clear" w:color="auto" w:fill="CCEEFF"/>
            <w:vAlign w:val="center"/>
          </w:tcPr>
          <w:p w14:paraId="385336C4" w14:textId="77777777" w:rsidR="00E22AC0" w:rsidRDefault="00FC56F3">
            <w:pPr>
              <w:pStyle w:val="TableContents"/>
            </w:pPr>
            <w:r>
              <w:t> </w:t>
            </w:r>
          </w:p>
        </w:tc>
      </w:tr>
    </w:tbl>
    <w:p w14:paraId="2FDDB4DE" w14:textId="77777777" w:rsidR="00E22AC0" w:rsidRDefault="00FC56F3">
      <w:pPr>
        <w:pStyle w:val="a3"/>
        <w:spacing w:after="0"/>
      </w:pPr>
      <w:r>
        <w:t> </w:t>
      </w:r>
    </w:p>
    <w:p w14:paraId="67707B71" w14:textId="77777777" w:rsidR="00E22AC0" w:rsidRDefault="00FC56F3">
      <w:pPr>
        <w:pStyle w:val="a3"/>
        <w:spacing w:after="0"/>
        <w:jc w:val="center"/>
        <w:rPr>
          <w:bdr w:val="single" w:sz="12" w:space="1" w:color="000000"/>
        </w:rPr>
      </w:pPr>
      <w:r>
        <w:rPr>
          <w:bdr w:val="single" w:sz="12" w:space="1" w:color="000000"/>
        </w:rPr>
        <w:t> </w:t>
      </w:r>
    </w:p>
    <w:p w14:paraId="613C933D" w14:textId="77777777" w:rsidR="00E22AC0" w:rsidRDefault="00FC56F3">
      <w:pPr>
        <w:pStyle w:val="a3"/>
        <w:spacing w:after="0"/>
      </w:pPr>
      <w:r>
        <w:t> </w:t>
      </w:r>
    </w:p>
    <w:p w14:paraId="6BE9684B" w14:textId="77777777" w:rsidR="00E22AC0" w:rsidRDefault="00FC56F3">
      <w:pPr>
        <w:pStyle w:val="a3"/>
        <w:spacing w:after="0"/>
        <w:jc w:val="center"/>
      </w:pPr>
      <w:r>
        <w:t> </w:t>
      </w:r>
    </w:p>
    <w:p w14:paraId="7452FCFB"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lastRenderedPageBreak/>
        <w:t>Exhibit C</w:t>
      </w:r>
    </w:p>
    <w:p w14:paraId="2EC00D37" w14:textId="77777777" w:rsidR="00E22AC0" w:rsidRDefault="00FC56F3">
      <w:pPr>
        <w:pStyle w:val="a3"/>
        <w:spacing w:after="0"/>
        <w:jc w:val="center"/>
        <w:rPr>
          <w:rFonts w:ascii="Times New Roman;Times;Serif" w:hAnsi="Times New Roman;Times;Serif"/>
          <w:b/>
          <w:sz w:val="20"/>
          <w:u w:val="single"/>
        </w:rPr>
      </w:pPr>
      <w:r>
        <w:rPr>
          <w:rFonts w:ascii="Times New Roman;Times;Serif" w:hAnsi="Times New Roman;Times;Serif"/>
          <w:b/>
          <w:sz w:val="20"/>
          <w:u w:val="single"/>
        </w:rPr>
        <w:t>Form of Seller Note</w:t>
      </w:r>
    </w:p>
    <w:p w14:paraId="18C7BD57" w14:textId="77777777" w:rsidR="00E22AC0" w:rsidRDefault="00FC56F3">
      <w:pPr>
        <w:pStyle w:val="a3"/>
        <w:spacing w:after="0"/>
        <w:jc w:val="center"/>
      </w:pPr>
      <w:r>
        <w:t> </w:t>
      </w:r>
    </w:p>
    <w:p w14:paraId="41B77B96" w14:textId="77777777" w:rsidR="00E22AC0" w:rsidRDefault="00FC56F3">
      <w:pPr>
        <w:pStyle w:val="a3"/>
        <w:spacing w:after="0"/>
        <w:jc w:val="center"/>
        <w:rPr>
          <w:rFonts w:ascii="Times New Roman;Times;Serif" w:hAnsi="Times New Roman;Times;Serif"/>
          <w:i/>
          <w:sz w:val="20"/>
        </w:rPr>
      </w:pPr>
      <w:r>
        <w:rPr>
          <w:rFonts w:ascii="Times New Roman;Times;Serif" w:hAnsi="Times New Roman;Times;Serif"/>
          <w:i/>
          <w:sz w:val="20"/>
        </w:rPr>
        <w:t>(See Attached)</w:t>
      </w:r>
    </w:p>
    <w:p w14:paraId="370D002F" w14:textId="77777777" w:rsidR="00E22AC0" w:rsidRDefault="00FC56F3">
      <w:pPr>
        <w:pStyle w:val="a3"/>
        <w:spacing w:after="0"/>
        <w:jc w:val="center"/>
      </w:pPr>
      <w:r>
        <w:t> </w:t>
      </w:r>
    </w:p>
    <w:p w14:paraId="08CCEAFC" w14:textId="77777777" w:rsidR="00E22AC0" w:rsidRDefault="00FC56F3">
      <w:pPr>
        <w:pStyle w:val="a3"/>
        <w:spacing w:after="0"/>
        <w:jc w:val="center"/>
      </w:pPr>
      <w:r>
        <w:t> </w:t>
      </w:r>
    </w:p>
    <w:p w14:paraId="385F8C34" w14:textId="77777777" w:rsidR="00E22AC0" w:rsidRDefault="00FC56F3">
      <w:pPr>
        <w:pStyle w:val="a3"/>
        <w:spacing w:after="0"/>
        <w:jc w:val="center"/>
        <w:rPr>
          <w:bdr w:val="single" w:sz="12" w:space="1" w:color="000000"/>
        </w:rPr>
      </w:pPr>
      <w:r>
        <w:rPr>
          <w:bdr w:val="single" w:sz="12" w:space="1" w:color="000000"/>
        </w:rPr>
        <w:t> </w:t>
      </w:r>
    </w:p>
    <w:p w14:paraId="44928BBF" w14:textId="77777777" w:rsidR="00E22AC0" w:rsidRDefault="00FC56F3">
      <w:pPr>
        <w:pStyle w:val="a3"/>
        <w:spacing w:after="0"/>
      </w:pPr>
      <w:r>
        <w:t> </w:t>
      </w:r>
    </w:p>
    <w:p w14:paraId="4507E498" w14:textId="77777777" w:rsidR="00E22AC0" w:rsidRDefault="00FC56F3">
      <w:pPr>
        <w:pStyle w:val="a3"/>
        <w:spacing w:after="0"/>
        <w:jc w:val="center"/>
      </w:pPr>
      <w:r>
        <w:t> </w:t>
      </w:r>
    </w:p>
    <w:p w14:paraId="5AD97CA0" w14:textId="77777777" w:rsidR="00E22AC0" w:rsidRDefault="00FC56F3">
      <w:pPr>
        <w:pStyle w:val="a3"/>
        <w:spacing w:after="0"/>
        <w:jc w:val="center"/>
        <w:rPr>
          <w:rFonts w:ascii="Times New Roman;Times;Serif" w:hAnsi="Times New Roman;Times;Serif"/>
          <w:b/>
          <w:sz w:val="20"/>
        </w:rPr>
      </w:pPr>
      <w:r>
        <w:rPr>
          <w:rFonts w:ascii="Times New Roman;Times;Serif" w:hAnsi="Times New Roman;Times;Serif"/>
          <w:b/>
          <w:sz w:val="20"/>
        </w:rPr>
        <w:t>Exhibit D</w:t>
      </w:r>
    </w:p>
    <w:p w14:paraId="648EE50F" w14:textId="77777777" w:rsidR="00E22AC0" w:rsidRDefault="00FC56F3">
      <w:pPr>
        <w:pStyle w:val="a3"/>
        <w:spacing w:after="0"/>
        <w:jc w:val="center"/>
        <w:rPr>
          <w:rFonts w:ascii="Times New Roman;Times;Serif" w:hAnsi="Times New Roman;Times;Serif"/>
          <w:b/>
          <w:sz w:val="20"/>
          <w:u w:val="single"/>
        </w:rPr>
      </w:pPr>
      <w:r>
        <w:rPr>
          <w:rFonts w:ascii="Times New Roman;Times;Serif" w:hAnsi="Times New Roman;Times;Serif"/>
          <w:b/>
          <w:sz w:val="20"/>
          <w:u w:val="single"/>
        </w:rPr>
        <w:t>Employment Agreement Terms</w:t>
      </w:r>
    </w:p>
    <w:p w14:paraId="58F64F9B" w14:textId="77777777" w:rsidR="00E22AC0" w:rsidRDefault="00FC56F3">
      <w:pPr>
        <w:pStyle w:val="a3"/>
        <w:spacing w:after="0"/>
        <w:jc w:val="center"/>
      </w:pPr>
      <w:r>
        <w:t> </w:t>
      </w:r>
    </w:p>
    <w:tbl>
      <w:tblPr>
        <w:tblW w:w="5000" w:type="pct"/>
        <w:tblCellMar>
          <w:left w:w="0" w:type="dxa"/>
          <w:right w:w="0" w:type="dxa"/>
        </w:tblCellMar>
        <w:tblLook w:val="0000" w:firstRow="0" w:lastRow="0" w:firstColumn="0" w:lastColumn="0" w:noHBand="0" w:noVBand="0"/>
      </w:tblPr>
      <w:tblGrid>
        <w:gridCol w:w="37"/>
        <w:gridCol w:w="180"/>
        <w:gridCol w:w="9988"/>
      </w:tblGrid>
      <w:tr w:rsidR="00E22AC0" w14:paraId="0E267664" w14:textId="77777777">
        <w:tc>
          <w:tcPr>
            <w:tcW w:w="37" w:type="dxa"/>
            <w:vAlign w:val="center"/>
          </w:tcPr>
          <w:p w14:paraId="7C58E15F" w14:textId="77777777" w:rsidR="00E22AC0" w:rsidRDefault="00E22AC0">
            <w:pPr>
              <w:pStyle w:val="TableContents"/>
              <w:rPr>
                <w:sz w:val="4"/>
                <w:szCs w:val="4"/>
              </w:rPr>
            </w:pPr>
          </w:p>
        </w:tc>
        <w:tc>
          <w:tcPr>
            <w:tcW w:w="162" w:type="dxa"/>
            <w:vAlign w:val="center"/>
          </w:tcPr>
          <w:p w14:paraId="78CAE136" w14:textId="77777777" w:rsidR="00E22AC0" w:rsidRDefault="00FC56F3">
            <w:pPr>
              <w:pStyle w:val="TableContents"/>
            </w:pPr>
            <w:r>
              <w:t>1.</w:t>
            </w:r>
          </w:p>
        </w:tc>
        <w:tc>
          <w:tcPr>
            <w:tcW w:w="10006" w:type="dxa"/>
            <w:vAlign w:val="center"/>
          </w:tcPr>
          <w:p w14:paraId="1A2EBD72" w14:textId="77777777" w:rsidR="00E22AC0" w:rsidRDefault="00FC56F3">
            <w:pPr>
              <w:pStyle w:val="TableContents"/>
              <w:jc w:val="both"/>
            </w:pPr>
            <w:r>
              <w:t xml:space="preserve">The employment agreements between the Company and each of the Sellers shall be for a one-year term (weekly/monthly time </w:t>
            </w:r>
            <w:r>
              <w:t>commitment by each Seller to be mutually agreed to by the parties). Each of the Sellers shall be entitled to three weeks paid time off.</w:t>
            </w:r>
          </w:p>
        </w:tc>
      </w:tr>
    </w:tbl>
    <w:p w14:paraId="749881BD" w14:textId="77777777" w:rsidR="00E22AC0" w:rsidRDefault="00FC56F3">
      <w:pPr>
        <w:pStyle w:val="a3"/>
        <w:spacing w:after="0"/>
        <w:ind w:left="720" w:hanging="360"/>
        <w:jc w:val="both"/>
      </w:pPr>
      <w:r>
        <w:t> </w:t>
      </w:r>
    </w:p>
    <w:tbl>
      <w:tblPr>
        <w:tblW w:w="5000" w:type="pct"/>
        <w:tblCellMar>
          <w:left w:w="0" w:type="dxa"/>
          <w:right w:w="0" w:type="dxa"/>
        </w:tblCellMar>
        <w:tblLook w:val="0000" w:firstRow="0" w:lastRow="0" w:firstColumn="0" w:lastColumn="0" w:noHBand="0" w:noVBand="0"/>
      </w:tblPr>
      <w:tblGrid>
        <w:gridCol w:w="228"/>
        <w:gridCol w:w="1202"/>
        <w:gridCol w:w="8775"/>
      </w:tblGrid>
      <w:tr w:rsidR="00E22AC0" w14:paraId="65CCED5C" w14:textId="77777777">
        <w:tc>
          <w:tcPr>
            <w:tcW w:w="228" w:type="dxa"/>
            <w:vAlign w:val="center"/>
          </w:tcPr>
          <w:p w14:paraId="19B61E55" w14:textId="77777777" w:rsidR="00E22AC0" w:rsidRDefault="00E22AC0">
            <w:pPr>
              <w:pStyle w:val="TableContents"/>
              <w:rPr>
                <w:sz w:val="4"/>
                <w:szCs w:val="4"/>
              </w:rPr>
            </w:pPr>
          </w:p>
        </w:tc>
        <w:tc>
          <w:tcPr>
            <w:tcW w:w="1202" w:type="dxa"/>
            <w:vAlign w:val="center"/>
          </w:tcPr>
          <w:p w14:paraId="7AB6614A" w14:textId="77777777" w:rsidR="00E22AC0" w:rsidRDefault="00FC56F3">
            <w:pPr>
              <w:pStyle w:val="TableContents"/>
              <w:jc w:val="both"/>
            </w:pPr>
            <w:r>
              <w:t>2.</w:t>
            </w:r>
          </w:p>
        </w:tc>
        <w:tc>
          <w:tcPr>
            <w:tcW w:w="8774" w:type="dxa"/>
            <w:vAlign w:val="center"/>
          </w:tcPr>
          <w:p w14:paraId="41BF5FD9" w14:textId="77777777" w:rsidR="00E22AC0" w:rsidRDefault="00FC56F3">
            <w:pPr>
              <w:pStyle w:val="TableContents"/>
              <w:jc w:val="both"/>
            </w:pPr>
            <w:r>
              <w:t>Compensation:</w:t>
            </w:r>
          </w:p>
        </w:tc>
      </w:tr>
    </w:tbl>
    <w:p w14:paraId="01BAC0FC" w14:textId="77777777" w:rsidR="00E22AC0" w:rsidRDefault="00FC56F3">
      <w:pPr>
        <w:pStyle w:val="a3"/>
        <w:spacing w:after="0"/>
        <w:ind w:left="1440" w:hanging="360"/>
        <w:jc w:val="both"/>
      </w:pPr>
      <w:r>
        <w:t> </w:t>
      </w:r>
    </w:p>
    <w:tbl>
      <w:tblPr>
        <w:tblW w:w="5000" w:type="pct"/>
        <w:tblCellMar>
          <w:left w:w="0" w:type="dxa"/>
          <w:right w:w="0" w:type="dxa"/>
        </w:tblCellMar>
        <w:tblLook w:val="0000" w:firstRow="0" w:lastRow="0" w:firstColumn="0" w:lastColumn="0" w:noHBand="0" w:noVBand="0"/>
      </w:tblPr>
      <w:tblGrid>
        <w:gridCol w:w="71"/>
        <w:gridCol w:w="349"/>
        <w:gridCol w:w="9785"/>
      </w:tblGrid>
      <w:tr w:rsidR="00E22AC0" w14:paraId="42714EE3" w14:textId="77777777">
        <w:tc>
          <w:tcPr>
            <w:tcW w:w="71" w:type="dxa"/>
            <w:vAlign w:val="center"/>
          </w:tcPr>
          <w:p w14:paraId="748A3FDC" w14:textId="77777777" w:rsidR="00E22AC0" w:rsidRDefault="00E22AC0">
            <w:pPr>
              <w:pStyle w:val="TableContents"/>
              <w:rPr>
                <w:sz w:val="4"/>
                <w:szCs w:val="4"/>
              </w:rPr>
            </w:pPr>
          </w:p>
        </w:tc>
        <w:tc>
          <w:tcPr>
            <w:tcW w:w="349" w:type="dxa"/>
            <w:vAlign w:val="center"/>
          </w:tcPr>
          <w:p w14:paraId="76C0E397" w14:textId="77777777" w:rsidR="00E22AC0" w:rsidRDefault="00FC56F3">
            <w:pPr>
              <w:pStyle w:val="TableContents"/>
              <w:jc w:val="both"/>
            </w:pPr>
            <w:r>
              <w:t>a.</w:t>
            </w:r>
          </w:p>
        </w:tc>
        <w:tc>
          <w:tcPr>
            <w:tcW w:w="9784" w:type="dxa"/>
            <w:vAlign w:val="center"/>
          </w:tcPr>
          <w:p w14:paraId="60E814C2" w14:textId="77777777" w:rsidR="00E22AC0" w:rsidRDefault="00FC56F3">
            <w:pPr>
              <w:pStyle w:val="TableContents"/>
              <w:jc w:val="both"/>
            </w:pPr>
            <w:r>
              <w:t xml:space="preserve">Steve </w:t>
            </w:r>
            <w:proofErr w:type="spellStart"/>
            <w:r>
              <w:t>Mallatt</w:t>
            </w:r>
            <w:proofErr w:type="spellEnd"/>
            <w:r>
              <w:t xml:space="preserve"> - $1900 / week plus discretionary bonus.</w:t>
            </w:r>
          </w:p>
        </w:tc>
      </w:tr>
    </w:tbl>
    <w:p w14:paraId="0FEC3056" w14:textId="77777777" w:rsidR="00E22AC0" w:rsidRDefault="00FC56F3">
      <w:pPr>
        <w:pStyle w:val="a3"/>
        <w:spacing w:after="0"/>
        <w:ind w:left="1440" w:hanging="360"/>
        <w:jc w:val="both"/>
      </w:pPr>
      <w:r>
        <w:t> </w:t>
      </w:r>
    </w:p>
    <w:tbl>
      <w:tblPr>
        <w:tblW w:w="5000" w:type="pct"/>
        <w:tblCellMar>
          <w:left w:w="0" w:type="dxa"/>
          <w:right w:w="0" w:type="dxa"/>
        </w:tblCellMar>
        <w:tblLook w:val="0000" w:firstRow="0" w:lastRow="0" w:firstColumn="0" w:lastColumn="0" w:noHBand="0" w:noVBand="0"/>
      </w:tblPr>
      <w:tblGrid>
        <w:gridCol w:w="73"/>
        <w:gridCol w:w="386"/>
        <w:gridCol w:w="9746"/>
      </w:tblGrid>
      <w:tr w:rsidR="00E22AC0" w14:paraId="4AA9CDE5" w14:textId="77777777">
        <w:tc>
          <w:tcPr>
            <w:tcW w:w="73" w:type="dxa"/>
            <w:vAlign w:val="center"/>
          </w:tcPr>
          <w:p w14:paraId="73070CDC" w14:textId="77777777" w:rsidR="00E22AC0" w:rsidRDefault="00E22AC0">
            <w:pPr>
              <w:pStyle w:val="TableContents"/>
              <w:rPr>
                <w:sz w:val="4"/>
                <w:szCs w:val="4"/>
              </w:rPr>
            </w:pPr>
          </w:p>
        </w:tc>
        <w:tc>
          <w:tcPr>
            <w:tcW w:w="386" w:type="dxa"/>
            <w:vAlign w:val="center"/>
          </w:tcPr>
          <w:p w14:paraId="708547E9" w14:textId="77777777" w:rsidR="00E22AC0" w:rsidRDefault="00FC56F3">
            <w:pPr>
              <w:pStyle w:val="TableContents"/>
              <w:jc w:val="both"/>
            </w:pPr>
            <w:r>
              <w:t>b.</w:t>
            </w:r>
          </w:p>
        </w:tc>
        <w:tc>
          <w:tcPr>
            <w:tcW w:w="9745" w:type="dxa"/>
            <w:vAlign w:val="center"/>
          </w:tcPr>
          <w:p w14:paraId="44249661" w14:textId="77777777" w:rsidR="00E22AC0" w:rsidRDefault="00FC56F3">
            <w:pPr>
              <w:pStyle w:val="TableContents"/>
              <w:jc w:val="both"/>
            </w:pPr>
            <w:r>
              <w:t xml:space="preserve">Rita </w:t>
            </w:r>
            <w:proofErr w:type="spellStart"/>
            <w:r>
              <w:t>Mallatt</w:t>
            </w:r>
            <w:proofErr w:type="spellEnd"/>
            <w:r>
              <w:t xml:space="preserve"> - $1500 / </w:t>
            </w:r>
            <w:r>
              <w:t>week plus discretionary bonus.</w:t>
            </w:r>
          </w:p>
        </w:tc>
      </w:tr>
    </w:tbl>
    <w:p w14:paraId="6F4CAF0B" w14:textId="77777777" w:rsidR="00E22AC0" w:rsidRDefault="00FC56F3">
      <w:pPr>
        <w:pStyle w:val="a3"/>
        <w:spacing w:after="0"/>
        <w:ind w:left="1440" w:hanging="360"/>
        <w:jc w:val="both"/>
      </w:pPr>
      <w:r>
        <w:t> </w:t>
      </w:r>
    </w:p>
    <w:tbl>
      <w:tblPr>
        <w:tblW w:w="5000" w:type="pct"/>
        <w:tblCellMar>
          <w:left w:w="0" w:type="dxa"/>
          <w:right w:w="0" w:type="dxa"/>
        </w:tblCellMar>
        <w:tblLook w:val="0000" w:firstRow="0" w:lastRow="0" w:firstColumn="0" w:lastColumn="0" w:noHBand="0" w:noVBand="0"/>
      </w:tblPr>
      <w:tblGrid>
        <w:gridCol w:w="37"/>
        <w:gridCol w:w="198"/>
        <w:gridCol w:w="9970"/>
      </w:tblGrid>
      <w:tr w:rsidR="00E22AC0" w14:paraId="558A663B" w14:textId="77777777">
        <w:tc>
          <w:tcPr>
            <w:tcW w:w="37" w:type="dxa"/>
            <w:vAlign w:val="center"/>
          </w:tcPr>
          <w:p w14:paraId="6BE42591" w14:textId="77777777" w:rsidR="00E22AC0" w:rsidRDefault="00E22AC0">
            <w:pPr>
              <w:pStyle w:val="TableContents"/>
              <w:rPr>
                <w:sz w:val="4"/>
                <w:szCs w:val="4"/>
              </w:rPr>
            </w:pPr>
          </w:p>
        </w:tc>
        <w:tc>
          <w:tcPr>
            <w:tcW w:w="198" w:type="dxa"/>
            <w:vAlign w:val="center"/>
          </w:tcPr>
          <w:p w14:paraId="2A820D29" w14:textId="77777777" w:rsidR="00E22AC0" w:rsidRDefault="00FC56F3">
            <w:pPr>
              <w:pStyle w:val="TableContents"/>
              <w:jc w:val="both"/>
            </w:pPr>
            <w:r>
              <w:t>3.</w:t>
            </w:r>
          </w:p>
        </w:tc>
        <w:tc>
          <w:tcPr>
            <w:tcW w:w="9970" w:type="dxa"/>
            <w:vAlign w:val="center"/>
          </w:tcPr>
          <w:p w14:paraId="5A3F9D82" w14:textId="77777777" w:rsidR="00E22AC0" w:rsidRDefault="00FC56F3">
            <w:pPr>
              <w:pStyle w:val="TableContents"/>
              <w:jc w:val="both"/>
            </w:pPr>
            <w:r>
              <w:t>The Company shall pay or reimburse the Sellers during such period of employment for the following items:</w:t>
            </w:r>
          </w:p>
        </w:tc>
      </w:tr>
    </w:tbl>
    <w:p w14:paraId="3980D5C0" w14:textId="77777777" w:rsidR="00E22AC0" w:rsidRDefault="00FC56F3">
      <w:pPr>
        <w:pStyle w:val="a3"/>
        <w:spacing w:after="0"/>
        <w:ind w:left="1440" w:hanging="360"/>
        <w:jc w:val="both"/>
      </w:pPr>
      <w:r>
        <w:t> </w:t>
      </w:r>
    </w:p>
    <w:tbl>
      <w:tblPr>
        <w:tblW w:w="5000" w:type="pct"/>
        <w:tblCellMar>
          <w:left w:w="0" w:type="dxa"/>
          <w:right w:w="0" w:type="dxa"/>
        </w:tblCellMar>
        <w:tblLook w:val="0000" w:firstRow="0" w:lastRow="0" w:firstColumn="0" w:lastColumn="0" w:noHBand="0" w:noVBand="0"/>
      </w:tblPr>
      <w:tblGrid>
        <w:gridCol w:w="98"/>
        <w:gridCol w:w="480"/>
        <w:gridCol w:w="9627"/>
      </w:tblGrid>
      <w:tr w:rsidR="00E22AC0" w14:paraId="3FA2038C" w14:textId="77777777">
        <w:tc>
          <w:tcPr>
            <w:tcW w:w="98" w:type="dxa"/>
            <w:vAlign w:val="center"/>
          </w:tcPr>
          <w:p w14:paraId="1E950B4E" w14:textId="77777777" w:rsidR="00E22AC0" w:rsidRDefault="00E22AC0">
            <w:pPr>
              <w:pStyle w:val="TableContents"/>
              <w:rPr>
                <w:sz w:val="4"/>
                <w:szCs w:val="4"/>
              </w:rPr>
            </w:pPr>
          </w:p>
        </w:tc>
        <w:tc>
          <w:tcPr>
            <w:tcW w:w="480" w:type="dxa"/>
            <w:vAlign w:val="center"/>
          </w:tcPr>
          <w:p w14:paraId="56DF8008" w14:textId="77777777" w:rsidR="00E22AC0" w:rsidRDefault="00FC56F3">
            <w:pPr>
              <w:pStyle w:val="TableContents"/>
              <w:jc w:val="both"/>
            </w:pPr>
            <w:r>
              <w:t>a.</w:t>
            </w:r>
          </w:p>
        </w:tc>
        <w:tc>
          <w:tcPr>
            <w:tcW w:w="9626" w:type="dxa"/>
            <w:vAlign w:val="center"/>
          </w:tcPr>
          <w:p w14:paraId="573FA4CC" w14:textId="77777777" w:rsidR="00E22AC0" w:rsidRDefault="00FC56F3">
            <w:pPr>
              <w:pStyle w:val="TableContents"/>
              <w:jc w:val="both"/>
            </w:pPr>
            <w:r>
              <w:t>Terrace lakes marketing ($300/month).</w:t>
            </w:r>
          </w:p>
        </w:tc>
      </w:tr>
    </w:tbl>
    <w:p w14:paraId="456ED8BE" w14:textId="77777777" w:rsidR="00E22AC0" w:rsidRDefault="00FC56F3">
      <w:pPr>
        <w:pStyle w:val="a3"/>
        <w:spacing w:after="0"/>
        <w:ind w:left="1440" w:hanging="360"/>
        <w:jc w:val="both"/>
      </w:pPr>
      <w:r>
        <w:t> </w:t>
      </w:r>
    </w:p>
    <w:tbl>
      <w:tblPr>
        <w:tblW w:w="5000" w:type="pct"/>
        <w:tblCellMar>
          <w:left w:w="0" w:type="dxa"/>
          <w:right w:w="0" w:type="dxa"/>
        </w:tblCellMar>
        <w:tblLook w:val="0000" w:firstRow="0" w:lastRow="0" w:firstColumn="0" w:lastColumn="0" w:noHBand="0" w:noVBand="0"/>
      </w:tblPr>
      <w:tblGrid>
        <w:gridCol w:w="113"/>
        <w:gridCol w:w="596"/>
        <w:gridCol w:w="9496"/>
      </w:tblGrid>
      <w:tr w:rsidR="00E22AC0" w14:paraId="7BA2E87A" w14:textId="77777777">
        <w:tc>
          <w:tcPr>
            <w:tcW w:w="113" w:type="dxa"/>
            <w:vAlign w:val="center"/>
          </w:tcPr>
          <w:p w14:paraId="487DC46B" w14:textId="77777777" w:rsidR="00E22AC0" w:rsidRDefault="00E22AC0">
            <w:pPr>
              <w:pStyle w:val="TableContents"/>
              <w:rPr>
                <w:sz w:val="4"/>
                <w:szCs w:val="4"/>
              </w:rPr>
            </w:pPr>
          </w:p>
        </w:tc>
        <w:tc>
          <w:tcPr>
            <w:tcW w:w="596" w:type="dxa"/>
            <w:vAlign w:val="center"/>
          </w:tcPr>
          <w:p w14:paraId="1BE51D15" w14:textId="77777777" w:rsidR="00E22AC0" w:rsidRDefault="00FC56F3">
            <w:pPr>
              <w:pStyle w:val="TableContents"/>
              <w:jc w:val="both"/>
            </w:pPr>
            <w:r>
              <w:t>b.</w:t>
            </w:r>
          </w:p>
        </w:tc>
        <w:tc>
          <w:tcPr>
            <w:tcW w:w="9495" w:type="dxa"/>
            <w:vAlign w:val="center"/>
          </w:tcPr>
          <w:p w14:paraId="3F996ACC" w14:textId="77777777" w:rsidR="00E22AC0" w:rsidRDefault="00FC56F3">
            <w:pPr>
              <w:pStyle w:val="TableContents"/>
              <w:jc w:val="both"/>
            </w:pPr>
            <w:r>
              <w:t xml:space="preserve">Steve </w:t>
            </w:r>
            <w:proofErr w:type="spellStart"/>
            <w:r>
              <w:t>Mallatt’s</w:t>
            </w:r>
            <w:proofErr w:type="spellEnd"/>
            <w:r>
              <w:t xml:space="preserve"> CPA license fees.</w:t>
            </w:r>
          </w:p>
        </w:tc>
      </w:tr>
    </w:tbl>
    <w:p w14:paraId="33BD7E64" w14:textId="77777777" w:rsidR="00E22AC0" w:rsidRDefault="00FC56F3">
      <w:pPr>
        <w:pStyle w:val="a3"/>
        <w:spacing w:after="0"/>
        <w:ind w:left="1440" w:hanging="360"/>
        <w:jc w:val="both"/>
      </w:pPr>
      <w:r>
        <w:t> </w:t>
      </w:r>
    </w:p>
    <w:tbl>
      <w:tblPr>
        <w:tblW w:w="5000" w:type="pct"/>
        <w:tblCellMar>
          <w:left w:w="0" w:type="dxa"/>
          <w:right w:w="0" w:type="dxa"/>
        </w:tblCellMar>
        <w:tblLook w:val="0000" w:firstRow="0" w:lastRow="0" w:firstColumn="0" w:lastColumn="0" w:noHBand="0" w:noVBand="0"/>
      </w:tblPr>
      <w:tblGrid>
        <w:gridCol w:w="77"/>
        <w:gridCol w:w="378"/>
        <w:gridCol w:w="9750"/>
      </w:tblGrid>
      <w:tr w:rsidR="00E22AC0" w14:paraId="463DEF01" w14:textId="77777777">
        <w:tc>
          <w:tcPr>
            <w:tcW w:w="77" w:type="dxa"/>
            <w:vAlign w:val="center"/>
          </w:tcPr>
          <w:p w14:paraId="07A695BA" w14:textId="77777777" w:rsidR="00E22AC0" w:rsidRDefault="00E22AC0">
            <w:pPr>
              <w:pStyle w:val="TableContents"/>
              <w:rPr>
                <w:sz w:val="4"/>
                <w:szCs w:val="4"/>
              </w:rPr>
            </w:pPr>
          </w:p>
        </w:tc>
        <w:tc>
          <w:tcPr>
            <w:tcW w:w="378" w:type="dxa"/>
            <w:vAlign w:val="center"/>
          </w:tcPr>
          <w:p w14:paraId="1CCABA6B" w14:textId="77777777" w:rsidR="00E22AC0" w:rsidRDefault="00FC56F3">
            <w:pPr>
              <w:pStyle w:val="TableContents"/>
              <w:jc w:val="both"/>
            </w:pPr>
            <w:r>
              <w:t>c.</w:t>
            </w:r>
          </w:p>
        </w:tc>
        <w:tc>
          <w:tcPr>
            <w:tcW w:w="9749" w:type="dxa"/>
            <w:vAlign w:val="center"/>
          </w:tcPr>
          <w:p w14:paraId="285E570A" w14:textId="77777777" w:rsidR="00E22AC0" w:rsidRDefault="00FC56F3">
            <w:pPr>
              <w:pStyle w:val="TableContents"/>
              <w:jc w:val="both"/>
            </w:pPr>
            <w:r>
              <w:t xml:space="preserve">Steve </w:t>
            </w:r>
            <w:proofErr w:type="spellStart"/>
            <w:r>
              <w:t>Mallatt’s</w:t>
            </w:r>
            <w:proofErr w:type="spellEnd"/>
            <w:r>
              <w:t xml:space="preserve"> auto insurance for one automobile.</w:t>
            </w:r>
          </w:p>
        </w:tc>
      </w:tr>
    </w:tbl>
    <w:p w14:paraId="5106C112" w14:textId="77777777" w:rsidR="00E22AC0" w:rsidRDefault="00FC56F3">
      <w:pPr>
        <w:pStyle w:val="a3"/>
        <w:spacing w:after="0"/>
        <w:ind w:left="1440" w:hanging="360"/>
        <w:jc w:val="both"/>
      </w:pPr>
      <w:r>
        <w:t> </w:t>
      </w:r>
    </w:p>
    <w:tbl>
      <w:tblPr>
        <w:tblW w:w="5000" w:type="pct"/>
        <w:tblCellMar>
          <w:left w:w="0" w:type="dxa"/>
          <w:right w:w="0" w:type="dxa"/>
        </w:tblCellMar>
        <w:tblLook w:val="0000" w:firstRow="0" w:lastRow="0" w:firstColumn="0" w:lastColumn="0" w:noHBand="0" w:noVBand="0"/>
      </w:tblPr>
      <w:tblGrid>
        <w:gridCol w:w="37"/>
        <w:gridCol w:w="200"/>
        <w:gridCol w:w="9968"/>
      </w:tblGrid>
      <w:tr w:rsidR="00E22AC0" w14:paraId="225510DB" w14:textId="77777777">
        <w:tc>
          <w:tcPr>
            <w:tcW w:w="37" w:type="dxa"/>
            <w:vAlign w:val="center"/>
          </w:tcPr>
          <w:p w14:paraId="0B29A2DD" w14:textId="77777777" w:rsidR="00E22AC0" w:rsidRDefault="00E22AC0">
            <w:pPr>
              <w:pStyle w:val="TableContents"/>
              <w:rPr>
                <w:sz w:val="4"/>
                <w:szCs w:val="4"/>
              </w:rPr>
            </w:pPr>
          </w:p>
        </w:tc>
        <w:tc>
          <w:tcPr>
            <w:tcW w:w="200" w:type="dxa"/>
            <w:vAlign w:val="center"/>
          </w:tcPr>
          <w:p w14:paraId="5759AB29" w14:textId="77777777" w:rsidR="00E22AC0" w:rsidRDefault="00FC56F3">
            <w:pPr>
              <w:pStyle w:val="TableContents"/>
              <w:jc w:val="both"/>
            </w:pPr>
            <w:r>
              <w:t>d.</w:t>
            </w:r>
          </w:p>
        </w:tc>
        <w:tc>
          <w:tcPr>
            <w:tcW w:w="9968" w:type="dxa"/>
            <w:vAlign w:val="center"/>
          </w:tcPr>
          <w:p w14:paraId="26082A8C" w14:textId="77777777" w:rsidR="00E22AC0" w:rsidRDefault="00FC56F3">
            <w:pPr>
              <w:pStyle w:val="TableContents"/>
              <w:jc w:val="both"/>
            </w:pPr>
            <w:r>
              <w:t xml:space="preserve">Cell phone service plan Steve and Rita </w:t>
            </w:r>
            <w:proofErr w:type="spellStart"/>
            <w:r>
              <w:t>Mallatt</w:t>
            </w:r>
            <w:proofErr w:type="spellEnd"/>
            <w:r>
              <w:t>. Sellers’ three children may remain on the such plan, subject to reimbursement to the Company by the Sellers.</w:t>
            </w:r>
          </w:p>
        </w:tc>
      </w:tr>
    </w:tbl>
    <w:p w14:paraId="34746CCA" w14:textId="77777777" w:rsidR="00E22AC0" w:rsidRDefault="00FC56F3">
      <w:pPr>
        <w:pStyle w:val="a3"/>
        <w:spacing w:after="0"/>
        <w:ind w:left="1440" w:hanging="360"/>
        <w:jc w:val="both"/>
      </w:pPr>
      <w:r>
        <w:t> </w:t>
      </w:r>
    </w:p>
    <w:tbl>
      <w:tblPr>
        <w:tblW w:w="5000" w:type="pct"/>
        <w:tblCellMar>
          <w:left w:w="0" w:type="dxa"/>
          <w:right w:w="0" w:type="dxa"/>
        </w:tblCellMar>
        <w:tblLook w:val="0000" w:firstRow="0" w:lastRow="0" w:firstColumn="0" w:lastColumn="0" w:noHBand="0" w:noVBand="0"/>
      </w:tblPr>
      <w:tblGrid>
        <w:gridCol w:w="59"/>
        <w:gridCol w:w="290"/>
        <w:gridCol w:w="9856"/>
      </w:tblGrid>
      <w:tr w:rsidR="00E22AC0" w14:paraId="7454C9C1" w14:textId="77777777">
        <w:tc>
          <w:tcPr>
            <w:tcW w:w="59" w:type="dxa"/>
            <w:vAlign w:val="center"/>
          </w:tcPr>
          <w:p w14:paraId="717E42F1" w14:textId="77777777" w:rsidR="00E22AC0" w:rsidRDefault="00E22AC0">
            <w:pPr>
              <w:pStyle w:val="TableContents"/>
              <w:rPr>
                <w:sz w:val="4"/>
                <w:szCs w:val="4"/>
              </w:rPr>
            </w:pPr>
          </w:p>
        </w:tc>
        <w:tc>
          <w:tcPr>
            <w:tcW w:w="290" w:type="dxa"/>
            <w:vAlign w:val="center"/>
          </w:tcPr>
          <w:p w14:paraId="13DB1549" w14:textId="77777777" w:rsidR="00E22AC0" w:rsidRDefault="00FC56F3">
            <w:pPr>
              <w:pStyle w:val="TableContents"/>
              <w:jc w:val="both"/>
            </w:pPr>
            <w:r>
              <w:t>e.</w:t>
            </w:r>
          </w:p>
        </w:tc>
        <w:tc>
          <w:tcPr>
            <w:tcW w:w="9855" w:type="dxa"/>
            <w:vAlign w:val="center"/>
          </w:tcPr>
          <w:p w14:paraId="56CC3D34" w14:textId="77777777" w:rsidR="00E22AC0" w:rsidRDefault="00FC56F3">
            <w:pPr>
              <w:pStyle w:val="TableContents"/>
              <w:jc w:val="both"/>
            </w:pPr>
            <w:r>
              <w:t xml:space="preserve">Sellers’ home internet service (for </w:t>
            </w:r>
            <w:r>
              <w:t>remote access to the Company).</w:t>
            </w:r>
          </w:p>
        </w:tc>
      </w:tr>
    </w:tbl>
    <w:p w14:paraId="73CCF775" w14:textId="77777777" w:rsidR="00E22AC0" w:rsidRDefault="00FC56F3">
      <w:pPr>
        <w:pStyle w:val="a3"/>
        <w:spacing w:after="0"/>
        <w:ind w:left="1440" w:hanging="360"/>
        <w:jc w:val="both"/>
      </w:pPr>
      <w:r>
        <w:t> </w:t>
      </w:r>
    </w:p>
    <w:tbl>
      <w:tblPr>
        <w:tblW w:w="5000" w:type="pct"/>
        <w:tblCellMar>
          <w:left w:w="0" w:type="dxa"/>
          <w:right w:w="0" w:type="dxa"/>
        </w:tblCellMar>
        <w:tblLook w:val="0000" w:firstRow="0" w:lastRow="0" w:firstColumn="0" w:lastColumn="0" w:noHBand="0" w:noVBand="0"/>
      </w:tblPr>
      <w:tblGrid>
        <w:gridCol w:w="77"/>
        <w:gridCol w:w="410"/>
        <w:gridCol w:w="9718"/>
      </w:tblGrid>
      <w:tr w:rsidR="00E22AC0" w14:paraId="1B749F2F" w14:textId="77777777">
        <w:tc>
          <w:tcPr>
            <w:tcW w:w="77" w:type="dxa"/>
            <w:vAlign w:val="center"/>
          </w:tcPr>
          <w:p w14:paraId="193E3792" w14:textId="77777777" w:rsidR="00E22AC0" w:rsidRDefault="00E22AC0">
            <w:pPr>
              <w:pStyle w:val="TableContents"/>
              <w:rPr>
                <w:sz w:val="4"/>
                <w:szCs w:val="4"/>
              </w:rPr>
            </w:pPr>
          </w:p>
        </w:tc>
        <w:tc>
          <w:tcPr>
            <w:tcW w:w="410" w:type="dxa"/>
            <w:vAlign w:val="center"/>
          </w:tcPr>
          <w:p w14:paraId="02E69D75" w14:textId="77777777" w:rsidR="00E22AC0" w:rsidRDefault="00FC56F3">
            <w:pPr>
              <w:pStyle w:val="TableContents"/>
              <w:jc w:val="both"/>
            </w:pPr>
            <w:r>
              <w:t>4.</w:t>
            </w:r>
          </w:p>
        </w:tc>
        <w:tc>
          <w:tcPr>
            <w:tcW w:w="9717" w:type="dxa"/>
            <w:vAlign w:val="center"/>
          </w:tcPr>
          <w:p w14:paraId="64333492" w14:textId="77777777" w:rsidR="00E22AC0" w:rsidRDefault="00FC56F3">
            <w:pPr>
              <w:pStyle w:val="TableContents"/>
              <w:jc w:val="both"/>
            </w:pPr>
            <w:r>
              <w:t>Other benefits during such period of employment:</w:t>
            </w:r>
          </w:p>
        </w:tc>
      </w:tr>
    </w:tbl>
    <w:p w14:paraId="640B85E5" w14:textId="77777777" w:rsidR="00E22AC0" w:rsidRDefault="00FC56F3">
      <w:pPr>
        <w:pStyle w:val="a3"/>
        <w:spacing w:after="0"/>
        <w:ind w:left="1440" w:hanging="360"/>
        <w:jc w:val="both"/>
      </w:pPr>
      <w:r>
        <w:t> </w:t>
      </w:r>
    </w:p>
    <w:tbl>
      <w:tblPr>
        <w:tblW w:w="5000" w:type="pct"/>
        <w:tblCellMar>
          <w:left w:w="0" w:type="dxa"/>
          <w:right w:w="0" w:type="dxa"/>
        </w:tblCellMar>
        <w:tblLook w:val="0000" w:firstRow="0" w:lastRow="0" w:firstColumn="0" w:lastColumn="0" w:noHBand="0" w:noVBand="0"/>
      </w:tblPr>
      <w:tblGrid>
        <w:gridCol w:w="37"/>
        <w:gridCol w:w="185"/>
        <w:gridCol w:w="9983"/>
      </w:tblGrid>
      <w:tr w:rsidR="00E22AC0" w14:paraId="1F699937" w14:textId="77777777">
        <w:tc>
          <w:tcPr>
            <w:tcW w:w="37" w:type="dxa"/>
            <w:vAlign w:val="center"/>
          </w:tcPr>
          <w:p w14:paraId="291C8865" w14:textId="77777777" w:rsidR="00E22AC0" w:rsidRDefault="00E22AC0">
            <w:pPr>
              <w:pStyle w:val="TableContents"/>
              <w:rPr>
                <w:sz w:val="4"/>
                <w:szCs w:val="4"/>
              </w:rPr>
            </w:pPr>
          </w:p>
        </w:tc>
        <w:tc>
          <w:tcPr>
            <w:tcW w:w="185" w:type="dxa"/>
            <w:vAlign w:val="center"/>
          </w:tcPr>
          <w:p w14:paraId="46A95B3D" w14:textId="77777777" w:rsidR="00E22AC0" w:rsidRDefault="00FC56F3">
            <w:pPr>
              <w:pStyle w:val="TableContents"/>
              <w:jc w:val="both"/>
            </w:pPr>
            <w:r>
              <w:t>a.</w:t>
            </w:r>
          </w:p>
        </w:tc>
        <w:tc>
          <w:tcPr>
            <w:tcW w:w="9983" w:type="dxa"/>
            <w:vAlign w:val="center"/>
          </w:tcPr>
          <w:p w14:paraId="6A1E171D" w14:textId="77777777" w:rsidR="00E22AC0" w:rsidRDefault="00FC56F3">
            <w:pPr>
              <w:pStyle w:val="TableContents"/>
              <w:jc w:val="both"/>
            </w:pPr>
            <w:r>
              <w:t xml:space="preserve">Each of Steve and Rita </w:t>
            </w:r>
            <w:proofErr w:type="spellStart"/>
            <w:r>
              <w:t>Mallat</w:t>
            </w:r>
            <w:proofErr w:type="spellEnd"/>
            <w:r>
              <w:t xml:space="preserve"> will shall remain on the Company’s Costco business account, provided that such account is used for business purposes and not for </w:t>
            </w:r>
            <w:r>
              <w:t>personal use.</w:t>
            </w:r>
          </w:p>
        </w:tc>
      </w:tr>
    </w:tbl>
    <w:p w14:paraId="3127991D" w14:textId="77777777" w:rsidR="00E22AC0" w:rsidRDefault="00FC56F3">
      <w:pPr>
        <w:pStyle w:val="a3"/>
        <w:spacing w:after="0"/>
        <w:ind w:left="1440" w:hanging="360"/>
        <w:jc w:val="both"/>
      </w:pPr>
      <w:r>
        <w:t> </w:t>
      </w:r>
    </w:p>
    <w:tbl>
      <w:tblPr>
        <w:tblW w:w="5000" w:type="pct"/>
        <w:tblCellMar>
          <w:left w:w="0" w:type="dxa"/>
          <w:right w:w="0" w:type="dxa"/>
        </w:tblCellMar>
        <w:tblLook w:val="0000" w:firstRow="0" w:lastRow="0" w:firstColumn="0" w:lastColumn="0" w:noHBand="0" w:noVBand="0"/>
      </w:tblPr>
      <w:tblGrid>
        <w:gridCol w:w="37"/>
        <w:gridCol w:w="200"/>
        <w:gridCol w:w="9968"/>
      </w:tblGrid>
      <w:tr w:rsidR="00E22AC0" w14:paraId="1C43A22D" w14:textId="77777777">
        <w:tc>
          <w:tcPr>
            <w:tcW w:w="37" w:type="dxa"/>
            <w:vAlign w:val="center"/>
          </w:tcPr>
          <w:p w14:paraId="5729C7F9" w14:textId="77777777" w:rsidR="00E22AC0" w:rsidRDefault="00E22AC0">
            <w:pPr>
              <w:pStyle w:val="TableContents"/>
              <w:rPr>
                <w:sz w:val="4"/>
                <w:szCs w:val="4"/>
              </w:rPr>
            </w:pPr>
          </w:p>
        </w:tc>
        <w:tc>
          <w:tcPr>
            <w:tcW w:w="200" w:type="dxa"/>
            <w:vAlign w:val="center"/>
          </w:tcPr>
          <w:p w14:paraId="78E97E82" w14:textId="77777777" w:rsidR="00E22AC0" w:rsidRDefault="00FC56F3">
            <w:pPr>
              <w:pStyle w:val="TableContents"/>
              <w:jc w:val="both"/>
            </w:pPr>
            <w:r>
              <w:t>b.</w:t>
            </w:r>
          </w:p>
        </w:tc>
        <w:tc>
          <w:tcPr>
            <w:tcW w:w="9968" w:type="dxa"/>
            <w:vAlign w:val="center"/>
          </w:tcPr>
          <w:p w14:paraId="30A74660" w14:textId="77777777" w:rsidR="00E22AC0" w:rsidRDefault="00FC56F3">
            <w:pPr>
              <w:pStyle w:val="TableContents"/>
              <w:jc w:val="both"/>
            </w:pPr>
            <w:r>
              <w:t>Allow monthly credit card bills to continue to be paid on INK / AMEX business credit cards, provided that such account is used for business purposes and not for personal use.</w:t>
            </w:r>
          </w:p>
        </w:tc>
      </w:tr>
    </w:tbl>
    <w:p w14:paraId="69B14EE5" w14:textId="77777777" w:rsidR="00E22AC0" w:rsidRDefault="00FC56F3">
      <w:pPr>
        <w:pStyle w:val="a3"/>
        <w:spacing w:after="0"/>
        <w:ind w:left="1440" w:hanging="360"/>
        <w:jc w:val="both"/>
      </w:pPr>
      <w:r>
        <w:t> </w:t>
      </w:r>
    </w:p>
    <w:tbl>
      <w:tblPr>
        <w:tblW w:w="5000" w:type="pct"/>
        <w:tblCellMar>
          <w:left w:w="0" w:type="dxa"/>
          <w:right w:w="0" w:type="dxa"/>
        </w:tblCellMar>
        <w:tblLook w:val="0000" w:firstRow="0" w:lastRow="0" w:firstColumn="0" w:lastColumn="0" w:noHBand="0" w:noVBand="0"/>
      </w:tblPr>
      <w:tblGrid>
        <w:gridCol w:w="37"/>
        <w:gridCol w:w="185"/>
        <w:gridCol w:w="9983"/>
      </w:tblGrid>
      <w:tr w:rsidR="00E22AC0" w14:paraId="7B379916" w14:textId="77777777">
        <w:tc>
          <w:tcPr>
            <w:tcW w:w="37" w:type="dxa"/>
            <w:vAlign w:val="center"/>
          </w:tcPr>
          <w:p w14:paraId="522C8A05" w14:textId="77777777" w:rsidR="00E22AC0" w:rsidRDefault="00E22AC0">
            <w:pPr>
              <w:pStyle w:val="TableContents"/>
              <w:rPr>
                <w:sz w:val="4"/>
                <w:szCs w:val="4"/>
              </w:rPr>
            </w:pPr>
          </w:p>
        </w:tc>
        <w:tc>
          <w:tcPr>
            <w:tcW w:w="185" w:type="dxa"/>
            <w:vAlign w:val="center"/>
          </w:tcPr>
          <w:p w14:paraId="11B7D210" w14:textId="77777777" w:rsidR="00E22AC0" w:rsidRDefault="00FC56F3">
            <w:pPr>
              <w:pStyle w:val="TableContents"/>
              <w:jc w:val="both"/>
            </w:pPr>
            <w:r>
              <w:t>c.</w:t>
            </w:r>
          </w:p>
        </w:tc>
        <w:tc>
          <w:tcPr>
            <w:tcW w:w="9983" w:type="dxa"/>
            <w:vAlign w:val="center"/>
          </w:tcPr>
          <w:p w14:paraId="54026709" w14:textId="77777777" w:rsidR="00E22AC0" w:rsidRDefault="00FC56F3">
            <w:pPr>
              <w:pStyle w:val="TableContents"/>
              <w:jc w:val="both"/>
            </w:pPr>
            <w:r>
              <w:t xml:space="preserve">Steve and Rita </w:t>
            </w:r>
            <w:proofErr w:type="spellStart"/>
            <w:r>
              <w:t>Mallatt</w:t>
            </w:r>
            <w:proofErr w:type="spellEnd"/>
            <w:r>
              <w:t xml:space="preserve"> shall be eligible to </w:t>
            </w:r>
            <w:r>
              <w:t>participate in the Company’s offered health insurance and afforded the same opportunities for participation as other employees.</w:t>
            </w:r>
          </w:p>
        </w:tc>
      </w:tr>
    </w:tbl>
    <w:p w14:paraId="1EF8D283" w14:textId="77777777" w:rsidR="00E22AC0" w:rsidRDefault="00FC56F3">
      <w:pPr>
        <w:pStyle w:val="a3"/>
        <w:spacing w:after="0"/>
        <w:jc w:val="center"/>
      </w:pPr>
      <w:r>
        <w:t> </w:t>
      </w:r>
    </w:p>
    <w:p w14:paraId="4AB0A642" w14:textId="77777777" w:rsidR="00E22AC0" w:rsidRDefault="00FC56F3">
      <w:pPr>
        <w:pStyle w:val="a3"/>
        <w:spacing w:after="0"/>
        <w:jc w:val="center"/>
      </w:pPr>
      <w:r>
        <w:t> </w:t>
      </w:r>
    </w:p>
    <w:p w14:paraId="75E7146E" w14:textId="77777777" w:rsidR="00E22AC0" w:rsidRDefault="00FC56F3">
      <w:pPr>
        <w:pStyle w:val="a3"/>
        <w:spacing w:after="0"/>
        <w:jc w:val="center"/>
      </w:pPr>
      <w:r>
        <w:t> </w:t>
      </w:r>
    </w:p>
    <w:p w14:paraId="3D07B3BA" w14:textId="77777777" w:rsidR="00E22AC0" w:rsidRDefault="00FC56F3">
      <w:pPr>
        <w:pStyle w:val="a3"/>
        <w:rPr>
          <w:bdr w:val="single" w:sz="12" w:space="1" w:color="000000"/>
        </w:rPr>
      </w:pPr>
      <w:r>
        <w:rPr>
          <w:bdr w:val="single" w:sz="12" w:space="1" w:color="000000"/>
        </w:rPr>
        <w:t> </w:t>
      </w:r>
    </w:p>
    <w:p w14:paraId="6B86B278" w14:textId="77777777" w:rsidR="00E22AC0" w:rsidRDefault="00FC56F3">
      <w:pPr>
        <w:pStyle w:val="a3"/>
        <w:spacing w:after="0"/>
        <w:jc w:val="center"/>
      </w:pPr>
      <w:r>
        <w:t> </w:t>
      </w:r>
    </w:p>
    <w:sectPr w:rsidR="00E22AC0">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Times New Roman;Times;Serif">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E22AC0"/>
    <w:rsid w:val="00E22AC0"/>
    <w:rsid w:val="00FC5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34A7"/>
  <w15:docId w15:val="{172CA281-56E8-4617-8C27-F50C0CA9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17105</Words>
  <Characters>97500</Characters>
  <Application>Microsoft Office Word</Application>
  <DocSecurity>0</DocSecurity>
  <Lines>812</Lines>
  <Paragraphs>228</Paragraphs>
  <ScaleCrop>false</ScaleCrop>
  <Company/>
  <LinksUpToDate>false</LinksUpToDate>
  <CharactersWithSpaces>114377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zou zhenhua</cp:lastModifiedBy>
  <cp:revision>2</cp:revision>
  <dcterms:created xsi:type="dcterms:W3CDTF">2021-04-26T05:47:00Z</dcterms:created>
  <dcterms:modified xsi:type="dcterms:W3CDTF">2021-04-26T05:55:00Z</dcterms:modified>
  <dc:language>en-US</dc:language>
</cp:coreProperties>
</file>