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BD88A" w14:textId="77777777" w:rsidR="00616CCF" w:rsidRDefault="004615D0">
      <w:pPr>
        <w:pStyle w:val="5"/>
      </w:pPr>
      <w:r>
        <w:t> </w:t>
      </w:r>
    </w:p>
    <w:p w14:paraId="720EF87A" w14:textId="77777777" w:rsidR="00616CCF" w:rsidRDefault="004615D0">
      <w:pPr>
        <w:pStyle w:val="TextBody"/>
        <w:spacing w:before="360"/>
        <w:jc w:val="center"/>
        <w:rPr>
          <w:rFonts w:ascii="Times New Roman;Times;serif" w:hAnsi="Times New Roman;Times;serif"/>
          <w:sz w:val="20"/>
        </w:rPr>
      </w:pPr>
      <w:r>
        <w:rPr>
          <w:rFonts w:ascii="Times New Roman;Times;serif" w:hAnsi="Times New Roman;Times;serif"/>
          <w:sz w:val="20"/>
        </w:rPr>
        <w:t xml:space="preserve">STOCK PURCHASE AGREEMENT </w:t>
      </w:r>
    </w:p>
    <w:p w14:paraId="435F5210" w14:textId="77777777" w:rsidR="00616CCF" w:rsidRDefault="004615D0">
      <w:pPr>
        <w:pStyle w:val="TextBody"/>
        <w:spacing w:before="120"/>
      </w:pPr>
      <w:r>
        <w:t>     </w:t>
      </w:r>
      <w:r>
        <w:rPr>
          <w:rFonts w:ascii="Times New Roman;Times;serif" w:hAnsi="Times New Roman;Times;serif"/>
          <w:sz w:val="20"/>
        </w:rPr>
        <w:t xml:space="preserve">THIS STOCK PURCHASE AGREEMENT (this “Agreement”) is made this 6th day of February, 2007, between Craig Pierson (“Buyer”), and Mark Capital, LLC (“Seller”). </w:t>
      </w:r>
    </w:p>
    <w:p w14:paraId="3ADBFF76" w14:textId="77777777" w:rsidR="00616CCF" w:rsidRDefault="004615D0">
      <w:pPr>
        <w:pStyle w:val="TextBody"/>
        <w:spacing w:before="120"/>
      </w:pPr>
      <w:r>
        <w:t>     </w:t>
      </w:r>
      <w:r>
        <w:rPr>
          <w:rFonts w:ascii="Times New Roman;Times;serif" w:hAnsi="Times New Roman;Times;serif"/>
          <w:sz w:val="20"/>
        </w:rPr>
        <w:t xml:space="preserve">WHEREAS, Buyer desires to acquire Fifty Thousand (50,000) shares of the Common Stock of </w:t>
      </w:r>
      <w:proofErr w:type="spellStart"/>
      <w:r>
        <w:rPr>
          <w:rFonts w:ascii="Times New Roman;Times;serif" w:hAnsi="Times New Roman;Times;serif"/>
          <w:sz w:val="20"/>
        </w:rPr>
        <w:t>Quantr</w:t>
      </w:r>
      <w:r>
        <w:rPr>
          <w:rFonts w:ascii="Times New Roman;Times;serif" w:hAnsi="Times New Roman;Times;serif"/>
          <w:sz w:val="20"/>
        </w:rPr>
        <w:t>x</w:t>
      </w:r>
      <w:proofErr w:type="spellEnd"/>
      <w:r>
        <w:rPr>
          <w:rFonts w:ascii="Times New Roman;Times;serif" w:hAnsi="Times New Roman;Times;serif"/>
          <w:sz w:val="20"/>
        </w:rPr>
        <w:t xml:space="preserve"> Biomedical Corporation, a Nevada corporation (the “Company”), owned by the Seller (the “Seller Stock”), and Seller desires to sell to Buyer all of the Seller Stock according to the terms and conditions contained herein; </w:t>
      </w:r>
    </w:p>
    <w:p w14:paraId="24E42EEE" w14:textId="77777777" w:rsidR="00616CCF" w:rsidRDefault="004615D0">
      <w:pPr>
        <w:pStyle w:val="TextBody"/>
        <w:spacing w:before="120"/>
      </w:pPr>
      <w:r>
        <w:t>     </w:t>
      </w:r>
      <w:r>
        <w:rPr>
          <w:rFonts w:ascii="Times New Roman;Times;serif" w:hAnsi="Times New Roman;Times;serif"/>
          <w:sz w:val="20"/>
        </w:rPr>
        <w:t xml:space="preserve">NOW, THEREFORE, the parties </w:t>
      </w:r>
      <w:r>
        <w:rPr>
          <w:rFonts w:ascii="Times New Roman;Times;serif" w:hAnsi="Times New Roman;Times;serif"/>
          <w:sz w:val="20"/>
        </w:rPr>
        <w:t xml:space="preserve">agree as follows: </w:t>
      </w:r>
    </w:p>
    <w:p w14:paraId="60E92ADD" w14:textId="77777777" w:rsidR="00616CCF" w:rsidRDefault="004615D0">
      <w:pPr>
        <w:pStyle w:val="TextBody"/>
        <w:spacing w:before="240"/>
      </w:pPr>
      <w:r>
        <w:t>     </w:t>
      </w:r>
      <w:r>
        <w:rPr>
          <w:rFonts w:ascii="Times New Roman;Times;serif" w:hAnsi="Times New Roman;Times;serif"/>
          <w:sz w:val="20"/>
        </w:rPr>
        <w:t xml:space="preserve">1. </w:t>
      </w:r>
      <w:r>
        <w:rPr>
          <w:rFonts w:ascii="Times New Roman;Times;serif" w:hAnsi="Times New Roman;Times;serif"/>
          <w:sz w:val="20"/>
          <w:u w:val="single"/>
        </w:rPr>
        <w:t>Stock Purchase</w:t>
      </w:r>
      <w:r>
        <w:rPr>
          <w:rFonts w:ascii="Times New Roman;Times;serif" w:hAnsi="Times New Roman;Times;serif"/>
          <w:sz w:val="20"/>
        </w:rPr>
        <w:t>. Buyer hereby agrees to purchase from Seller and Seller agrees to sell to Buyer all of the Seller Stock in exchange for an aggregate purchase price of Thirty Five Thousand Dollars ($35,000.00) (the “Purchase Price”</w:t>
      </w:r>
      <w:r>
        <w:rPr>
          <w:rFonts w:ascii="Times New Roman;Times;serif" w:hAnsi="Times New Roman;Times;serif"/>
          <w:sz w:val="20"/>
        </w:rPr>
        <w:t xml:space="preserve">). The closing of the purchase and sale of the Seller Stock (the “Closing”) will occur contemporaneously with the full execution of this Agreement. At the Closing, the Buyer will deliver to Seller the amount of the Purchase Price by wire transfer pursuant </w:t>
      </w:r>
      <w:r>
        <w:rPr>
          <w:rFonts w:ascii="Times New Roman;Times;serif" w:hAnsi="Times New Roman;Times;serif"/>
          <w:sz w:val="20"/>
        </w:rPr>
        <w:t xml:space="preserve">to the following wire instructions: </w:t>
      </w:r>
    </w:p>
    <w:p w14:paraId="6C1E4849" w14:textId="77777777" w:rsidR="00616CCF" w:rsidRDefault="004615D0">
      <w:pPr>
        <w:pStyle w:val="TextBody"/>
        <w:spacing w:before="120"/>
      </w:pPr>
      <w:r>
        <w:t>     </w:t>
      </w:r>
      <w:r>
        <w:rPr>
          <w:rFonts w:ascii="Times New Roman;Times;serif" w:hAnsi="Times New Roman;Times;serif"/>
          <w:sz w:val="20"/>
        </w:rPr>
        <w:t xml:space="preserve">Wells Fargo Bank </w:t>
      </w:r>
    </w:p>
    <w:p w14:paraId="60C7F6DA" w14:textId="77777777" w:rsidR="00616CCF" w:rsidRDefault="004615D0">
      <w:pPr>
        <w:pStyle w:val="TextBody"/>
      </w:pPr>
      <w:r>
        <w:t>     </w:t>
      </w:r>
      <w:r>
        <w:rPr>
          <w:rFonts w:ascii="Times New Roman;Times;serif" w:hAnsi="Times New Roman;Times;serif"/>
          <w:sz w:val="20"/>
        </w:rPr>
        <w:t xml:space="preserve">ABA#121 000 248 </w:t>
      </w:r>
    </w:p>
    <w:p w14:paraId="7255FD68" w14:textId="77777777" w:rsidR="00616CCF" w:rsidRDefault="004615D0">
      <w:pPr>
        <w:pStyle w:val="TextBody"/>
      </w:pPr>
      <w:r>
        <w:t>     </w:t>
      </w:r>
      <w:r>
        <w:rPr>
          <w:rFonts w:ascii="Times New Roman;Times;serif" w:hAnsi="Times New Roman;Times;serif"/>
          <w:sz w:val="20"/>
        </w:rPr>
        <w:t xml:space="preserve">Swift Code #WFBIUS6S (International Wires Only) </w:t>
      </w:r>
    </w:p>
    <w:p w14:paraId="67E7746B" w14:textId="77777777" w:rsidR="00616CCF" w:rsidRDefault="004615D0">
      <w:pPr>
        <w:pStyle w:val="TextBody"/>
      </w:pPr>
      <w:r>
        <w:t>     </w:t>
      </w:r>
      <w:r>
        <w:rPr>
          <w:rFonts w:ascii="Times New Roman;Times;serif" w:hAnsi="Times New Roman;Times;serif"/>
          <w:sz w:val="20"/>
        </w:rPr>
        <w:t xml:space="preserve">Account # 043 526 4775 </w:t>
      </w:r>
    </w:p>
    <w:p w14:paraId="356A0D9B" w14:textId="77777777" w:rsidR="00616CCF" w:rsidRDefault="004615D0">
      <w:pPr>
        <w:pStyle w:val="TextBody"/>
      </w:pPr>
      <w:r>
        <w:t>     </w:t>
      </w:r>
      <w:r>
        <w:rPr>
          <w:rFonts w:ascii="Times New Roman;Times;serif" w:hAnsi="Times New Roman;Times;serif"/>
          <w:sz w:val="20"/>
        </w:rPr>
        <w:t xml:space="preserve">Account Name: Evan M. Levine </w:t>
      </w:r>
    </w:p>
    <w:p w14:paraId="4098B9E4" w14:textId="77777777" w:rsidR="00616CCF" w:rsidRDefault="004615D0">
      <w:pPr>
        <w:pStyle w:val="TextBody"/>
      </w:pPr>
      <w:r>
        <w:t>     </w:t>
      </w:r>
      <w:r>
        <w:rPr>
          <w:rFonts w:ascii="Times New Roman;Times;serif" w:hAnsi="Times New Roman;Times;serif"/>
          <w:sz w:val="20"/>
        </w:rPr>
        <w:t xml:space="preserve">3445 Del Mar Heights Road </w:t>
      </w:r>
    </w:p>
    <w:p w14:paraId="3E203DB7" w14:textId="77777777" w:rsidR="00616CCF" w:rsidRDefault="004615D0">
      <w:pPr>
        <w:pStyle w:val="TextBody"/>
      </w:pPr>
      <w:r>
        <w:t>     </w:t>
      </w:r>
      <w:r>
        <w:rPr>
          <w:rFonts w:ascii="Times New Roman;Times;serif" w:hAnsi="Times New Roman;Times;serif"/>
          <w:sz w:val="20"/>
        </w:rPr>
        <w:t>San Diego, CA 92130</w:t>
      </w:r>
      <w:r>
        <w:rPr>
          <w:rFonts w:ascii="Times New Roman;Times;serif" w:hAnsi="Times New Roman;Times;serif"/>
          <w:sz w:val="20"/>
        </w:rPr>
        <w:t xml:space="preserve"> </w:t>
      </w:r>
    </w:p>
    <w:p w14:paraId="75EC5FCE" w14:textId="77777777" w:rsidR="00616CCF" w:rsidRDefault="004615D0">
      <w:pPr>
        <w:pStyle w:val="TextBody"/>
      </w:pPr>
      <w:r>
        <w:t>     </w:t>
      </w:r>
      <w:r>
        <w:rPr>
          <w:rFonts w:ascii="Times New Roman;Times;serif" w:hAnsi="Times New Roman;Times;serif"/>
          <w:sz w:val="20"/>
        </w:rPr>
        <w:t xml:space="preserve">858-792-9982 </w:t>
      </w:r>
    </w:p>
    <w:p w14:paraId="0824693C" w14:textId="77777777" w:rsidR="00616CCF" w:rsidRDefault="004615D0">
      <w:pPr>
        <w:pStyle w:val="TextBody"/>
        <w:spacing w:before="120"/>
        <w:rPr>
          <w:rFonts w:ascii="Times New Roman;Times;serif" w:hAnsi="Times New Roman;Times;serif"/>
          <w:sz w:val="20"/>
        </w:rPr>
      </w:pPr>
      <w:r>
        <w:rPr>
          <w:rFonts w:ascii="Times New Roman;Times;serif" w:hAnsi="Times New Roman;Times;serif"/>
          <w:sz w:val="20"/>
        </w:rPr>
        <w:t xml:space="preserve">As soon as practical following the Closing, Seller will deliver to the Company each certificate representing the Seller Stock so as to transfer the Seller Stock to Buyer. </w:t>
      </w:r>
    </w:p>
    <w:p w14:paraId="77E5DEF6" w14:textId="77777777" w:rsidR="00616CCF" w:rsidRDefault="004615D0">
      <w:pPr>
        <w:pStyle w:val="TextBody"/>
        <w:spacing w:before="120"/>
      </w:pPr>
      <w:r>
        <w:t>     </w:t>
      </w:r>
      <w:r>
        <w:rPr>
          <w:rFonts w:ascii="Times New Roman;Times;serif" w:hAnsi="Times New Roman;Times;serif"/>
          <w:sz w:val="20"/>
        </w:rPr>
        <w:t>2. </w:t>
      </w:r>
      <w:r>
        <w:rPr>
          <w:rFonts w:ascii="Times New Roman;Times;serif" w:hAnsi="Times New Roman;Times;serif"/>
          <w:sz w:val="20"/>
          <w:u w:val="single"/>
        </w:rPr>
        <w:t>Payment of Purchase Price</w:t>
      </w:r>
      <w:r>
        <w:rPr>
          <w:rFonts w:ascii="Times New Roman;Times;serif" w:hAnsi="Times New Roman;Times;serif"/>
          <w:sz w:val="20"/>
        </w:rPr>
        <w:t>. The sufficiency of the Purch</w:t>
      </w:r>
      <w:r>
        <w:rPr>
          <w:rFonts w:ascii="Times New Roman;Times;serif" w:hAnsi="Times New Roman;Times;serif"/>
          <w:sz w:val="20"/>
        </w:rPr>
        <w:t xml:space="preserve">ase Price is hereby acknowledged by Seller. </w:t>
      </w:r>
    </w:p>
    <w:p w14:paraId="48A77E19" w14:textId="77777777" w:rsidR="00616CCF" w:rsidRDefault="004615D0">
      <w:pPr>
        <w:pStyle w:val="TextBody"/>
        <w:spacing w:before="120"/>
      </w:pPr>
      <w:r>
        <w:t>     </w:t>
      </w:r>
      <w:r>
        <w:rPr>
          <w:rFonts w:ascii="Times New Roman;Times;serif" w:hAnsi="Times New Roman;Times;serif"/>
          <w:sz w:val="20"/>
        </w:rPr>
        <w:t>3. </w:t>
      </w:r>
      <w:r>
        <w:rPr>
          <w:rFonts w:ascii="Times New Roman;Times;serif" w:hAnsi="Times New Roman;Times;serif"/>
          <w:sz w:val="20"/>
          <w:u w:val="single"/>
        </w:rPr>
        <w:t>Seller Representations and Warranties</w:t>
      </w:r>
      <w:r>
        <w:rPr>
          <w:rFonts w:ascii="Times New Roman;Times;serif" w:hAnsi="Times New Roman;Times;serif"/>
          <w:sz w:val="20"/>
        </w:rPr>
        <w:t>. Seller represents and warrants that Seller owns beneficially and of record the Seller Stock, free and clear of all liens and encumbrances, and has good and valid ti</w:t>
      </w:r>
      <w:r>
        <w:rPr>
          <w:rFonts w:ascii="Times New Roman;Times;serif" w:hAnsi="Times New Roman;Times;serif"/>
          <w:sz w:val="20"/>
        </w:rPr>
        <w:t xml:space="preserve">tle to such Seller Stock. The delivery of the stock certificate(s) representing the Seller Stock owned by Seller will transfer to Buyer good and valid title thereto free and clear of all liens and encumbrances. Seller has the right, power and authority to </w:t>
      </w:r>
      <w:r>
        <w:rPr>
          <w:rFonts w:ascii="Times New Roman;Times;serif" w:hAnsi="Times New Roman;Times;serif"/>
          <w:sz w:val="20"/>
        </w:rPr>
        <w:t>enter into this Agreement and consummate the transactions contemplated hereby, and has obtained all necessary approvals and consents. Seller makes no representations or warranties to Buyer with respect to the Seller Stock other than those set forth herein.</w:t>
      </w:r>
      <w:r>
        <w:rPr>
          <w:rFonts w:ascii="Times New Roman;Times;serif" w:hAnsi="Times New Roman;Times;serif"/>
          <w:sz w:val="20"/>
        </w:rPr>
        <w:t xml:space="preserve"> </w:t>
      </w:r>
    </w:p>
    <w:p w14:paraId="5C9D734D" w14:textId="77777777" w:rsidR="00616CCF" w:rsidRDefault="004615D0">
      <w:pPr>
        <w:pStyle w:val="TextBody"/>
        <w:jc w:val="center"/>
        <w:rPr>
          <w:rFonts w:ascii="Times New Roman;Times;serif" w:hAnsi="Times New Roman;Times;serif"/>
          <w:sz w:val="20"/>
        </w:rPr>
      </w:pPr>
      <w:r>
        <w:rPr>
          <w:rFonts w:ascii="Times New Roman;Times;serif" w:hAnsi="Times New Roman;Times;serif"/>
          <w:sz w:val="20"/>
        </w:rPr>
        <w:t xml:space="preserve">1 </w:t>
      </w:r>
    </w:p>
    <w:p w14:paraId="1F5D323B" w14:textId="77777777" w:rsidR="00616CCF" w:rsidRDefault="004615D0">
      <w:pPr>
        <w:pStyle w:val="HorizontalLine"/>
        <w:pBdr>
          <w:bottom w:val="single" w:sz="20" w:space="0" w:color="808080"/>
        </w:pBdr>
      </w:pPr>
      <w:r>
        <w:br w:type="page"/>
      </w:r>
    </w:p>
    <w:p w14:paraId="555CD26E" w14:textId="77777777" w:rsidR="00616CCF" w:rsidRDefault="004615D0">
      <w:pPr>
        <w:pStyle w:val="5"/>
      </w:pPr>
      <w:r>
        <w:lastRenderedPageBreak/>
        <w:t> </w:t>
      </w:r>
    </w:p>
    <w:p w14:paraId="6501AD5C" w14:textId="77777777" w:rsidR="00616CCF" w:rsidRDefault="004615D0">
      <w:pPr>
        <w:pStyle w:val="TextBody"/>
        <w:spacing w:before="120"/>
      </w:pPr>
      <w:r>
        <w:t>     </w:t>
      </w:r>
      <w:r>
        <w:rPr>
          <w:rFonts w:ascii="Times New Roman;Times;serif" w:hAnsi="Times New Roman;Times;serif"/>
          <w:sz w:val="20"/>
        </w:rPr>
        <w:t>4. </w:t>
      </w:r>
      <w:r>
        <w:rPr>
          <w:rFonts w:ascii="Times New Roman;Times;serif" w:hAnsi="Times New Roman;Times;serif"/>
          <w:sz w:val="20"/>
          <w:u w:val="single"/>
        </w:rPr>
        <w:t>Buyer Representations and Warranties</w:t>
      </w:r>
      <w:r>
        <w:rPr>
          <w:rFonts w:ascii="Times New Roman;Times;serif" w:hAnsi="Times New Roman;Times;serif"/>
          <w:sz w:val="20"/>
        </w:rPr>
        <w:t xml:space="preserve"> </w:t>
      </w:r>
    </w:p>
    <w:p w14:paraId="0C6495BD" w14:textId="77777777" w:rsidR="00616CCF" w:rsidRDefault="004615D0">
      <w:pPr>
        <w:pStyle w:val="TextBody"/>
        <w:spacing w:before="120"/>
      </w:pPr>
      <w:r>
        <w:t>          </w:t>
      </w:r>
      <w:r>
        <w:rPr>
          <w:rFonts w:ascii="Times New Roman;Times;serif" w:hAnsi="Times New Roman;Times;serif"/>
          <w:sz w:val="20"/>
        </w:rPr>
        <w:t xml:space="preserve">(a) </w:t>
      </w:r>
      <w:r>
        <w:rPr>
          <w:rFonts w:ascii="Times New Roman;Times;serif" w:hAnsi="Times New Roman;Times;serif"/>
          <w:sz w:val="20"/>
          <w:u w:val="single"/>
        </w:rPr>
        <w:t>Authorization</w:t>
      </w:r>
      <w:r>
        <w:rPr>
          <w:rFonts w:ascii="Times New Roman;Times;serif" w:hAnsi="Times New Roman;Times;serif"/>
          <w:sz w:val="20"/>
        </w:rPr>
        <w:t>. Buyer has the requisite legal power and authority to enter into this Agreement and, when executed, this Agreement shall constitute a valid and legally binding obligation of</w:t>
      </w:r>
      <w:r>
        <w:rPr>
          <w:rFonts w:ascii="Times New Roman;Times;serif" w:hAnsi="Times New Roman;Times;serif"/>
          <w:sz w:val="20"/>
        </w:rPr>
        <w:t xml:space="preserve"> Buyer. </w:t>
      </w:r>
    </w:p>
    <w:p w14:paraId="09D13C0B" w14:textId="77777777" w:rsidR="00616CCF" w:rsidRDefault="004615D0">
      <w:pPr>
        <w:pStyle w:val="TextBody"/>
        <w:spacing w:before="120"/>
      </w:pPr>
      <w:r>
        <w:t>          </w:t>
      </w:r>
      <w:r>
        <w:rPr>
          <w:rFonts w:ascii="Times New Roman;Times;serif" w:hAnsi="Times New Roman;Times;serif"/>
          <w:sz w:val="20"/>
        </w:rPr>
        <w:t xml:space="preserve">(b) </w:t>
      </w:r>
      <w:r>
        <w:rPr>
          <w:rFonts w:ascii="Times New Roman;Times;serif" w:hAnsi="Times New Roman;Times;serif"/>
          <w:sz w:val="20"/>
          <w:u w:val="single"/>
        </w:rPr>
        <w:t>Investment Intent</w:t>
      </w:r>
      <w:r>
        <w:rPr>
          <w:rFonts w:ascii="Times New Roman;Times;serif" w:hAnsi="Times New Roman;Times;serif"/>
          <w:sz w:val="20"/>
        </w:rPr>
        <w:t>. This Agreement is made with Buyer in reliance upon Buyer’s representation to Seller, which by execution hereof Buyer confirms, that the Seller Stock has been acquired with Buyer’s own property for investment for an</w:t>
      </w:r>
      <w:r>
        <w:rPr>
          <w:rFonts w:ascii="Times New Roman;Times;serif" w:hAnsi="Times New Roman;Times;serif"/>
          <w:sz w:val="20"/>
        </w:rPr>
        <w:t xml:space="preserve"> indefinite period for Buyer’s own account, not as a nominee or agent, and not with a view to the sale or distribution of any part thereof, and that Buyer has no present intention of selling, granting participation in, or otherwise distributing the same. B</w:t>
      </w:r>
      <w:r>
        <w:rPr>
          <w:rFonts w:ascii="Times New Roman;Times;serif" w:hAnsi="Times New Roman;Times;serif"/>
          <w:sz w:val="20"/>
        </w:rPr>
        <w:t xml:space="preserve">y executing this Agreement, Buyer further represents that Buyer does not have any contract, undertaking, agreement or arrangement with any person to sell, transfer, or grant participations, to such person or to any third person, with respect to any of the </w:t>
      </w:r>
      <w:r>
        <w:rPr>
          <w:rFonts w:ascii="Times New Roman;Times;serif" w:hAnsi="Times New Roman;Times;serif"/>
          <w:sz w:val="20"/>
        </w:rPr>
        <w:t xml:space="preserve">Seller Stock. </w:t>
      </w:r>
    </w:p>
    <w:p w14:paraId="3AF9374E" w14:textId="77777777" w:rsidR="00616CCF" w:rsidRDefault="004615D0">
      <w:pPr>
        <w:pStyle w:val="TextBody"/>
        <w:spacing w:before="120"/>
      </w:pPr>
      <w:r>
        <w:t>          </w:t>
      </w:r>
      <w:r>
        <w:rPr>
          <w:rFonts w:ascii="Times New Roman;Times;serif" w:hAnsi="Times New Roman;Times;serif"/>
          <w:sz w:val="20"/>
        </w:rPr>
        <w:t xml:space="preserve">(c) </w:t>
      </w:r>
      <w:r>
        <w:rPr>
          <w:rFonts w:ascii="Times New Roman;Times;serif" w:hAnsi="Times New Roman;Times;serif"/>
          <w:sz w:val="20"/>
          <w:u w:val="single"/>
        </w:rPr>
        <w:t>Reliance Upon Buyer’s Representations</w:t>
      </w:r>
      <w:r>
        <w:rPr>
          <w:rFonts w:ascii="Times New Roman;Times;serif" w:hAnsi="Times New Roman;Times;serif"/>
          <w:sz w:val="20"/>
        </w:rPr>
        <w:t>. Buyer understands (</w:t>
      </w:r>
      <w:proofErr w:type="spellStart"/>
      <w:r>
        <w:rPr>
          <w:rFonts w:ascii="Times New Roman;Times;serif" w:hAnsi="Times New Roman;Times;serif"/>
          <w:sz w:val="20"/>
        </w:rPr>
        <w:t>i</w:t>
      </w:r>
      <w:proofErr w:type="spellEnd"/>
      <w:r>
        <w:rPr>
          <w:rFonts w:ascii="Times New Roman;Times;serif" w:hAnsi="Times New Roman;Times;serif"/>
          <w:sz w:val="20"/>
        </w:rPr>
        <w:t>) that the Seller Stock is not registered under the Securities Act or qualified under applicable state securities laws, (ii) that the Seller Stock is being issued to Bu</w:t>
      </w:r>
      <w:r>
        <w:rPr>
          <w:rFonts w:ascii="Times New Roman;Times;serif" w:hAnsi="Times New Roman;Times;serif"/>
          <w:sz w:val="20"/>
        </w:rPr>
        <w:t>yer on the ground that the sale provided for in this Agreement and the issuance of securities hereunder is exempt from registration under the Securities Act of 1933, as amended (the “Securities Act”), and an exemption from any applicable state securities l</w:t>
      </w:r>
      <w:r>
        <w:rPr>
          <w:rFonts w:ascii="Times New Roman;Times;serif" w:hAnsi="Times New Roman;Times;serif"/>
          <w:sz w:val="20"/>
        </w:rPr>
        <w:t>aws and (iii) that Seller’s reliance on such exemptions is predicated on Buyer’s representations set forth herein. Buyer realizes that the basis for the exemptions may not be present if, notwithstanding such representations, Buyer has in mind merely acquir</w:t>
      </w:r>
      <w:r>
        <w:rPr>
          <w:rFonts w:ascii="Times New Roman;Times;serif" w:hAnsi="Times New Roman;Times;serif"/>
          <w:sz w:val="20"/>
        </w:rPr>
        <w:t>ing the Seller Stock for a fixed or determinable period in the future, or for a market rise, or for sale if the market does not rise. Buyer does not have any such intention. These exemptions only exempt the issuance of the Seller Stock to Buyer and not any</w:t>
      </w:r>
      <w:r>
        <w:rPr>
          <w:rFonts w:ascii="Times New Roman;Times;serif" w:hAnsi="Times New Roman;Times;serif"/>
          <w:sz w:val="20"/>
        </w:rPr>
        <w:t xml:space="preserve"> sale or other disposition of the Seller Stock or any interest therein by Buyer. </w:t>
      </w:r>
    </w:p>
    <w:p w14:paraId="05CB85DA" w14:textId="77777777" w:rsidR="00616CCF" w:rsidRDefault="004615D0">
      <w:pPr>
        <w:pStyle w:val="TextBody"/>
        <w:spacing w:before="120"/>
      </w:pPr>
      <w:r>
        <w:t>          </w:t>
      </w:r>
      <w:r>
        <w:rPr>
          <w:rFonts w:ascii="Times New Roman;Times;serif" w:hAnsi="Times New Roman;Times;serif"/>
          <w:sz w:val="20"/>
        </w:rPr>
        <w:t xml:space="preserve">(d) </w:t>
      </w:r>
      <w:r>
        <w:rPr>
          <w:rFonts w:ascii="Times New Roman;Times;serif" w:hAnsi="Times New Roman;Times;serif"/>
          <w:sz w:val="20"/>
          <w:u w:val="single"/>
        </w:rPr>
        <w:t>Restricted Securities</w:t>
      </w:r>
      <w:r>
        <w:rPr>
          <w:rFonts w:ascii="Times New Roman;Times;serif" w:hAnsi="Times New Roman;Times;serif"/>
          <w:sz w:val="20"/>
        </w:rPr>
        <w:t>. Buyer hereby confirms that Buyer has been informed that the Seller Stock represents restricted securities under the Securities Act and ma</w:t>
      </w:r>
      <w:r>
        <w:rPr>
          <w:rFonts w:ascii="Times New Roman;Times;serif" w:hAnsi="Times New Roman;Times;serif"/>
          <w:sz w:val="20"/>
        </w:rPr>
        <w:t xml:space="preserve">y not be resold or transferred unless the Seller Stock is first registered under the Federal securities laws or unless an exemption from such registration is available. In addition, Buyer understands that any resale or transfer must comply with applicable </w:t>
      </w:r>
      <w:r>
        <w:rPr>
          <w:rFonts w:ascii="Times New Roman;Times;serif" w:hAnsi="Times New Roman;Times;serif"/>
          <w:sz w:val="20"/>
        </w:rPr>
        <w:t>state securities laws. Accordingly, Buyer hereby acknowledges that Buyer is prepared to hold the Seller Stock for an indefinite period, and that Buyer is familiar with the provisions of Rule 144 of the Securities and Exchange Commission issued under the Se</w:t>
      </w:r>
      <w:r>
        <w:rPr>
          <w:rFonts w:ascii="Times New Roman;Times;serif" w:hAnsi="Times New Roman;Times;serif"/>
          <w:sz w:val="20"/>
        </w:rPr>
        <w:t xml:space="preserve">curities Act, and is aware that Rule 144 is not presently available to exempt the sale of the Seller Stock from the registration requirements of the Securities Act. </w:t>
      </w:r>
    </w:p>
    <w:p w14:paraId="6BDABFDA" w14:textId="77777777" w:rsidR="00616CCF" w:rsidRDefault="004615D0">
      <w:pPr>
        <w:pStyle w:val="TextBody"/>
        <w:spacing w:before="120"/>
      </w:pPr>
      <w:r>
        <w:t>          </w:t>
      </w:r>
      <w:r>
        <w:rPr>
          <w:rFonts w:ascii="Times New Roman;Times;serif" w:hAnsi="Times New Roman;Times;serif"/>
          <w:sz w:val="20"/>
        </w:rPr>
        <w:t xml:space="preserve">(e) </w:t>
      </w:r>
      <w:r>
        <w:rPr>
          <w:rFonts w:ascii="Times New Roman;Times;serif" w:hAnsi="Times New Roman;Times;serif"/>
          <w:sz w:val="20"/>
          <w:u w:val="single"/>
        </w:rPr>
        <w:t>Receipt of Information</w:t>
      </w:r>
      <w:r>
        <w:rPr>
          <w:rFonts w:ascii="Times New Roman;Times;serif" w:hAnsi="Times New Roman;Times;serif"/>
          <w:sz w:val="20"/>
        </w:rPr>
        <w:t>. Buyer acknowledges that Buyer has received all the information Buyer considers necessary or appropriate for deciding whether to purchase the Seller Stock. Buyer has been and is solely responsible for Buyer’s own due diligence investigation and evaluation</w:t>
      </w:r>
      <w:r>
        <w:rPr>
          <w:rFonts w:ascii="Times New Roman;Times;serif" w:hAnsi="Times New Roman;Times;serif"/>
          <w:sz w:val="20"/>
        </w:rPr>
        <w:t xml:space="preserve"> of the value of the Seller Stock and the Company’s business, products, financial condition, viability and prospects. Buyer acknowledges and agrees that Seller is a member of the Board of Directors and an affiliate of the Company. </w:t>
      </w:r>
    </w:p>
    <w:p w14:paraId="41FF0F39" w14:textId="77777777" w:rsidR="00616CCF" w:rsidRDefault="004615D0">
      <w:pPr>
        <w:pStyle w:val="TextBody"/>
        <w:jc w:val="center"/>
        <w:rPr>
          <w:rFonts w:ascii="Times New Roman;Times;serif" w:hAnsi="Times New Roman;Times;serif"/>
          <w:sz w:val="20"/>
        </w:rPr>
      </w:pPr>
      <w:r>
        <w:rPr>
          <w:rFonts w:ascii="Times New Roman;Times;serif" w:hAnsi="Times New Roman;Times;serif"/>
          <w:sz w:val="20"/>
        </w:rPr>
        <w:t xml:space="preserve">2 </w:t>
      </w:r>
    </w:p>
    <w:p w14:paraId="70F7CF73" w14:textId="77777777" w:rsidR="00616CCF" w:rsidRDefault="004615D0">
      <w:pPr>
        <w:pStyle w:val="HorizontalLine"/>
        <w:pBdr>
          <w:bottom w:val="single" w:sz="20" w:space="0" w:color="808080"/>
        </w:pBdr>
      </w:pPr>
      <w:r>
        <w:br w:type="page"/>
      </w:r>
    </w:p>
    <w:p w14:paraId="6DDE757F" w14:textId="77777777" w:rsidR="00616CCF" w:rsidRDefault="004615D0">
      <w:pPr>
        <w:pStyle w:val="5"/>
      </w:pPr>
      <w:r>
        <w:lastRenderedPageBreak/>
        <w:t> </w:t>
      </w:r>
    </w:p>
    <w:p w14:paraId="0A4E79C2" w14:textId="77777777" w:rsidR="00616CCF" w:rsidRDefault="004615D0">
      <w:pPr>
        <w:pStyle w:val="TextBody"/>
        <w:spacing w:before="120"/>
      </w:pPr>
      <w:r>
        <w:t>          </w:t>
      </w:r>
      <w:r>
        <w:rPr>
          <w:rFonts w:ascii="Times New Roman;Times;serif" w:hAnsi="Times New Roman;Times;serif"/>
          <w:sz w:val="20"/>
        </w:rPr>
        <w:t xml:space="preserve">(f) </w:t>
      </w:r>
      <w:r>
        <w:rPr>
          <w:rFonts w:ascii="Times New Roman;Times;serif" w:hAnsi="Times New Roman;Times;serif"/>
          <w:sz w:val="20"/>
          <w:u w:val="single"/>
        </w:rPr>
        <w:t>Investment Experience</w:t>
      </w:r>
      <w:r>
        <w:rPr>
          <w:rFonts w:ascii="Times New Roman;Times;serif" w:hAnsi="Times New Roman;Times;serif"/>
          <w:sz w:val="20"/>
        </w:rPr>
        <w:t>. Buyer represents that Buyer has such knowledge and experience in financial and business matters as to be capable of evaluating the merits and risks of Buyer’s investment, has the ability to bear the economic risks of Bu</w:t>
      </w:r>
      <w:r>
        <w:rPr>
          <w:rFonts w:ascii="Times New Roman;Times;serif" w:hAnsi="Times New Roman;Times;serif"/>
          <w:sz w:val="20"/>
        </w:rPr>
        <w:t>yer’s investment and has been furnished with and has had access to all of the information Buyer considers necessary or appropriate to evaluate the risks and merits of an investment in the Seller Stock. Buyer is an “accredited investor” within the meaning o</w:t>
      </w:r>
      <w:r>
        <w:rPr>
          <w:rFonts w:ascii="Times New Roman;Times;serif" w:hAnsi="Times New Roman;Times;serif"/>
          <w:sz w:val="20"/>
        </w:rPr>
        <w:t xml:space="preserve">f Regulation D promulgated under the Securities Act. </w:t>
      </w:r>
    </w:p>
    <w:p w14:paraId="7FA1BB40" w14:textId="77777777" w:rsidR="00616CCF" w:rsidRDefault="004615D0">
      <w:pPr>
        <w:pStyle w:val="TextBody"/>
        <w:spacing w:before="120"/>
      </w:pPr>
      <w:r>
        <w:t>          </w:t>
      </w:r>
      <w:r>
        <w:rPr>
          <w:rFonts w:ascii="Times New Roman;Times;serif" w:hAnsi="Times New Roman;Times;serif"/>
          <w:sz w:val="20"/>
        </w:rPr>
        <w:t xml:space="preserve">(g) </w:t>
      </w:r>
      <w:r>
        <w:rPr>
          <w:rFonts w:ascii="Times New Roman;Times;serif" w:hAnsi="Times New Roman;Times;serif"/>
          <w:sz w:val="20"/>
          <w:u w:val="single"/>
        </w:rPr>
        <w:t>Limitations on Disposition</w:t>
      </w:r>
      <w:r>
        <w:rPr>
          <w:rFonts w:ascii="Times New Roman;Times;serif" w:hAnsi="Times New Roman;Times;serif"/>
          <w:sz w:val="20"/>
        </w:rPr>
        <w:t>. Buyer agrees that in no event will Buyer make a disposition of any of the Seller Stock in contravention of any of the restrictions placed on the Seller Stock in</w:t>
      </w:r>
      <w:r>
        <w:rPr>
          <w:rFonts w:ascii="Times New Roman;Times;serif" w:hAnsi="Times New Roman;Times;serif"/>
          <w:sz w:val="20"/>
        </w:rPr>
        <w:t xml:space="preserve"> this Agreement or the Bylaws of the Company, as amended, if and as applicable. Buyer explicitly agrees to be bound by all restrictions and requirements applicable to the Seller Stock immediately prior to the sale contemplated herein (including any restric</w:t>
      </w:r>
      <w:r>
        <w:rPr>
          <w:rFonts w:ascii="Times New Roman;Times;serif" w:hAnsi="Times New Roman;Times;serif"/>
          <w:sz w:val="20"/>
        </w:rPr>
        <w:t xml:space="preserve">tions and requirements set forth in that certain Investor Rights Agreement, dated October 29, 2004, that certain Co-Sale Rights Agreement, dated October 29, 2004 and that certain Amended and Restated Registration Rights Agreement, dated September 21, 2000 </w:t>
      </w:r>
      <w:r>
        <w:rPr>
          <w:rFonts w:ascii="Times New Roman;Times;serif" w:hAnsi="Times New Roman;Times;serif"/>
          <w:sz w:val="20"/>
        </w:rPr>
        <w:t>(collectively, the “Transaction Documents”). Without limitation, Buyer specifically agrees that Buyer will make no disposition of the Seller Stock unless and until (a) Buyer shall have notified the Company of the proposed disposition and shall have furnish</w:t>
      </w:r>
      <w:r>
        <w:rPr>
          <w:rFonts w:ascii="Times New Roman;Times;serif" w:hAnsi="Times New Roman;Times;serif"/>
          <w:sz w:val="20"/>
        </w:rPr>
        <w:t>ed the Company with a statement of the circumstances surrounding the proposed disposition, and (b) Buyer shall have furnished the Company with an opinion of counsel satisfactory to the Company to the effect that (</w:t>
      </w:r>
      <w:proofErr w:type="spellStart"/>
      <w:r>
        <w:rPr>
          <w:rFonts w:ascii="Times New Roman;Times;serif" w:hAnsi="Times New Roman;Times;serif"/>
          <w:sz w:val="20"/>
        </w:rPr>
        <w:t>i</w:t>
      </w:r>
      <w:proofErr w:type="spellEnd"/>
      <w:r>
        <w:rPr>
          <w:rFonts w:ascii="Times New Roman;Times;serif" w:hAnsi="Times New Roman;Times;serif"/>
          <w:sz w:val="20"/>
        </w:rPr>
        <w:t>) such disposition will not require regist</w:t>
      </w:r>
      <w:r>
        <w:rPr>
          <w:rFonts w:ascii="Times New Roman;Times;serif" w:hAnsi="Times New Roman;Times;serif"/>
          <w:sz w:val="20"/>
        </w:rPr>
        <w:t>ration of such Seller Stock under the Securities Act, or (ii) that appropriate action necessary for compliance with the Securities Act has been taken, or (c) the Company shall have waived, expressly and in writing, its rights under clauses (a) and (b) of t</w:t>
      </w:r>
      <w:r>
        <w:rPr>
          <w:rFonts w:ascii="Times New Roman;Times;serif" w:hAnsi="Times New Roman;Times;serif"/>
          <w:sz w:val="20"/>
        </w:rPr>
        <w:t>his subparagraph. The opinion shall also indicate that the disposition is exempt from, in compliance with, or qualified under all applicable state securities laws. For clarification, this Section 4(g) does not and will not be construed so as to confer on B</w:t>
      </w:r>
      <w:r>
        <w:rPr>
          <w:rFonts w:ascii="Times New Roman;Times;serif" w:hAnsi="Times New Roman;Times;serif"/>
          <w:sz w:val="20"/>
        </w:rPr>
        <w:t xml:space="preserve">uyer any rights under the Transaction Documents that do not automatically (and without any action by Seller, Buyer or any third-party) accrue to Buyer as a result of Buyer’s purchase of the Seller Stock. </w:t>
      </w:r>
    </w:p>
    <w:p w14:paraId="7A9973CB" w14:textId="77777777" w:rsidR="00616CCF" w:rsidRDefault="004615D0">
      <w:pPr>
        <w:pStyle w:val="TextBody"/>
        <w:spacing w:before="120"/>
      </w:pPr>
      <w:r>
        <w:t>          </w:t>
      </w:r>
      <w:r>
        <w:rPr>
          <w:rFonts w:ascii="Times New Roman;Times;serif" w:hAnsi="Times New Roman;Times;serif"/>
          <w:sz w:val="20"/>
        </w:rPr>
        <w:t xml:space="preserve">(h) </w:t>
      </w:r>
      <w:r>
        <w:rPr>
          <w:rFonts w:ascii="Times New Roman;Times;serif" w:hAnsi="Times New Roman;Times;serif"/>
          <w:sz w:val="20"/>
          <w:u w:val="single"/>
        </w:rPr>
        <w:t>Further Dispositions</w:t>
      </w:r>
      <w:r>
        <w:rPr>
          <w:rFonts w:ascii="Times New Roman;Times;serif" w:hAnsi="Times New Roman;Times;serif"/>
          <w:sz w:val="20"/>
        </w:rPr>
        <w:t>. Each person (ot</w:t>
      </w:r>
      <w:r>
        <w:rPr>
          <w:rFonts w:ascii="Times New Roman;Times;serif" w:hAnsi="Times New Roman;Times;serif"/>
          <w:sz w:val="20"/>
        </w:rPr>
        <w:t xml:space="preserve">her than the Company) to whom the Seller Stock, or any portion thereof, is transferred must, as a condition precedent to the validity of such transfer, acknowledge in writing to the Company that such person is bound by the provisions of this Agreement and </w:t>
      </w:r>
      <w:r>
        <w:rPr>
          <w:rFonts w:ascii="Times New Roman;Times;serif" w:hAnsi="Times New Roman;Times;serif"/>
          <w:sz w:val="20"/>
        </w:rPr>
        <w:t>the Transaction Documents. The Company shall not be required (</w:t>
      </w:r>
      <w:proofErr w:type="spellStart"/>
      <w:r>
        <w:rPr>
          <w:rFonts w:ascii="Times New Roman;Times;serif" w:hAnsi="Times New Roman;Times;serif"/>
          <w:sz w:val="20"/>
        </w:rPr>
        <w:t>i</w:t>
      </w:r>
      <w:proofErr w:type="spellEnd"/>
      <w:r>
        <w:rPr>
          <w:rFonts w:ascii="Times New Roman;Times;serif" w:hAnsi="Times New Roman;Times;serif"/>
          <w:sz w:val="20"/>
        </w:rPr>
        <w:t xml:space="preserve">) to transfer on its books any shares which have been sold or transferred in violation of the provisions of this Section 4 or any other provision of this Agreement or the Transaction Documents </w:t>
      </w:r>
      <w:r>
        <w:rPr>
          <w:rFonts w:ascii="Times New Roman;Times;serif" w:hAnsi="Times New Roman;Times;serif"/>
          <w:sz w:val="20"/>
          <w:u w:val="single"/>
        </w:rPr>
        <w:t>nor</w:t>
      </w:r>
      <w:r>
        <w:rPr>
          <w:rFonts w:ascii="Times New Roman;Times;serif" w:hAnsi="Times New Roman;Times;serif"/>
          <w:sz w:val="20"/>
        </w:rPr>
        <w:t xml:space="preserve"> (ii) to treat as the owner of any shares, or otherwise to accord voting or dividend rights to, any transferee to whom shares have been transferred in contravention of this Agreement or the Transaction Documents. </w:t>
      </w:r>
    </w:p>
    <w:p w14:paraId="6BFC222A" w14:textId="77777777" w:rsidR="00616CCF" w:rsidRDefault="004615D0">
      <w:pPr>
        <w:pStyle w:val="TextBody"/>
        <w:spacing w:before="120"/>
      </w:pPr>
      <w:r>
        <w:t>          </w:t>
      </w: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xml:space="preserve">) </w:t>
      </w:r>
      <w:r>
        <w:rPr>
          <w:rFonts w:ascii="Times New Roman;Times;serif" w:hAnsi="Times New Roman;Times;serif"/>
          <w:sz w:val="20"/>
          <w:u w:val="single"/>
        </w:rPr>
        <w:t>Legends</w:t>
      </w:r>
      <w:r>
        <w:rPr>
          <w:rFonts w:ascii="Times New Roman;Times;serif" w:hAnsi="Times New Roman;Times;serif"/>
          <w:sz w:val="20"/>
        </w:rPr>
        <w:t>. All certificates</w:t>
      </w:r>
      <w:r>
        <w:rPr>
          <w:rFonts w:ascii="Times New Roman;Times;serif" w:hAnsi="Times New Roman;Times;serif"/>
          <w:sz w:val="20"/>
        </w:rPr>
        <w:t xml:space="preserve"> representing any Seller Stock of Buyer subject to the provisions of this Agreement shall have endorsed thereon customary legends regarding: </w:t>
      </w:r>
    </w:p>
    <w:tbl>
      <w:tblPr>
        <w:tblW w:w="5000" w:type="pct"/>
        <w:tblCellMar>
          <w:left w:w="0" w:type="dxa"/>
          <w:right w:w="0" w:type="dxa"/>
        </w:tblCellMar>
        <w:tblLook w:val="0000" w:firstRow="0" w:lastRow="0" w:firstColumn="0" w:lastColumn="0" w:noHBand="0" w:noVBand="0"/>
      </w:tblPr>
      <w:tblGrid>
        <w:gridCol w:w="1441"/>
        <w:gridCol w:w="212"/>
        <w:gridCol w:w="129"/>
        <w:gridCol w:w="8423"/>
      </w:tblGrid>
      <w:tr w:rsidR="00616CCF" w14:paraId="0FDE3080" w14:textId="77777777">
        <w:tc>
          <w:tcPr>
            <w:tcW w:w="1441" w:type="dxa"/>
            <w:shd w:val="clear" w:color="auto" w:fill="auto"/>
          </w:tcPr>
          <w:p w14:paraId="42B782FE" w14:textId="77777777" w:rsidR="00616CCF" w:rsidRDefault="004615D0">
            <w:pPr>
              <w:pStyle w:val="TableContents"/>
            </w:pPr>
            <w:r>
              <w:t> </w:t>
            </w:r>
          </w:p>
        </w:tc>
        <w:tc>
          <w:tcPr>
            <w:tcW w:w="212" w:type="dxa"/>
            <w:shd w:val="clear" w:color="auto" w:fill="auto"/>
          </w:tcPr>
          <w:p w14:paraId="15292D1B" w14:textId="77777777" w:rsidR="00616CCF" w:rsidRDefault="004615D0">
            <w:pPr>
              <w:pStyle w:val="TableContents"/>
            </w:pPr>
            <w:r>
              <w:t>1.</w:t>
            </w:r>
          </w:p>
        </w:tc>
        <w:tc>
          <w:tcPr>
            <w:tcW w:w="129" w:type="dxa"/>
            <w:shd w:val="clear" w:color="auto" w:fill="auto"/>
          </w:tcPr>
          <w:p w14:paraId="67B42EB0" w14:textId="77777777" w:rsidR="00616CCF" w:rsidRDefault="004615D0">
            <w:pPr>
              <w:pStyle w:val="TableContents"/>
            </w:pPr>
            <w:r>
              <w:t> </w:t>
            </w:r>
          </w:p>
        </w:tc>
        <w:tc>
          <w:tcPr>
            <w:tcW w:w="8423" w:type="dxa"/>
            <w:shd w:val="clear" w:color="auto" w:fill="auto"/>
          </w:tcPr>
          <w:p w14:paraId="066FF387" w14:textId="77777777" w:rsidR="00616CCF" w:rsidRDefault="004615D0">
            <w:pPr>
              <w:pStyle w:val="TableContents"/>
            </w:pPr>
            <w:r>
              <w:t>Restrictions on transfer under the Securities Act (including as a result of Seller’s status as an “affiliat</w:t>
            </w:r>
            <w:r>
              <w:t>e” of the Company).</w:t>
            </w:r>
          </w:p>
        </w:tc>
      </w:tr>
    </w:tbl>
    <w:p w14:paraId="59F769A7" w14:textId="77777777" w:rsidR="00616CCF" w:rsidRDefault="004615D0">
      <w:pPr>
        <w:pStyle w:val="TextBody"/>
        <w:jc w:val="center"/>
        <w:rPr>
          <w:rFonts w:ascii="Times New Roman;Times;serif" w:hAnsi="Times New Roman;Times;serif"/>
          <w:sz w:val="20"/>
        </w:rPr>
      </w:pPr>
      <w:r>
        <w:rPr>
          <w:rFonts w:ascii="Times New Roman;Times;serif" w:hAnsi="Times New Roman;Times;serif"/>
          <w:sz w:val="20"/>
        </w:rPr>
        <w:t xml:space="preserve">3 </w:t>
      </w:r>
    </w:p>
    <w:p w14:paraId="039D0CA1" w14:textId="77777777" w:rsidR="00616CCF" w:rsidRDefault="004615D0">
      <w:pPr>
        <w:pStyle w:val="HorizontalLine"/>
        <w:pBdr>
          <w:bottom w:val="single" w:sz="20" w:space="0" w:color="808080"/>
        </w:pBdr>
      </w:pPr>
      <w:r>
        <w:br w:type="page"/>
      </w:r>
    </w:p>
    <w:p w14:paraId="3AFA319D" w14:textId="77777777" w:rsidR="00616CCF" w:rsidRDefault="004615D0">
      <w:pPr>
        <w:pStyle w:val="5"/>
      </w:pPr>
      <w:r>
        <w:lastRenderedPageBreak/>
        <w:t> </w:t>
      </w:r>
    </w:p>
    <w:tbl>
      <w:tblPr>
        <w:tblW w:w="5000" w:type="pct"/>
        <w:tblCellMar>
          <w:left w:w="0" w:type="dxa"/>
          <w:right w:w="0" w:type="dxa"/>
        </w:tblCellMar>
        <w:tblLook w:val="0000" w:firstRow="0" w:lastRow="0" w:firstColumn="0" w:lastColumn="0" w:noHBand="0" w:noVBand="0"/>
      </w:tblPr>
      <w:tblGrid>
        <w:gridCol w:w="1459"/>
        <w:gridCol w:w="204"/>
        <w:gridCol w:w="127"/>
        <w:gridCol w:w="8415"/>
      </w:tblGrid>
      <w:tr w:rsidR="00616CCF" w14:paraId="3BE5405B" w14:textId="77777777">
        <w:tc>
          <w:tcPr>
            <w:tcW w:w="1459" w:type="dxa"/>
            <w:shd w:val="clear" w:color="auto" w:fill="auto"/>
          </w:tcPr>
          <w:p w14:paraId="2B4E258F" w14:textId="77777777" w:rsidR="00616CCF" w:rsidRDefault="004615D0">
            <w:pPr>
              <w:pStyle w:val="TableContents"/>
            </w:pPr>
            <w:r>
              <w:t> </w:t>
            </w:r>
          </w:p>
        </w:tc>
        <w:tc>
          <w:tcPr>
            <w:tcW w:w="204" w:type="dxa"/>
            <w:shd w:val="clear" w:color="auto" w:fill="auto"/>
          </w:tcPr>
          <w:p w14:paraId="7003AA66" w14:textId="77777777" w:rsidR="00616CCF" w:rsidRDefault="004615D0">
            <w:pPr>
              <w:pStyle w:val="TableContents"/>
            </w:pPr>
            <w:r>
              <w:t>2.</w:t>
            </w:r>
          </w:p>
        </w:tc>
        <w:tc>
          <w:tcPr>
            <w:tcW w:w="127" w:type="dxa"/>
            <w:shd w:val="clear" w:color="auto" w:fill="auto"/>
          </w:tcPr>
          <w:p w14:paraId="57AD07E2" w14:textId="77777777" w:rsidR="00616CCF" w:rsidRDefault="004615D0">
            <w:pPr>
              <w:pStyle w:val="TableContents"/>
            </w:pPr>
            <w:r>
              <w:t> </w:t>
            </w:r>
          </w:p>
        </w:tc>
        <w:tc>
          <w:tcPr>
            <w:tcW w:w="8415" w:type="dxa"/>
            <w:shd w:val="clear" w:color="auto" w:fill="auto"/>
          </w:tcPr>
          <w:p w14:paraId="24145A9F" w14:textId="77777777" w:rsidR="00616CCF" w:rsidRDefault="004615D0">
            <w:pPr>
              <w:pStyle w:val="TableContents"/>
            </w:pPr>
            <w:r>
              <w:t>Any legend required by state securities laws.</w:t>
            </w:r>
          </w:p>
        </w:tc>
      </w:tr>
      <w:tr w:rsidR="00616CCF" w14:paraId="58F7C50E" w14:textId="77777777">
        <w:tc>
          <w:tcPr>
            <w:tcW w:w="1459" w:type="dxa"/>
            <w:shd w:val="clear" w:color="auto" w:fill="auto"/>
            <w:vAlign w:val="center"/>
          </w:tcPr>
          <w:p w14:paraId="64E2BE8B" w14:textId="77777777" w:rsidR="00616CCF" w:rsidRDefault="004615D0">
            <w:pPr>
              <w:pStyle w:val="TableContents"/>
            </w:pPr>
            <w:r>
              <w:t> </w:t>
            </w:r>
          </w:p>
        </w:tc>
        <w:tc>
          <w:tcPr>
            <w:tcW w:w="8746" w:type="dxa"/>
            <w:gridSpan w:val="3"/>
            <w:shd w:val="clear" w:color="auto" w:fill="auto"/>
          </w:tcPr>
          <w:p w14:paraId="69B4D261" w14:textId="77777777" w:rsidR="00616CCF" w:rsidRDefault="00616CCF">
            <w:pPr>
              <w:pStyle w:val="TableContents"/>
              <w:rPr>
                <w:sz w:val="4"/>
                <w:szCs w:val="4"/>
              </w:rPr>
            </w:pPr>
          </w:p>
        </w:tc>
      </w:tr>
      <w:tr w:rsidR="00616CCF" w14:paraId="552D8295" w14:textId="77777777">
        <w:tc>
          <w:tcPr>
            <w:tcW w:w="1459" w:type="dxa"/>
            <w:shd w:val="clear" w:color="auto" w:fill="auto"/>
          </w:tcPr>
          <w:p w14:paraId="344F808E" w14:textId="77777777" w:rsidR="00616CCF" w:rsidRDefault="004615D0">
            <w:pPr>
              <w:pStyle w:val="TableContents"/>
            </w:pPr>
            <w:r>
              <w:t> </w:t>
            </w:r>
          </w:p>
        </w:tc>
        <w:tc>
          <w:tcPr>
            <w:tcW w:w="204" w:type="dxa"/>
            <w:shd w:val="clear" w:color="auto" w:fill="auto"/>
          </w:tcPr>
          <w:p w14:paraId="69039296" w14:textId="77777777" w:rsidR="00616CCF" w:rsidRDefault="004615D0">
            <w:pPr>
              <w:pStyle w:val="TableContents"/>
            </w:pPr>
            <w:r>
              <w:t>3.</w:t>
            </w:r>
          </w:p>
        </w:tc>
        <w:tc>
          <w:tcPr>
            <w:tcW w:w="127" w:type="dxa"/>
            <w:shd w:val="clear" w:color="auto" w:fill="auto"/>
          </w:tcPr>
          <w:p w14:paraId="491B7DE0" w14:textId="77777777" w:rsidR="00616CCF" w:rsidRDefault="004615D0">
            <w:pPr>
              <w:pStyle w:val="TableContents"/>
            </w:pPr>
            <w:r>
              <w:t> </w:t>
            </w:r>
          </w:p>
        </w:tc>
        <w:tc>
          <w:tcPr>
            <w:tcW w:w="8415" w:type="dxa"/>
            <w:shd w:val="clear" w:color="auto" w:fill="auto"/>
          </w:tcPr>
          <w:p w14:paraId="3EB8DE1B" w14:textId="77777777" w:rsidR="00616CCF" w:rsidRDefault="004615D0">
            <w:pPr>
              <w:pStyle w:val="TableContents"/>
            </w:pPr>
            <w:r>
              <w:t>Any legend required by the Bylaws of the Company.</w:t>
            </w:r>
          </w:p>
        </w:tc>
      </w:tr>
      <w:tr w:rsidR="00616CCF" w14:paraId="67EABD4E" w14:textId="77777777">
        <w:tc>
          <w:tcPr>
            <w:tcW w:w="1459" w:type="dxa"/>
            <w:shd w:val="clear" w:color="auto" w:fill="auto"/>
            <w:vAlign w:val="center"/>
          </w:tcPr>
          <w:p w14:paraId="4DF760A0" w14:textId="77777777" w:rsidR="00616CCF" w:rsidRDefault="004615D0">
            <w:pPr>
              <w:pStyle w:val="TableContents"/>
            </w:pPr>
            <w:r>
              <w:t> </w:t>
            </w:r>
          </w:p>
        </w:tc>
        <w:tc>
          <w:tcPr>
            <w:tcW w:w="8746" w:type="dxa"/>
            <w:gridSpan w:val="3"/>
            <w:shd w:val="clear" w:color="auto" w:fill="auto"/>
          </w:tcPr>
          <w:p w14:paraId="2642B371" w14:textId="77777777" w:rsidR="00616CCF" w:rsidRDefault="00616CCF">
            <w:pPr>
              <w:pStyle w:val="TableContents"/>
              <w:rPr>
                <w:sz w:val="4"/>
                <w:szCs w:val="4"/>
              </w:rPr>
            </w:pPr>
          </w:p>
        </w:tc>
      </w:tr>
      <w:tr w:rsidR="00616CCF" w14:paraId="10510A4A" w14:textId="77777777">
        <w:tc>
          <w:tcPr>
            <w:tcW w:w="1459" w:type="dxa"/>
            <w:shd w:val="clear" w:color="auto" w:fill="auto"/>
          </w:tcPr>
          <w:p w14:paraId="336D4F93" w14:textId="77777777" w:rsidR="00616CCF" w:rsidRDefault="004615D0">
            <w:pPr>
              <w:pStyle w:val="TableContents"/>
            </w:pPr>
            <w:r>
              <w:t> </w:t>
            </w:r>
          </w:p>
        </w:tc>
        <w:tc>
          <w:tcPr>
            <w:tcW w:w="204" w:type="dxa"/>
            <w:shd w:val="clear" w:color="auto" w:fill="auto"/>
          </w:tcPr>
          <w:p w14:paraId="03928602" w14:textId="77777777" w:rsidR="00616CCF" w:rsidRDefault="004615D0">
            <w:pPr>
              <w:pStyle w:val="TableContents"/>
            </w:pPr>
            <w:r>
              <w:t>4.</w:t>
            </w:r>
          </w:p>
        </w:tc>
        <w:tc>
          <w:tcPr>
            <w:tcW w:w="127" w:type="dxa"/>
            <w:shd w:val="clear" w:color="auto" w:fill="auto"/>
          </w:tcPr>
          <w:p w14:paraId="272BB8C5" w14:textId="77777777" w:rsidR="00616CCF" w:rsidRDefault="004615D0">
            <w:pPr>
              <w:pStyle w:val="TableContents"/>
            </w:pPr>
            <w:r>
              <w:t> </w:t>
            </w:r>
          </w:p>
        </w:tc>
        <w:tc>
          <w:tcPr>
            <w:tcW w:w="8415" w:type="dxa"/>
            <w:shd w:val="clear" w:color="auto" w:fill="auto"/>
          </w:tcPr>
          <w:p w14:paraId="535C2054" w14:textId="77777777" w:rsidR="00616CCF" w:rsidRDefault="004615D0">
            <w:pPr>
              <w:pStyle w:val="TableContents"/>
            </w:pPr>
            <w:r>
              <w:t>A legend reflecting the provisions of Section 5 hereof.</w:t>
            </w:r>
          </w:p>
        </w:tc>
      </w:tr>
    </w:tbl>
    <w:p w14:paraId="10046F36" w14:textId="77777777" w:rsidR="00616CCF" w:rsidRDefault="004615D0">
      <w:pPr>
        <w:pStyle w:val="TextBody"/>
        <w:spacing w:before="120"/>
      </w:pPr>
      <w:r>
        <w:t>          </w:t>
      </w:r>
      <w:r>
        <w:rPr>
          <w:rFonts w:ascii="Times New Roman;Times;serif" w:hAnsi="Times New Roman;Times;serif"/>
          <w:sz w:val="20"/>
        </w:rPr>
        <w:t xml:space="preserve">(j) </w:t>
      </w:r>
      <w:r>
        <w:rPr>
          <w:rFonts w:ascii="Times New Roman;Times;serif" w:hAnsi="Times New Roman;Times;serif"/>
          <w:sz w:val="20"/>
          <w:u w:val="single"/>
        </w:rPr>
        <w:t>Finders’ Fee</w:t>
      </w:r>
      <w:r>
        <w:rPr>
          <w:rFonts w:ascii="Times New Roman;Times;serif" w:hAnsi="Times New Roman;Times;serif"/>
          <w:sz w:val="20"/>
        </w:rPr>
        <w:t xml:space="preserve">. Buyer has not engaged and is not liable to any broker of finder in connection with the purchase and sale of the Seller Stock. Buyer will protect, defend, indemnify and hold harmless Seller for, from and against any and all claims, liabilities or demands </w:t>
      </w:r>
      <w:r>
        <w:rPr>
          <w:rFonts w:ascii="Times New Roman;Times;serif" w:hAnsi="Times New Roman;Times;serif"/>
          <w:sz w:val="20"/>
        </w:rPr>
        <w:t xml:space="preserve">with respect to Buyer’s breach of this Section 4(j). </w:t>
      </w:r>
    </w:p>
    <w:p w14:paraId="152B122F" w14:textId="77777777" w:rsidR="00616CCF" w:rsidRDefault="004615D0">
      <w:pPr>
        <w:pStyle w:val="TextBody"/>
        <w:spacing w:before="120"/>
      </w:pPr>
      <w:r>
        <w:t>     </w:t>
      </w:r>
      <w:r>
        <w:rPr>
          <w:rFonts w:ascii="Times New Roman;Times;serif" w:hAnsi="Times New Roman;Times;serif"/>
          <w:sz w:val="20"/>
        </w:rPr>
        <w:t>5. </w:t>
      </w:r>
      <w:r>
        <w:rPr>
          <w:rFonts w:ascii="Times New Roman;Times;serif" w:hAnsi="Times New Roman;Times;serif"/>
          <w:sz w:val="20"/>
          <w:u w:val="single"/>
        </w:rPr>
        <w:t>General Provisions</w:t>
      </w:r>
      <w:r>
        <w:rPr>
          <w:rFonts w:ascii="Times New Roman;Times;serif" w:hAnsi="Times New Roman;Times;serif"/>
          <w:sz w:val="20"/>
        </w:rPr>
        <w:t xml:space="preserve">. </w:t>
      </w:r>
    </w:p>
    <w:p w14:paraId="306544F4" w14:textId="77777777" w:rsidR="00616CCF" w:rsidRDefault="004615D0">
      <w:pPr>
        <w:pStyle w:val="TextBody"/>
        <w:spacing w:before="120"/>
      </w:pPr>
      <w:r>
        <w:t>          </w:t>
      </w:r>
      <w:r>
        <w:rPr>
          <w:rFonts w:ascii="Times New Roman;Times;serif" w:hAnsi="Times New Roman;Times;serif"/>
          <w:sz w:val="20"/>
        </w:rPr>
        <w:t>(a) This Agreement shall be governed by the laws of the State of California as applied to agreements between California residents entered into an to be performed e</w:t>
      </w:r>
      <w:r>
        <w:rPr>
          <w:rFonts w:ascii="Times New Roman;Times;serif" w:hAnsi="Times New Roman;Times;serif"/>
          <w:sz w:val="20"/>
        </w:rPr>
        <w:t xml:space="preserve">ntirely within California. This Agreement represents the entire agreement between the parties with respect to the purchase of the Seller Stock by Buyer and may only be modified or amended in writing signed by both parties. </w:t>
      </w:r>
    </w:p>
    <w:p w14:paraId="3813211A" w14:textId="77777777" w:rsidR="00616CCF" w:rsidRDefault="004615D0">
      <w:pPr>
        <w:pStyle w:val="TextBody"/>
        <w:spacing w:before="120"/>
      </w:pPr>
      <w:r>
        <w:t>          </w:t>
      </w:r>
      <w:r>
        <w:rPr>
          <w:rFonts w:ascii="Times New Roman;Times;serif" w:hAnsi="Times New Roman;Times;serif"/>
          <w:sz w:val="20"/>
        </w:rPr>
        <w:t xml:space="preserve">(b) Seller and Buyer have reviewed this Agreement in its entirety, have had an opportunity to obtain the advice of counsel prior to executing this Agreement and fully understand all provisions of the Agreement. </w:t>
      </w:r>
    </w:p>
    <w:p w14:paraId="50E9C1D4" w14:textId="77777777" w:rsidR="00616CCF" w:rsidRDefault="004615D0">
      <w:pPr>
        <w:pStyle w:val="TextBody"/>
        <w:spacing w:before="120"/>
      </w:pPr>
      <w:r>
        <w:t>          </w:t>
      </w:r>
      <w:r>
        <w:rPr>
          <w:rFonts w:ascii="Times New Roman;Times;serif" w:hAnsi="Times New Roman;Times;serif"/>
          <w:sz w:val="20"/>
        </w:rPr>
        <w:t>(c) All notices, requests and othe</w:t>
      </w:r>
      <w:r>
        <w:rPr>
          <w:rFonts w:ascii="Times New Roman;Times;serif" w:hAnsi="Times New Roman;Times;serif"/>
          <w:sz w:val="20"/>
        </w:rPr>
        <w:t>r Communications hereunder must be in writing and will be deemed to have been duly given only if delivered personally against written receipt or by facsimile transmission with answer back confirmation or mailed (postage prepaid by certified or registered m</w:t>
      </w:r>
      <w:r>
        <w:rPr>
          <w:rFonts w:ascii="Times New Roman;Times;serif" w:hAnsi="Times New Roman;Times;serif"/>
          <w:sz w:val="20"/>
        </w:rPr>
        <w:t xml:space="preserve">ail, return receipt requested) by overnight courier to the parties at the following addresses or facsimile numbers: </w:t>
      </w:r>
    </w:p>
    <w:p w14:paraId="32BDC49F" w14:textId="77777777" w:rsidR="00616CCF" w:rsidRDefault="004615D0">
      <w:pPr>
        <w:pStyle w:val="TextBody"/>
        <w:jc w:val="center"/>
        <w:rPr>
          <w:rFonts w:ascii="Times New Roman;Times;serif" w:hAnsi="Times New Roman;Times;serif"/>
          <w:sz w:val="20"/>
        </w:rPr>
      </w:pPr>
      <w:r>
        <w:rPr>
          <w:rFonts w:ascii="Times New Roman;Times;serif" w:hAnsi="Times New Roman;Times;serif"/>
          <w:sz w:val="20"/>
        </w:rPr>
        <w:t xml:space="preserve">4 </w:t>
      </w:r>
    </w:p>
    <w:p w14:paraId="352CE31A" w14:textId="77777777" w:rsidR="00616CCF" w:rsidRDefault="004615D0">
      <w:pPr>
        <w:pStyle w:val="HorizontalLine"/>
        <w:pBdr>
          <w:bottom w:val="single" w:sz="20" w:space="0" w:color="808080"/>
        </w:pBdr>
      </w:pPr>
      <w:r>
        <w:br w:type="page"/>
      </w:r>
    </w:p>
    <w:p w14:paraId="16112009" w14:textId="77777777" w:rsidR="00616CCF" w:rsidRDefault="004615D0">
      <w:pPr>
        <w:pStyle w:val="5"/>
      </w:pPr>
      <w:r>
        <w:lastRenderedPageBreak/>
        <w:t> </w:t>
      </w:r>
    </w:p>
    <w:p w14:paraId="2A06A69A" w14:textId="77777777" w:rsidR="00616CCF" w:rsidRDefault="004615D0">
      <w:pPr>
        <w:pStyle w:val="TextBody"/>
        <w:spacing w:before="120"/>
      </w:pPr>
      <w:r>
        <w:t>     </w:t>
      </w:r>
      <w:r>
        <w:rPr>
          <w:rFonts w:ascii="Times New Roman;Times;serif" w:hAnsi="Times New Roman;Times;serif"/>
          <w:sz w:val="20"/>
        </w:rPr>
        <w:t xml:space="preserve">If to Seller: </w:t>
      </w:r>
    </w:p>
    <w:p w14:paraId="5C3237A9" w14:textId="77777777" w:rsidR="00616CCF" w:rsidRDefault="004615D0">
      <w:pPr>
        <w:pStyle w:val="TextBody"/>
        <w:spacing w:before="120"/>
      </w:pPr>
      <w:r>
        <w:t>     </w:t>
      </w:r>
      <w:r>
        <w:rPr>
          <w:rFonts w:ascii="Times New Roman;Times;serif" w:hAnsi="Times New Roman;Times;serif"/>
          <w:sz w:val="20"/>
        </w:rPr>
        <w:t xml:space="preserve">Mark Capital, LLC </w:t>
      </w:r>
    </w:p>
    <w:p w14:paraId="0D8E46CF" w14:textId="77777777" w:rsidR="00616CCF" w:rsidRDefault="004615D0">
      <w:pPr>
        <w:pStyle w:val="TextBody"/>
      </w:pPr>
      <w:r>
        <w:t>     </w:t>
      </w:r>
      <w:r>
        <w:rPr>
          <w:rFonts w:ascii="Times New Roman;Times;serif" w:hAnsi="Times New Roman;Times;serif"/>
          <w:sz w:val="20"/>
        </w:rPr>
        <w:t xml:space="preserve">Attn: Evan M. Levine </w:t>
      </w:r>
    </w:p>
    <w:p w14:paraId="263F22B5" w14:textId="77777777" w:rsidR="00616CCF" w:rsidRDefault="004615D0">
      <w:pPr>
        <w:pStyle w:val="TextBody"/>
      </w:pPr>
      <w:r>
        <w:t>     </w:t>
      </w:r>
      <w:r>
        <w:rPr>
          <w:rFonts w:ascii="Times New Roman;Times;serif" w:hAnsi="Times New Roman;Times;serif"/>
          <w:sz w:val="20"/>
        </w:rPr>
        <w:t xml:space="preserve">6725 Mesa Ridge Road, Suite 100 </w:t>
      </w:r>
    </w:p>
    <w:p w14:paraId="5F23335F" w14:textId="77777777" w:rsidR="00616CCF" w:rsidRDefault="004615D0">
      <w:pPr>
        <w:pStyle w:val="TextBody"/>
      </w:pPr>
      <w:r>
        <w:t>     </w:t>
      </w:r>
      <w:r>
        <w:rPr>
          <w:rFonts w:ascii="Times New Roman;Times;serif" w:hAnsi="Times New Roman;Times;serif"/>
          <w:sz w:val="20"/>
        </w:rPr>
        <w:t xml:space="preserve">San Diego, CA 92121 </w:t>
      </w:r>
    </w:p>
    <w:p w14:paraId="6476B780" w14:textId="77777777" w:rsidR="00616CCF" w:rsidRDefault="004615D0">
      <w:pPr>
        <w:pStyle w:val="TextBody"/>
      </w:pPr>
      <w:r>
        <w:t>     </w:t>
      </w:r>
      <w:r>
        <w:rPr>
          <w:rFonts w:ascii="Times New Roman;Times;serif" w:hAnsi="Times New Roman;Times;serif"/>
          <w:sz w:val="20"/>
        </w:rPr>
        <w:t xml:space="preserve">Fax:(858)552-0876 </w:t>
      </w:r>
    </w:p>
    <w:p w14:paraId="396A8A3C" w14:textId="77777777" w:rsidR="00616CCF" w:rsidRDefault="004615D0">
      <w:pPr>
        <w:pStyle w:val="TextBody"/>
        <w:spacing w:before="120"/>
      </w:pPr>
      <w:r>
        <w:t>     </w:t>
      </w:r>
      <w:r>
        <w:rPr>
          <w:rFonts w:ascii="Times New Roman;Times;serif" w:hAnsi="Times New Roman;Times;serif"/>
          <w:sz w:val="20"/>
        </w:rPr>
        <w:t xml:space="preserve">If to Buyer: </w:t>
      </w:r>
    </w:p>
    <w:p w14:paraId="4745E661" w14:textId="77777777" w:rsidR="00616CCF" w:rsidRDefault="004615D0">
      <w:pPr>
        <w:pStyle w:val="TextBody"/>
        <w:spacing w:before="120"/>
      </w:pPr>
      <w:r>
        <w:t>     </w:t>
      </w:r>
      <w:r>
        <w:rPr>
          <w:rFonts w:ascii="Times New Roman;Times;serif" w:hAnsi="Times New Roman;Times;serif"/>
          <w:sz w:val="20"/>
        </w:rPr>
        <w:t xml:space="preserve">Craig Pierson </w:t>
      </w:r>
    </w:p>
    <w:p w14:paraId="5FA3F51F" w14:textId="77777777" w:rsidR="00616CCF" w:rsidRDefault="004615D0">
      <w:pPr>
        <w:pStyle w:val="TextBody"/>
      </w:pPr>
      <w:r>
        <w:t xml:space="preserve">      </w:t>
      </w:r>
      <w:r>
        <w:rPr>
          <w:rFonts w:ascii="Times New Roman;Times;serif" w:hAnsi="Times New Roman;Times;serif"/>
          <w:sz w:val="20"/>
        </w:rPr>
        <w:t xml:space="preserve">808 NE 16th Avenue </w:t>
      </w:r>
    </w:p>
    <w:p w14:paraId="2FFF96F5" w14:textId="77777777" w:rsidR="00616CCF" w:rsidRDefault="004615D0">
      <w:pPr>
        <w:pStyle w:val="TextBody"/>
      </w:pPr>
      <w:r>
        <w:t xml:space="preserve">      </w:t>
      </w:r>
      <w:r>
        <w:rPr>
          <w:rFonts w:ascii="Times New Roman;Times;serif" w:hAnsi="Times New Roman;Times;serif"/>
          <w:sz w:val="20"/>
        </w:rPr>
        <w:t>Fort Lauderdale, FL 33304</w:t>
      </w:r>
      <w:r>
        <w:rPr>
          <w:rFonts w:ascii="Times New Roman;Times;serif" w:hAnsi="Times New Roman;Times;serif"/>
          <w:sz w:val="20"/>
        </w:rPr>
        <w:br/>
        <w:t xml:space="preserve">     Cell: 917 683 3092 </w:t>
      </w:r>
    </w:p>
    <w:p w14:paraId="7B4EEFAB" w14:textId="77777777" w:rsidR="00616CCF" w:rsidRDefault="004615D0">
      <w:pPr>
        <w:pStyle w:val="TextBody"/>
        <w:spacing w:before="120"/>
        <w:rPr>
          <w:rFonts w:ascii="Times New Roman;Times;serif" w:hAnsi="Times New Roman;Times;serif"/>
          <w:sz w:val="20"/>
        </w:rPr>
      </w:pPr>
      <w:r>
        <w:rPr>
          <w:rFonts w:ascii="Times New Roman;Times;serif" w:hAnsi="Times New Roman;Times;serif"/>
          <w:sz w:val="20"/>
        </w:rPr>
        <w:t>All such notices, requests and other Communications</w:t>
      </w:r>
      <w:r>
        <w:rPr>
          <w:rFonts w:ascii="Times New Roman;Times;serif" w:hAnsi="Times New Roman;Times;serif"/>
          <w:sz w:val="20"/>
        </w:rPr>
        <w:t xml:space="preserve"> will (</w:t>
      </w:r>
      <w:proofErr w:type="spellStart"/>
      <w:r>
        <w:rPr>
          <w:rFonts w:ascii="Times New Roman;Times;serif" w:hAnsi="Times New Roman;Times;serif"/>
          <w:sz w:val="20"/>
        </w:rPr>
        <w:t>i</w:t>
      </w:r>
      <w:proofErr w:type="spellEnd"/>
      <w:r>
        <w:rPr>
          <w:rFonts w:ascii="Times New Roman;Times;serif" w:hAnsi="Times New Roman;Times;serif"/>
          <w:sz w:val="20"/>
        </w:rPr>
        <w:t>) if delivered personally to the address as provided in this Section 6(c), be deemed given upon delivery, (ii) if delivered by facsimile transmission to the facsimile number as provided in this Section 6(c), be deemed given upon receipt, and (iii) </w:t>
      </w:r>
      <w:r>
        <w:rPr>
          <w:rFonts w:ascii="Times New Roman;Times;serif" w:hAnsi="Times New Roman;Times;serif"/>
          <w:sz w:val="20"/>
        </w:rPr>
        <w:t xml:space="preserve">if delivered by mail in the manner described above to the address as provided in this Section 6(c), be deemed given upon receipt (in each case regardless of whether such notice, request or other communication is received by any other person to whom a copy </w:t>
      </w:r>
      <w:r>
        <w:rPr>
          <w:rFonts w:ascii="Times New Roman;Times;serif" w:hAnsi="Times New Roman;Times;serif"/>
          <w:sz w:val="20"/>
        </w:rPr>
        <w:t xml:space="preserve">of such notice, request or other communication is to be delivered pursuant to this Section). Any party from time to time may change its address, facsimile number or other information for the purpose of notices to that party by giving notice of such change </w:t>
      </w:r>
      <w:r>
        <w:rPr>
          <w:rFonts w:ascii="Times New Roman;Times;serif" w:hAnsi="Times New Roman;Times;serif"/>
          <w:sz w:val="20"/>
        </w:rPr>
        <w:t xml:space="preserve">to the other parties hereto. </w:t>
      </w:r>
    </w:p>
    <w:p w14:paraId="1E4D7BF1" w14:textId="77777777" w:rsidR="00616CCF" w:rsidRDefault="004615D0">
      <w:pPr>
        <w:pStyle w:val="TextBody"/>
        <w:spacing w:before="120"/>
      </w:pPr>
      <w:r>
        <w:t>     </w:t>
      </w:r>
      <w:r>
        <w:rPr>
          <w:rFonts w:ascii="Times New Roman;Times;serif" w:hAnsi="Times New Roman;Times;serif"/>
          <w:sz w:val="20"/>
        </w:rPr>
        <w:t>6. </w:t>
      </w:r>
      <w:r>
        <w:rPr>
          <w:rFonts w:ascii="Times New Roman;Times;serif" w:hAnsi="Times New Roman;Times;serif"/>
          <w:sz w:val="20"/>
          <w:u w:val="single"/>
        </w:rPr>
        <w:t>Counterparts</w:t>
      </w:r>
      <w:r>
        <w:rPr>
          <w:rFonts w:ascii="Times New Roman;Times;serif" w:hAnsi="Times New Roman;Times;serif"/>
          <w:sz w:val="20"/>
        </w:rPr>
        <w:t xml:space="preserve">. This Agreement may be executed in one or more counterparts, each of which shall be deemed an original, and all of which together shall constitute one instrument. </w:t>
      </w:r>
    </w:p>
    <w:p w14:paraId="1D989A1B" w14:textId="77777777" w:rsidR="00616CCF" w:rsidRDefault="004615D0">
      <w:pPr>
        <w:pStyle w:val="TextBody"/>
        <w:spacing w:before="120"/>
      </w:pPr>
      <w:r>
        <w:t>     </w:t>
      </w:r>
      <w:r>
        <w:rPr>
          <w:rFonts w:ascii="Times New Roman;Times;serif" w:hAnsi="Times New Roman;Times;serif"/>
          <w:sz w:val="20"/>
        </w:rPr>
        <w:t>7. </w:t>
      </w:r>
      <w:r>
        <w:rPr>
          <w:rFonts w:ascii="Times New Roman;Times;serif" w:hAnsi="Times New Roman;Times;serif"/>
          <w:sz w:val="20"/>
          <w:u w:val="single"/>
        </w:rPr>
        <w:t>Termination</w:t>
      </w:r>
      <w:r>
        <w:rPr>
          <w:rFonts w:ascii="Times New Roman;Times;serif" w:hAnsi="Times New Roman;Times;serif"/>
          <w:sz w:val="20"/>
        </w:rPr>
        <w:t>. In the event the amo</w:t>
      </w:r>
      <w:r>
        <w:rPr>
          <w:rFonts w:ascii="Times New Roman;Times;serif" w:hAnsi="Times New Roman;Times;serif"/>
          <w:sz w:val="20"/>
        </w:rPr>
        <w:t xml:space="preserve">unt of the Purchase Price is not received in the account set forth in Section 1 by 3:00 p.m. (Pacific time) on the second full calendar day following the Closing (a “Breach”), this Agreement will terminate and be of no further force or effect; </w:t>
      </w:r>
      <w:r>
        <w:rPr>
          <w:rFonts w:ascii="Times New Roman;Times;serif" w:hAnsi="Times New Roman;Times;serif"/>
          <w:sz w:val="20"/>
          <w:u w:val="single"/>
        </w:rPr>
        <w:t>provided</w:t>
      </w:r>
      <w:r>
        <w:rPr>
          <w:rFonts w:ascii="Times New Roman;Times;serif" w:hAnsi="Times New Roman;Times;serif"/>
          <w:sz w:val="20"/>
        </w:rPr>
        <w:t>, ho</w:t>
      </w:r>
      <w:r>
        <w:rPr>
          <w:rFonts w:ascii="Times New Roman;Times;serif" w:hAnsi="Times New Roman;Times;serif"/>
          <w:sz w:val="20"/>
        </w:rPr>
        <w:t>wever, that if the amount of the Purchase Price is received in such account after such time, Seller may, in Seller’s sole and absolute discretion, consummate the purchase and sale contemplated herein on the terms and conditions set forth herein. For clarif</w:t>
      </w:r>
      <w:r>
        <w:rPr>
          <w:rFonts w:ascii="Times New Roman;Times;serif" w:hAnsi="Times New Roman;Times;serif"/>
          <w:sz w:val="20"/>
        </w:rPr>
        <w:t xml:space="preserve">ication, in the event of a Breach, Seller will have no obligation to sell, and Buyer will have no obligation to purchase, the Seller Stock and Seller is free to sell the Seller Stock to anyone on such terms as Seller determines. </w:t>
      </w:r>
    </w:p>
    <w:p w14:paraId="39072F52" w14:textId="33074D48" w:rsidR="00616CCF" w:rsidRDefault="004615D0" w:rsidP="004615D0">
      <w:pPr>
        <w:pStyle w:val="TextBody"/>
        <w:jc w:val="center"/>
      </w:pPr>
      <w:r>
        <w:rPr>
          <w:rFonts w:ascii="Times New Roman;Times;serif" w:hAnsi="Times New Roman;Times;serif"/>
          <w:sz w:val="20"/>
        </w:rPr>
        <w:t xml:space="preserve">5 </w:t>
      </w:r>
      <w:r>
        <w:br w:type="page"/>
      </w:r>
    </w:p>
    <w:p w14:paraId="63AF3A4D" w14:textId="77777777" w:rsidR="00616CCF" w:rsidRDefault="004615D0">
      <w:pPr>
        <w:pStyle w:val="5"/>
      </w:pPr>
      <w:r>
        <w:lastRenderedPageBreak/>
        <w:t> </w:t>
      </w:r>
    </w:p>
    <w:tbl>
      <w:tblPr>
        <w:tblW w:w="5000" w:type="pct"/>
        <w:jc w:val="center"/>
        <w:tblCellMar>
          <w:left w:w="0" w:type="dxa"/>
          <w:right w:w="0" w:type="dxa"/>
        </w:tblCellMar>
        <w:tblLook w:val="0000" w:firstRow="0" w:lastRow="0" w:firstColumn="0" w:lastColumn="0" w:noHBand="0" w:noVBand="0"/>
      </w:tblPr>
      <w:tblGrid>
        <w:gridCol w:w="5300"/>
        <w:gridCol w:w="130"/>
        <w:gridCol w:w="407"/>
        <w:gridCol w:w="130"/>
        <w:gridCol w:w="4238"/>
      </w:tblGrid>
      <w:tr w:rsidR="00616CCF" w14:paraId="539231F7" w14:textId="77777777">
        <w:trPr>
          <w:jc w:val="center"/>
        </w:trPr>
        <w:tc>
          <w:tcPr>
            <w:tcW w:w="5381" w:type="dxa"/>
            <w:shd w:val="clear" w:color="auto" w:fill="auto"/>
            <w:vAlign w:val="bottom"/>
          </w:tcPr>
          <w:p w14:paraId="545C80D3" w14:textId="77777777" w:rsidR="00616CCF" w:rsidRDefault="004615D0">
            <w:pPr>
              <w:pStyle w:val="TableContents"/>
            </w:pPr>
            <w:r>
              <w:t> </w:t>
            </w:r>
          </w:p>
        </w:tc>
        <w:tc>
          <w:tcPr>
            <w:tcW w:w="131" w:type="dxa"/>
            <w:shd w:val="clear" w:color="auto" w:fill="auto"/>
            <w:vAlign w:val="bottom"/>
          </w:tcPr>
          <w:p w14:paraId="7BC70B38" w14:textId="77777777" w:rsidR="00616CCF" w:rsidRDefault="004615D0">
            <w:pPr>
              <w:pStyle w:val="TableContents"/>
            </w:pPr>
            <w:r>
              <w:t> </w:t>
            </w:r>
          </w:p>
        </w:tc>
        <w:tc>
          <w:tcPr>
            <w:tcW w:w="283" w:type="dxa"/>
            <w:shd w:val="clear" w:color="auto" w:fill="auto"/>
            <w:vAlign w:val="bottom"/>
          </w:tcPr>
          <w:p w14:paraId="1E066B1E" w14:textId="77777777" w:rsidR="00616CCF" w:rsidRDefault="004615D0">
            <w:pPr>
              <w:pStyle w:val="TableContents"/>
            </w:pPr>
            <w:r>
              <w:t> </w:t>
            </w:r>
          </w:p>
        </w:tc>
        <w:tc>
          <w:tcPr>
            <w:tcW w:w="131" w:type="dxa"/>
            <w:shd w:val="clear" w:color="auto" w:fill="auto"/>
            <w:vAlign w:val="bottom"/>
          </w:tcPr>
          <w:p w14:paraId="77481677" w14:textId="77777777" w:rsidR="00616CCF" w:rsidRDefault="004615D0">
            <w:pPr>
              <w:pStyle w:val="TableContents"/>
            </w:pPr>
            <w:r>
              <w:t> </w:t>
            </w:r>
          </w:p>
        </w:tc>
        <w:tc>
          <w:tcPr>
            <w:tcW w:w="4279" w:type="dxa"/>
            <w:shd w:val="clear" w:color="auto" w:fill="auto"/>
            <w:vAlign w:val="bottom"/>
          </w:tcPr>
          <w:p w14:paraId="2392D8C1" w14:textId="77777777" w:rsidR="00616CCF" w:rsidRDefault="004615D0">
            <w:pPr>
              <w:pStyle w:val="TableContents"/>
            </w:pPr>
            <w:r>
              <w:t> </w:t>
            </w:r>
          </w:p>
        </w:tc>
      </w:tr>
      <w:tr w:rsidR="00616CCF" w14:paraId="259F73DD" w14:textId="77777777">
        <w:trPr>
          <w:jc w:val="center"/>
        </w:trPr>
        <w:tc>
          <w:tcPr>
            <w:tcW w:w="5381" w:type="dxa"/>
            <w:shd w:val="clear" w:color="auto" w:fill="auto"/>
          </w:tcPr>
          <w:p w14:paraId="2A93A002" w14:textId="77777777" w:rsidR="00616CCF" w:rsidRDefault="004615D0">
            <w:pPr>
              <w:pStyle w:val="TableContents"/>
            </w:pPr>
            <w:r>
              <w:t> </w:t>
            </w:r>
          </w:p>
        </w:tc>
        <w:tc>
          <w:tcPr>
            <w:tcW w:w="131" w:type="dxa"/>
            <w:shd w:val="clear" w:color="auto" w:fill="auto"/>
            <w:vAlign w:val="bottom"/>
          </w:tcPr>
          <w:p w14:paraId="7C6E26F1" w14:textId="77777777" w:rsidR="00616CCF" w:rsidRDefault="004615D0">
            <w:pPr>
              <w:pStyle w:val="TableContents"/>
            </w:pPr>
            <w:r>
              <w:t> </w:t>
            </w:r>
          </w:p>
        </w:tc>
        <w:tc>
          <w:tcPr>
            <w:tcW w:w="4693" w:type="dxa"/>
            <w:gridSpan w:val="3"/>
            <w:shd w:val="clear" w:color="auto" w:fill="auto"/>
          </w:tcPr>
          <w:p w14:paraId="28D8F0ED" w14:textId="77777777" w:rsidR="00616CCF" w:rsidRDefault="004615D0">
            <w:pPr>
              <w:pStyle w:val="TableContents"/>
            </w:pPr>
            <w:r>
              <w:t>MARK CAPITAL, LLC</w:t>
            </w:r>
          </w:p>
        </w:tc>
      </w:tr>
      <w:tr w:rsidR="00616CCF" w14:paraId="2C81FF23" w14:textId="77777777">
        <w:trPr>
          <w:jc w:val="center"/>
        </w:trPr>
        <w:tc>
          <w:tcPr>
            <w:tcW w:w="5381" w:type="dxa"/>
            <w:shd w:val="clear" w:color="auto" w:fill="auto"/>
          </w:tcPr>
          <w:p w14:paraId="712CAEDD" w14:textId="77777777" w:rsidR="00616CCF" w:rsidRDefault="004615D0">
            <w:pPr>
              <w:pStyle w:val="TableContents"/>
              <w:spacing w:after="0"/>
            </w:pPr>
            <w:r>
              <w:t> </w:t>
            </w:r>
          </w:p>
        </w:tc>
        <w:tc>
          <w:tcPr>
            <w:tcW w:w="131" w:type="dxa"/>
            <w:shd w:val="clear" w:color="auto" w:fill="auto"/>
            <w:vAlign w:val="bottom"/>
          </w:tcPr>
          <w:p w14:paraId="5A3D3C5C" w14:textId="77777777" w:rsidR="00616CCF" w:rsidRDefault="004615D0">
            <w:pPr>
              <w:pStyle w:val="TableContents"/>
            </w:pPr>
            <w:r>
              <w:t> </w:t>
            </w:r>
          </w:p>
        </w:tc>
        <w:tc>
          <w:tcPr>
            <w:tcW w:w="283" w:type="dxa"/>
            <w:shd w:val="clear" w:color="auto" w:fill="auto"/>
          </w:tcPr>
          <w:p w14:paraId="7A417ACC" w14:textId="77777777" w:rsidR="00616CCF" w:rsidRDefault="004615D0">
            <w:pPr>
              <w:pStyle w:val="TableContents"/>
            </w:pPr>
            <w:r>
              <w:t> </w:t>
            </w:r>
          </w:p>
        </w:tc>
        <w:tc>
          <w:tcPr>
            <w:tcW w:w="131" w:type="dxa"/>
            <w:shd w:val="clear" w:color="auto" w:fill="auto"/>
            <w:vAlign w:val="bottom"/>
          </w:tcPr>
          <w:p w14:paraId="3D10DB19" w14:textId="77777777" w:rsidR="00616CCF" w:rsidRDefault="004615D0">
            <w:pPr>
              <w:pStyle w:val="TableContents"/>
            </w:pPr>
            <w:r>
              <w:t> </w:t>
            </w:r>
          </w:p>
        </w:tc>
        <w:tc>
          <w:tcPr>
            <w:tcW w:w="4279" w:type="dxa"/>
            <w:shd w:val="clear" w:color="auto" w:fill="auto"/>
          </w:tcPr>
          <w:p w14:paraId="4AB212A4" w14:textId="77777777" w:rsidR="00616CCF" w:rsidRDefault="004615D0">
            <w:pPr>
              <w:pStyle w:val="TableContents"/>
            </w:pPr>
            <w:r>
              <w:t> </w:t>
            </w:r>
          </w:p>
        </w:tc>
      </w:tr>
      <w:tr w:rsidR="00616CCF" w14:paraId="717B889B" w14:textId="77777777">
        <w:trPr>
          <w:jc w:val="center"/>
        </w:trPr>
        <w:tc>
          <w:tcPr>
            <w:tcW w:w="5381" w:type="dxa"/>
            <w:shd w:val="clear" w:color="auto" w:fill="auto"/>
          </w:tcPr>
          <w:p w14:paraId="1225A83A" w14:textId="77777777" w:rsidR="00616CCF" w:rsidRDefault="004615D0">
            <w:pPr>
              <w:pStyle w:val="TableContents"/>
              <w:spacing w:after="0"/>
            </w:pPr>
            <w:r>
              <w:t xml:space="preserve">  </w:t>
            </w:r>
          </w:p>
        </w:tc>
        <w:tc>
          <w:tcPr>
            <w:tcW w:w="131" w:type="dxa"/>
            <w:shd w:val="clear" w:color="auto" w:fill="auto"/>
            <w:vAlign w:val="bottom"/>
          </w:tcPr>
          <w:p w14:paraId="49B369A0" w14:textId="77777777" w:rsidR="00616CCF" w:rsidRDefault="004615D0">
            <w:pPr>
              <w:pStyle w:val="TableContents"/>
            </w:pPr>
            <w:r>
              <w:t> </w:t>
            </w:r>
          </w:p>
        </w:tc>
        <w:tc>
          <w:tcPr>
            <w:tcW w:w="283" w:type="dxa"/>
            <w:shd w:val="clear" w:color="auto" w:fill="auto"/>
          </w:tcPr>
          <w:p w14:paraId="02E7ED94" w14:textId="77777777" w:rsidR="00616CCF" w:rsidRDefault="004615D0">
            <w:pPr>
              <w:pStyle w:val="TableContents"/>
            </w:pPr>
            <w:r>
              <w:t>By:</w:t>
            </w:r>
          </w:p>
        </w:tc>
        <w:tc>
          <w:tcPr>
            <w:tcW w:w="131" w:type="dxa"/>
            <w:shd w:val="clear" w:color="auto" w:fill="auto"/>
            <w:vAlign w:val="bottom"/>
          </w:tcPr>
          <w:p w14:paraId="16920110" w14:textId="77777777" w:rsidR="00616CCF" w:rsidRDefault="004615D0">
            <w:pPr>
              <w:pStyle w:val="TableContents"/>
            </w:pPr>
            <w:r>
              <w:t> </w:t>
            </w:r>
          </w:p>
        </w:tc>
        <w:tc>
          <w:tcPr>
            <w:tcW w:w="4279" w:type="dxa"/>
            <w:tcBorders>
              <w:bottom w:val="single" w:sz="2" w:space="0" w:color="000000"/>
            </w:tcBorders>
            <w:shd w:val="clear" w:color="auto" w:fill="auto"/>
            <w:tcMar>
              <w:bottom w:w="28" w:type="dxa"/>
            </w:tcMar>
          </w:tcPr>
          <w:p w14:paraId="7A3F826D" w14:textId="77777777" w:rsidR="00616CCF" w:rsidRDefault="004615D0">
            <w:pPr>
              <w:pStyle w:val="TableContents"/>
            </w:pPr>
            <w:r>
              <w:t>/s/ Evan M. Levine</w:t>
            </w:r>
          </w:p>
        </w:tc>
      </w:tr>
      <w:tr w:rsidR="00616CCF" w14:paraId="5E7AAEB6" w14:textId="77777777">
        <w:trPr>
          <w:jc w:val="center"/>
        </w:trPr>
        <w:tc>
          <w:tcPr>
            <w:tcW w:w="5381" w:type="dxa"/>
            <w:shd w:val="clear" w:color="auto" w:fill="auto"/>
          </w:tcPr>
          <w:p w14:paraId="2B3489A3" w14:textId="77777777" w:rsidR="00616CCF" w:rsidRDefault="004615D0">
            <w:pPr>
              <w:pStyle w:val="TableContents"/>
              <w:spacing w:after="0"/>
            </w:pPr>
            <w:r>
              <w:t xml:space="preserve">  </w:t>
            </w:r>
          </w:p>
        </w:tc>
        <w:tc>
          <w:tcPr>
            <w:tcW w:w="131" w:type="dxa"/>
            <w:shd w:val="clear" w:color="auto" w:fill="auto"/>
            <w:vAlign w:val="bottom"/>
          </w:tcPr>
          <w:p w14:paraId="1990F847" w14:textId="77777777" w:rsidR="00616CCF" w:rsidRDefault="004615D0">
            <w:pPr>
              <w:pStyle w:val="TableContents"/>
            </w:pPr>
            <w:r>
              <w:t> </w:t>
            </w:r>
          </w:p>
        </w:tc>
        <w:tc>
          <w:tcPr>
            <w:tcW w:w="283" w:type="dxa"/>
            <w:shd w:val="clear" w:color="auto" w:fill="auto"/>
          </w:tcPr>
          <w:p w14:paraId="699168E6" w14:textId="77777777" w:rsidR="00616CCF" w:rsidRDefault="00616CCF">
            <w:pPr>
              <w:pStyle w:val="TableContents"/>
              <w:rPr>
                <w:sz w:val="4"/>
                <w:szCs w:val="4"/>
              </w:rPr>
            </w:pPr>
          </w:p>
        </w:tc>
        <w:tc>
          <w:tcPr>
            <w:tcW w:w="131" w:type="dxa"/>
            <w:shd w:val="clear" w:color="auto" w:fill="auto"/>
            <w:vAlign w:val="bottom"/>
          </w:tcPr>
          <w:p w14:paraId="0A7226BC" w14:textId="77777777" w:rsidR="00616CCF" w:rsidRDefault="004615D0">
            <w:pPr>
              <w:pStyle w:val="TableContents"/>
            </w:pPr>
            <w:r>
              <w:t> </w:t>
            </w:r>
          </w:p>
        </w:tc>
        <w:tc>
          <w:tcPr>
            <w:tcW w:w="4279" w:type="dxa"/>
            <w:shd w:val="clear" w:color="auto" w:fill="auto"/>
          </w:tcPr>
          <w:p w14:paraId="5844B258" w14:textId="77777777" w:rsidR="00616CCF" w:rsidRDefault="004615D0">
            <w:pPr>
              <w:pStyle w:val="TableContents"/>
            </w:pPr>
            <w:r>
              <w:t>Name:  Evan M. Levine</w:t>
            </w:r>
          </w:p>
        </w:tc>
      </w:tr>
      <w:tr w:rsidR="00616CCF" w14:paraId="48613541" w14:textId="77777777">
        <w:trPr>
          <w:jc w:val="center"/>
        </w:trPr>
        <w:tc>
          <w:tcPr>
            <w:tcW w:w="5381" w:type="dxa"/>
            <w:shd w:val="clear" w:color="auto" w:fill="auto"/>
          </w:tcPr>
          <w:p w14:paraId="238D66AB" w14:textId="77777777" w:rsidR="00616CCF" w:rsidRDefault="004615D0">
            <w:pPr>
              <w:pStyle w:val="TableContents"/>
              <w:spacing w:after="0"/>
            </w:pPr>
            <w:r>
              <w:t xml:space="preserve">  </w:t>
            </w:r>
          </w:p>
        </w:tc>
        <w:tc>
          <w:tcPr>
            <w:tcW w:w="131" w:type="dxa"/>
            <w:shd w:val="clear" w:color="auto" w:fill="auto"/>
            <w:vAlign w:val="bottom"/>
          </w:tcPr>
          <w:p w14:paraId="02A86CD7" w14:textId="77777777" w:rsidR="00616CCF" w:rsidRDefault="004615D0">
            <w:pPr>
              <w:pStyle w:val="TableContents"/>
            </w:pPr>
            <w:r>
              <w:t> </w:t>
            </w:r>
          </w:p>
        </w:tc>
        <w:tc>
          <w:tcPr>
            <w:tcW w:w="283" w:type="dxa"/>
            <w:shd w:val="clear" w:color="auto" w:fill="auto"/>
          </w:tcPr>
          <w:p w14:paraId="126428DC" w14:textId="77777777" w:rsidR="00616CCF" w:rsidRDefault="00616CCF">
            <w:pPr>
              <w:pStyle w:val="TableContents"/>
              <w:rPr>
                <w:sz w:val="4"/>
                <w:szCs w:val="4"/>
              </w:rPr>
            </w:pPr>
          </w:p>
        </w:tc>
        <w:tc>
          <w:tcPr>
            <w:tcW w:w="131" w:type="dxa"/>
            <w:shd w:val="clear" w:color="auto" w:fill="auto"/>
            <w:vAlign w:val="bottom"/>
          </w:tcPr>
          <w:p w14:paraId="27802E9B" w14:textId="77777777" w:rsidR="00616CCF" w:rsidRDefault="004615D0">
            <w:pPr>
              <w:pStyle w:val="TableContents"/>
            </w:pPr>
            <w:r>
              <w:t> </w:t>
            </w:r>
          </w:p>
        </w:tc>
        <w:tc>
          <w:tcPr>
            <w:tcW w:w="4279" w:type="dxa"/>
            <w:shd w:val="clear" w:color="auto" w:fill="auto"/>
          </w:tcPr>
          <w:p w14:paraId="7B88C101" w14:textId="77777777" w:rsidR="00616CCF" w:rsidRDefault="004615D0">
            <w:pPr>
              <w:pStyle w:val="TableContents"/>
            </w:pPr>
            <w:r>
              <w:t>Title: Managing Member</w:t>
            </w:r>
          </w:p>
        </w:tc>
      </w:tr>
      <w:tr w:rsidR="00616CCF" w14:paraId="04587DCD" w14:textId="77777777">
        <w:trPr>
          <w:jc w:val="center"/>
        </w:trPr>
        <w:tc>
          <w:tcPr>
            <w:tcW w:w="5381" w:type="dxa"/>
            <w:shd w:val="clear" w:color="auto" w:fill="auto"/>
          </w:tcPr>
          <w:p w14:paraId="5444DC0C" w14:textId="77777777" w:rsidR="00616CCF" w:rsidRDefault="004615D0">
            <w:pPr>
              <w:pStyle w:val="TableContents"/>
              <w:spacing w:after="0"/>
            </w:pPr>
            <w:r>
              <w:t> </w:t>
            </w:r>
          </w:p>
        </w:tc>
        <w:tc>
          <w:tcPr>
            <w:tcW w:w="131" w:type="dxa"/>
            <w:shd w:val="clear" w:color="auto" w:fill="auto"/>
            <w:vAlign w:val="bottom"/>
          </w:tcPr>
          <w:p w14:paraId="70BAA59A" w14:textId="77777777" w:rsidR="00616CCF" w:rsidRDefault="004615D0">
            <w:pPr>
              <w:pStyle w:val="TableContents"/>
            </w:pPr>
            <w:r>
              <w:t> </w:t>
            </w:r>
          </w:p>
        </w:tc>
        <w:tc>
          <w:tcPr>
            <w:tcW w:w="283" w:type="dxa"/>
            <w:shd w:val="clear" w:color="auto" w:fill="auto"/>
          </w:tcPr>
          <w:p w14:paraId="436FFEB4" w14:textId="77777777" w:rsidR="00616CCF" w:rsidRDefault="004615D0">
            <w:pPr>
              <w:pStyle w:val="TableContents"/>
            </w:pPr>
            <w:r>
              <w:t> </w:t>
            </w:r>
          </w:p>
        </w:tc>
        <w:tc>
          <w:tcPr>
            <w:tcW w:w="131" w:type="dxa"/>
            <w:shd w:val="clear" w:color="auto" w:fill="auto"/>
            <w:vAlign w:val="bottom"/>
          </w:tcPr>
          <w:p w14:paraId="3A8B1FAD" w14:textId="77777777" w:rsidR="00616CCF" w:rsidRDefault="004615D0">
            <w:pPr>
              <w:pStyle w:val="TableContents"/>
            </w:pPr>
            <w:r>
              <w:t> </w:t>
            </w:r>
          </w:p>
        </w:tc>
        <w:tc>
          <w:tcPr>
            <w:tcW w:w="4279" w:type="dxa"/>
            <w:shd w:val="clear" w:color="auto" w:fill="auto"/>
          </w:tcPr>
          <w:p w14:paraId="064AF2FD" w14:textId="77777777" w:rsidR="00616CCF" w:rsidRDefault="004615D0">
            <w:pPr>
              <w:pStyle w:val="TableContents"/>
            </w:pPr>
            <w:r>
              <w:t> </w:t>
            </w:r>
          </w:p>
        </w:tc>
      </w:tr>
      <w:tr w:rsidR="00616CCF" w14:paraId="6087FC4A" w14:textId="77777777">
        <w:trPr>
          <w:jc w:val="center"/>
        </w:trPr>
        <w:tc>
          <w:tcPr>
            <w:tcW w:w="5381" w:type="dxa"/>
            <w:shd w:val="clear" w:color="auto" w:fill="auto"/>
          </w:tcPr>
          <w:p w14:paraId="51DEC331" w14:textId="77777777" w:rsidR="00616CCF" w:rsidRDefault="004615D0">
            <w:pPr>
              <w:pStyle w:val="TableContents"/>
              <w:spacing w:after="0"/>
            </w:pPr>
            <w:r>
              <w:t xml:space="preserve">  </w:t>
            </w:r>
          </w:p>
        </w:tc>
        <w:tc>
          <w:tcPr>
            <w:tcW w:w="131" w:type="dxa"/>
            <w:shd w:val="clear" w:color="auto" w:fill="auto"/>
            <w:vAlign w:val="bottom"/>
          </w:tcPr>
          <w:p w14:paraId="69F2FE99" w14:textId="77777777" w:rsidR="00616CCF" w:rsidRDefault="004615D0">
            <w:pPr>
              <w:pStyle w:val="TableContents"/>
            </w:pPr>
            <w:r>
              <w:t> </w:t>
            </w:r>
          </w:p>
        </w:tc>
        <w:tc>
          <w:tcPr>
            <w:tcW w:w="4693" w:type="dxa"/>
            <w:gridSpan w:val="3"/>
            <w:shd w:val="clear" w:color="auto" w:fill="auto"/>
          </w:tcPr>
          <w:p w14:paraId="2A1E1E95" w14:textId="77777777" w:rsidR="00616CCF" w:rsidRDefault="004615D0">
            <w:pPr>
              <w:pStyle w:val="TableContents"/>
            </w:pPr>
            <w:r>
              <w:t>BUYER</w:t>
            </w:r>
          </w:p>
        </w:tc>
      </w:tr>
      <w:tr w:rsidR="00616CCF" w14:paraId="3B914AA8" w14:textId="77777777">
        <w:trPr>
          <w:jc w:val="center"/>
        </w:trPr>
        <w:tc>
          <w:tcPr>
            <w:tcW w:w="5381" w:type="dxa"/>
            <w:shd w:val="clear" w:color="auto" w:fill="auto"/>
          </w:tcPr>
          <w:p w14:paraId="5BE68BA2" w14:textId="77777777" w:rsidR="00616CCF" w:rsidRDefault="004615D0">
            <w:pPr>
              <w:pStyle w:val="TableContents"/>
              <w:spacing w:after="0"/>
            </w:pPr>
            <w:r>
              <w:t> </w:t>
            </w:r>
          </w:p>
        </w:tc>
        <w:tc>
          <w:tcPr>
            <w:tcW w:w="131" w:type="dxa"/>
            <w:shd w:val="clear" w:color="auto" w:fill="auto"/>
            <w:vAlign w:val="bottom"/>
          </w:tcPr>
          <w:p w14:paraId="36879D25" w14:textId="77777777" w:rsidR="00616CCF" w:rsidRDefault="004615D0">
            <w:pPr>
              <w:pStyle w:val="TableContents"/>
            </w:pPr>
            <w:r>
              <w:t> </w:t>
            </w:r>
          </w:p>
        </w:tc>
        <w:tc>
          <w:tcPr>
            <w:tcW w:w="283" w:type="dxa"/>
            <w:shd w:val="clear" w:color="auto" w:fill="auto"/>
          </w:tcPr>
          <w:p w14:paraId="0BA45F60" w14:textId="77777777" w:rsidR="00616CCF" w:rsidRDefault="004615D0">
            <w:pPr>
              <w:pStyle w:val="TableContents"/>
            </w:pPr>
            <w:r>
              <w:t> </w:t>
            </w:r>
          </w:p>
        </w:tc>
        <w:tc>
          <w:tcPr>
            <w:tcW w:w="131" w:type="dxa"/>
            <w:shd w:val="clear" w:color="auto" w:fill="auto"/>
            <w:vAlign w:val="bottom"/>
          </w:tcPr>
          <w:p w14:paraId="3BEB8B91" w14:textId="77777777" w:rsidR="00616CCF" w:rsidRDefault="004615D0">
            <w:pPr>
              <w:pStyle w:val="TableContents"/>
            </w:pPr>
            <w:r>
              <w:t> </w:t>
            </w:r>
          </w:p>
        </w:tc>
        <w:tc>
          <w:tcPr>
            <w:tcW w:w="4279" w:type="dxa"/>
            <w:shd w:val="clear" w:color="auto" w:fill="auto"/>
          </w:tcPr>
          <w:p w14:paraId="5655FB29" w14:textId="77777777" w:rsidR="00616CCF" w:rsidRDefault="004615D0">
            <w:pPr>
              <w:pStyle w:val="TableContents"/>
            </w:pPr>
            <w:r>
              <w:t> </w:t>
            </w:r>
          </w:p>
        </w:tc>
      </w:tr>
      <w:tr w:rsidR="00616CCF" w14:paraId="5F46059D" w14:textId="77777777">
        <w:trPr>
          <w:jc w:val="center"/>
        </w:trPr>
        <w:tc>
          <w:tcPr>
            <w:tcW w:w="5381" w:type="dxa"/>
            <w:shd w:val="clear" w:color="auto" w:fill="auto"/>
          </w:tcPr>
          <w:p w14:paraId="4FE9E50C" w14:textId="77777777" w:rsidR="00616CCF" w:rsidRDefault="004615D0">
            <w:pPr>
              <w:pStyle w:val="TableContents"/>
            </w:pPr>
            <w:r>
              <w:t> </w:t>
            </w:r>
          </w:p>
        </w:tc>
        <w:tc>
          <w:tcPr>
            <w:tcW w:w="131" w:type="dxa"/>
            <w:shd w:val="clear" w:color="auto" w:fill="auto"/>
            <w:vAlign w:val="bottom"/>
          </w:tcPr>
          <w:p w14:paraId="5B04EB47" w14:textId="77777777" w:rsidR="00616CCF" w:rsidRDefault="004615D0">
            <w:pPr>
              <w:pStyle w:val="TableContents"/>
            </w:pPr>
            <w:r>
              <w:t> </w:t>
            </w:r>
          </w:p>
        </w:tc>
        <w:tc>
          <w:tcPr>
            <w:tcW w:w="4693" w:type="dxa"/>
            <w:gridSpan w:val="3"/>
            <w:shd w:val="clear" w:color="auto" w:fill="auto"/>
          </w:tcPr>
          <w:p w14:paraId="66C2EE8A" w14:textId="77777777" w:rsidR="00616CCF" w:rsidRDefault="004615D0">
            <w:pPr>
              <w:pStyle w:val="TableContents"/>
            </w:pPr>
            <w:r>
              <w:t>CRAIG PIERSON</w:t>
            </w:r>
          </w:p>
        </w:tc>
      </w:tr>
      <w:tr w:rsidR="00616CCF" w14:paraId="40A4B551" w14:textId="77777777">
        <w:trPr>
          <w:jc w:val="center"/>
        </w:trPr>
        <w:tc>
          <w:tcPr>
            <w:tcW w:w="5381" w:type="dxa"/>
            <w:shd w:val="clear" w:color="auto" w:fill="auto"/>
          </w:tcPr>
          <w:p w14:paraId="1C523DF1" w14:textId="77777777" w:rsidR="00616CCF" w:rsidRDefault="004615D0">
            <w:pPr>
              <w:pStyle w:val="TableContents"/>
              <w:spacing w:after="0"/>
            </w:pPr>
            <w:r>
              <w:t> </w:t>
            </w:r>
          </w:p>
        </w:tc>
        <w:tc>
          <w:tcPr>
            <w:tcW w:w="131" w:type="dxa"/>
            <w:shd w:val="clear" w:color="auto" w:fill="auto"/>
            <w:vAlign w:val="bottom"/>
          </w:tcPr>
          <w:p w14:paraId="1A1EFB3A" w14:textId="77777777" w:rsidR="00616CCF" w:rsidRDefault="004615D0">
            <w:pPr>
              <w:pStyle w:val="TableContents"/>
            </w:pPr>
            <w:r>
              <w:t> </w:t>
            </w:r>
          </w:p>
        </w:tc>
        <w:tc>
          <w:tcPr>
            <w:tcW w:w="283" w:type="dxa"/>
            <w:shd w:val="clear" w:color="auto" w:fill="auto"/>
          </w:tcPr>
          <w:p w14:paraId="3198AE26" w14:textId="77777777" w:rsidR="00616CCF" w:rsidRDefault="004615D0">
            <w:pPr>
              <w:pStyle w:val="TableContents"/>
            </w:pPr>
            <w:r>
              <w:t> </w:t>
            </w:r>
          </w:p>
        </w:tc>
        <w:tc>
          <w:tcPr>
            <w:tcW w:w="131" w:type="dxa"/>
            <w:shd w:val="clear" w:color="auto" w:fill="auto"/>
            <w:vAlign w:val="bottom"/>
          </w:tcPr>
          <w:p w14:paraId="495DA59F" w14:textId="77777777" w:rsidR="00616CCF" w:rsidRDefault="004615D0">
            <w:pPr>
              <w:pStyle w:val="TableContents"/>
            </w:pPr>
            <w:r>
              <w:t> </w:t>
            </w:r>
          </w:p>
        </w:tc>
        <w:tc>
          <w:tcPr>
            <w:tcW w:w="4279" w:type="dxa"/>
            <w:shd w:val="clear" w:color="auto" w:fill="auto"/>
          </w:tcPr>
          <w:p w14:paraId="28A798FC" w14:textId="77777777" w:rsidR="00616CCF" w:rsidRDefault="004615D0">
            <w:pPr>
              <w:pStyle w:val="TableContents"/>
            </w:pPr>
            <w:r>
              <w:t> </w:t>
            </w:r>
          </w:p>
        </w:tc>
      </w:tr>
      <w:tr w:rsidR="00616CCF" w14:paraId="630A0CCE" w14:textId="77777777">
        <w:trPr>
          <w:jc w:val="center"/>
        </w:trPr>
        <w:tc>
          <w:tcPr>
            <w:tcW w:w="5381" w:type="dxa"/>
            <w:shd w:val="clear" w:color="auto" w:fill="auto"/>
          </w:tcPr>
          <w:p w14:paraId="09CCBFFE" w14:textId="77777777" w:rsidR="00616CCF" w:rsidRDefault="004615D0">
            <w:pPr>
              <w:pStyle w:val="TableContents"/>
              <w:spacing w:after="0"/>
            </w:pPr>
            <w:r>
              <w:t xml:space="preserve">  </w:t>
            </w:r>
          </w:p>
        </w:tc>
        <w:tc>
          <w:tcPr>
            <w:tcW w:w="131" w:type="dxa"/>
            <w:shd w:val="clear" w:color="auto" w:fill="auto"/>
            <w:vAlign w:val="bottom"/>
          </w:tcPr>
          <w:p w14:paraId="0EEE2567" w14:textId="77777777" w:rsidR="00616CCF" w:rsidRDefault="004615D0">
            <w:pPr>
              <w:pStyle w:val="TableContents"/>
            </w:pPr>
            <w:r>
              <w:t> </w:t>
            </w:r>
          </w:p>
        </w:tc>
        <w:tc>
          <w:tcPr>
            <w:tcW w:w="283" w:type="dxa"/>
            <w:shd w:val="clear" w:color="auto" w:fill="auto"/>
          </w:tcPr>
          <w:p w14:paraId="611DA7BF" w14:textId="77777777" w:rsidR="00616CCF" w:rsidRDefault="004615D0">
            <w:pPr>
              <w:pStyle w:val="TableContents"/>
            </w:pPr>
            <w:r>
              <w:t>By :</w:t>
            </w:r>
          </w:p>
        </w:tc>
        <w:tc>
          <w:tcPr>
            <w:tcW w:w="131" w:type="dxa"/>
            <w:shd w:val="clear" w:color="auto" w:fill="auto"/>
            <w:vAlign w:val="bottom"/>
          </w:tcPr>
          <w:p w14:paraId="49B94797" w14:textId="77777777" w:rsidR="00616CCF" w:rsidRDefault="004615D0">
            <w:pPr>
              <w:pStyle w:val="TableContents"/>
            </w:pPr>
            <w:r>
              <w:t> </w:t>
            </w:r>
          </w:p>
        </w:tc>
        <w:tc>
          <w:tcPr>
            <w:tcW w:w="4279" w:type="dxa"/>
            <w:tcBorders>
              <w:bottom w:val="single" w:sz="2" w:space="0" w:color="000000"/>
            </w:tcBorders>
            <w:shd w:val="clear" w:color="auto" w:fill="auto"/>
            <w:tcMar>
              <w:bottom w:w="28" w:type="dxa"/>
            </w:tcMar>
          </w:tcPr>
          <w:p w14:paraId="63FC59B3" w14:textId="77777777" w:rsidR="00616CCF" w:rsidRDefault="004615D0">
            <w:pPr>
              <w:pStyle w:val="TableContents"/>
            </w:pPr>
            <w:r>
              <w:t>/s/ Craig Pierson</w:t>
            </w:r>
          </w:p>
        </w:tc>
      </w:tr>
      <w:tr w:rsidR="00616CCF" w14:paraId="0B7D2D7B" w14:textId="77777777">
        <w:trPr>
          <w:jc w:val="center"/>
        </w:trPr>
        <w:tc>
          <w:tcPr>
            <w:tcW w:w="5381" w:type="dxa"/>
            <w:shd w:val="clear" w:color="auto" w:fill="auto"/>
          </w:tcPr>
          <w:p w14:paraId="139A2071" w14:textId="77777777" w:rsidR="00616CCF" w:rsidRDefault="004615D0">
            <w:pPr>
              <w:pStyle w:val="TableContents"/>
              <w:spacing w:after="0"/>
            </w:pPr>
            <w:r>
              <w:t xml:space="preserve">  </w:t>
            </w:r>
          </w:p>
        </w:tc>
        <w:tc>
          <w:tcPr>
            <w:tcW w:w="131" w:type="dxa"/>
            <w:shd w:val="clear" w:color="auto" w:fill="auto"/>
            <w:vAlign w:val="bottom"/>
          </w:tcPr>
          <w:p w14:paraId="1ADB4E38" w14:textId="77777777" w:rsidR="00616CCF" w:rsidRDefault="004615D0">
            <w:pPr>
              <w:pStyle w:val="TableContents"/>
            </w:pPr>
            <w:r>
              <w:t> </w:t>
            </w:r>
          </w:p>
        </w:tc>
        <w:tc>
          <w:tcPr>
            <w:tcW w:w="283" w:type="dxa"/>
            <w:shd w:val="clear" w:color="auto" w:fill="auto"/>
          </w:tcPr>
          <w:p w14:paraId="6A54728A" w14:textId="77777777" w:rsidR="00616CCF" w:rsidRDefault="00616CCF">
            <w:pPr>
              <w:pStyle w:val="TableContents"/>
              <w:rPr>
                <w:sz w:val="4"/>
                <w:szCs w:val="4"/>
              </w:rPr>
            </w:pPr>
          </w:p>
        </w:tc>
        <w:tc>
          <w:tcPr>
            <w:tcW w:w="131" w:type="dxa"/>
            <w:shd w:val="clear" w:color="auto" w:fill="auto"/>
            <w:vAlign w:val="bottom"/>
          </w:tcPr>
          <w:p w14:paraId="44BAFAD0" w14:textId="77777777" w:rsidR="00616CCF" w:rsidRDefault="004615D0">
            <w:pPr>
              <w:pStyle w:val="TableContents"/>
            </w:pPr>
            <w:r>
              <w:t> </w:t>
            </w:r>
          </w:p>
        </w:tc>
        <w:tc>
          <w:tcPr>
            <w:tcW w:w="4279" w:type="dxa"/>
            <w:shd w:val="clear" w:color="auto" w:fill="auto"/>
          </w:tcPr>
          <w:p w14:paraId="5434DFDE" w14:textId="77777777" w:rsidR="00616CCF" w:rsidRDefault="004615D0">
            <w:pPr>
              <w:pStyle w:val="TableContents"/>
            </w:pPr>
            <w:r>
              <w:t>Name:  Craig Pierson</w:t>
            </w:r>
          </w:p>
        </w:tc>
      </w:tr>
      <w:tr w:rsidR="00616CCF" w14:paraId="6529F62A" w14:textId="77777777">
        <w:trPr>
          <w:jc w:val="center"/>
        </w:trPr>
        <w:tc>
          <w:tcPr>
            <w:tcW w:w="5381" w:type="dxa"/>
            <w:shd w:val="clear" w:color="auto" w:fill="auto"/>
          </w:tcPr>
          <w:p w14:paraId="5C467563" w14:textId="77777777" w:rsidR="00616CCF" w:rsidRDefault="004615D0">
            <w:pPr>
              <w:pStyle w:val="TableContents"/>
              <w:spacing w:after="0"/>
            </w:pPr>
            <w:r>
              <w:t xml:space="preserve">  </w:t>
            </w:r>
          </w:p>
        </w:tc>
        <w:tc>
          <w:tcPr>
            <w:tcW w:w="131" w:type="dxa"/>
            <w:shd w:val="clear" w:color="auto" w:fill="auto"/>
            <w:vAlign w:val="bottom"/>
          </w:tcPr>
          <w:p w14:paraId="16124F87" w14:textId="77777777" w:rsidR="00616CCF" w:rsidRDefault="004615D0">
            <w:pPr>
              <w:pStyle w:val="TableContents"/>
            </w:pPr>
            <w:r>
              <w:t> </w:t>
            </w:r>
          </w:p>
        </w:tc>
        <w:tc>
          <w:tcPr>
            <w:tcW w:w="283" w:type="dxa"/>
            <w:shd w:val="clear" w:color="auto" w:fill="auto"/>
          </w:tcPr>
          <w:p w14:paraId="5781AB7C" w14:textId="77777777" w:rsidR="00616CCF" w:rsidRDefault="00616CCF">
            <w:pPr>
              <w:pStyle w:val="TableContents"/>
              <w:rPr>
                <w:sz w:val="4"/>
                <w:szCs w:val="4"/>
              </w:rPr>
            </w:pPr>
          </w:p>
        </w:tc>
        <w:tc>
          <w:tcPr>
            <w:tcW w:w="131" w:type="dxa"/>
            <w:shd w:val="clear" w:color="auto" w:fill="auto"/>
            <w:vAlign w:val="bottom"/>
          </w:tcPr>
          <w:p w14:paraId="249C8BCA" w14:textId="77777777" w:rsidR="00616CCF" w:rsidRDefault="004615D0">
            <w:pPr>
              <w:pStyle w:val="TableContents"/>
            </w:pPr>
            <w:r>
              <w:t> </w:t>
            </w:r>
          </w:p>
        </w:tc>
        <w:tc>
          <w:tcPr>
            <w:tcW w:w="4279" w:type="dxa"/>
            <w:shd w:val="clear" w:color="auto" w:fill="auto"/>
          </w:tcPr>
          <w:p w14:paraId="24AB92C3" w14:textId="77777777" w:rsidR="00616CCF" w:rsidRDefault="004615D0">
            <w:pPr>
              <w:pStyle w:val="TableContents"/>
            </w:pPr>
            <w:r>
              <w:t>Title:  Individual</w:t>
            </w:r>
          </w:p>
        </w:tc>
      </w:tr>
    </w:tbl>
    <w:p w14:paraId="15D5935C" w14:textId="77777777" w:rsidR="00616CCF" w:rsidRDefault="004615D0">
      <w:pPr>
        <w:pStyle w:val="TextBody"/>
        <w:spacing w:before="360"/>
        <w:jc w:val="center"/>
        <w:rPr>
          <w:rFonts w:ascii="Times New Roman;Times;serif" w:hAnsi="Times New Roman;Times;serif"/>
          <w:sz w:val="20"/>
        </w:rPr>
      </w:pPr>
      <w:r>
        <w:rPr>
          <w:rFonts w:ascii="Times New Roman;Times;serif" w:hAnsi="Times New Roman;Times;serif"/>
          <w:sz w:val="20"/>
        </w:rPr>
        <w:t xml:space="preserve">[COUNTERPARET SIGNATURE PAGE TO STOCK PURCHASE AGREEMENT] </w:t>
      </w:r>
    </w:p>
    <w:p w14:paraId="3D82EBB1" w14:textId="77777777" w:rsidR="00616CCF" w:rsidRDefault="004615D0">
      <w:pPr>
        <w:pStyle w:val="TextBody"/>
        <w:jc w:val="center"/>
      </w:pPr>
      <w:r>
        <w:t xml:space="preserve">  </w:t>
      </w:r>
    </w:p>
    <w:sectPr w:rsidR="00616CCF">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panose1 w:val="00000000000000000000"/>
    <w:charset w:val="00"/>
    <w:family w:val="roman"/>
    <w:notTrueType/>
    <w:pitch w:val="default"/>
  </w:font>
  <w:font w:name="Thorndale">
    <w:altName w:val="Times New Roman"/>
    <w:charset w:val="01"/>
    <w:family w:val="roman"/>
    <w:pitch w:val="variable"/>
  </w:font>
  <w:font w:name="Albany">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Times New Roman;Times;serif">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403B"/>
    <w:multiLevelType w:val="multilevel"/>
    <w:tmpl w:val="AF5046E6"/>
    <w:lvl w:ilvl="0">
      <w:start w:val="1"/>
      <w:numFmt w:val="none"/>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616CCF"/>
    <w:rsid w:val="004615D0"/>
    <w:rsid w:val="00616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4F17"/>
  <w15:docId w15:val="{8BE9045D-6E81-4641-8B7F-9DB1A362D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rPr>
  </w:style>
  <w:style w:type="paragraph" w:styleId="1">
    <w:name w:val="heading 1"/>
    <w:basedOn w:val="Heading"/>
    <w:next w:val="TextBody"/>
    <w:uiPriority w:val="9"/>
    <w:qFormat/>
    <w:pPr>
      <w:outlineLvl w:val="0"/>
    </w:pPr>
    <w:rPr>
      <w:rFonts w:ascii="Thorndale" w:hAnsi="Thorndale"/>
      <w:b/>
      <w:bCs/>
      <w:sz w:val="48"/>
      <w:szCs w:val="44"/>
    </w:rPr>
  </w:style>
  <w:style w:type="paragraph" w:styleId="2">
    <w:name w:val="heading 2"/>
    <w:basedOn w:val="Heading"/>
    <w:next w:val="TextBody"/>
    <w:uiPriority w:val="9"/>
    <w:unhideWhenUsed/>
    <w:qFormat/>
    <w:pPr>
      <w:numPr>
        <w:ilvl w:val="1"/>
        <w:numId w:val="1"/>
      </w:numPr>
      <w:spacing w:before="200" w:after="120"/>
      <w:outlineLvl w:val="1"/>
    </w:pPr>
    <w:rPr>
      <w:b/>
      <w:bCs/>
      <w:sz w:val="32"/>
      <w:szCs w:val="32"/>
    </w:rPr>
  </w:style>
  <w:style w:type="paragraph" w:styleId="3">
    <w:name w:val="heading 3"/>
    <w:basedOn w:val="Heading"/>
    <w:next w:val="TextBody"/>
    <w:uiPriority w:val="9"/>
    <w:unhideWhenUsed/>
    <w:qFormat/>
    <w:pPr>
      <w:numPr>
        <w:ilvl w:val="2"/>
        <w:numId w:val="1"/>
      </w:numPr>
      <w:spacing w:before="140" w:after="120"/>
      <w:outlineLvl w:val="2"/>
    </w:pPr>
    <w:rPr>
      <w:b/>
      <w:bCs/>
      <w:szCs w:val="28"/>
    </w:rPr>
  </w:style>
  <w:style w:type="paragraph" w:styleId="5">
    <w:name w:val="heading 5"/>
    <w:basedOn w:val="Heading"/>
    <w:next w:val="TextBody"/>
    <w:uiPriority w:val="9"/>
    <w:unhideWhenUsed/>
    <w:qFormat/>
    <w:pPr>
      <w:spacing w:before="120" w:after="60"/>
      <w:outlineLvl w:val="4"/>
    </w:pPr>
    <w:rPr>
      <w:rFonts w:ascii="Liberation Serif" w:hAnsi="Liberation Serif"/>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eading">
    <w:name w:val="Heading"/>
    <w:basedOn w:val="a"/>
    <w:next w:val="TextBody"/>
    <w:qFormat/>
    <w:pPr>
      <w:keepNext/>
      <w:spacing w:before="240" w:after="283"/>
    </w:pPr>
    <w:rPr>
      <w:rFonts w:ascii="Albany" w:hAnsi="Albany"/>
      <w:sz w:val="28"/>
      <w:szCs w:val="26"/>
    </w:rPr>
  </w:style>
  <w:style w:type="paragraph" w:customStyle="1" w:styleId="TextBody">
    <w:name w:val="Text Body"/>
    <w:basedOn w:val="a"/>
    <w:pPr>
      <w:spacing w:after="283"/>
    </w:pPr>
  </w:style>
  <w:style w:type="paragraph" w:styleId="a3">
    <w:name w:val="List"/>
    <w:basedOn w:val="TextBody"/>
  </w:style>
  <w:style w:type="paragraph" w:styleId="a4">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HorizontalLine">
    <w:name w:val="Horizontal Line"/>
    <w:basedOn w:val="a"/>
    <w:next w:val="TextBody"/>
    <w:qFormat/>
    <w:pPr>
      <w:pBdr>
        <w:bottom w:val="double" w:sz="2" w:space="0" w:color="808080"/>
      </w:pBdr>
      <w:spacing w:after="283"/>
    </w:pPr>
    <w:rPr>
      <w:sz w:val="12"/>
    </w:rPr>
  </w:style>
  <w:style w:type="paragraph" w:customStyle="1" w:styleId="Sender">
    <w:name w:val="Sender"/>
    <w:basedOn w:val="a"/>
    <w:rPr>
      <w:i/>
    </w:rPr>
  </w:style>
  <w:style w:type="paragraph" w:customStyle="1" w:styleId="TableContents">
    <w:name w:val="Table Contents"/>
    <w:basedOn w:val="TextBody"/>
    <w:qFormat/>
  </w:style>
  <w:style w:type="paragraph" w:styleId="a5">
    <w:name w:val="footer"/>
    <w:basedOn w:val="a"/>
    <w:pPr>
      <w:suppressLineNumbers/>
      <w:tabs>
        <w:tab w:val="center" w:pos="4818"/>
        <w:tab w:val="right" w:pos="9637"/>
      </w:tabs>
    </w:pPr>
  </w:style>
  <w:style w:type="paragraph" w:styleId="a6">
    <w:name w:val="header"/>
    <w:basedOn w:val="a"/>
    <w:pPr>
      <w:suppressLineNumbers/>
      <w:tabs>
        <w:tab w:val="center" w:pos="4818"/>
        <w:tab w:val="right" w:pos="9637"/>
      </w:tabs>
    </w:pPr>
  </w:style>
  <w:style w:type="paragraph" w:customStyle="1" w:styleId="TableHeading">
    <w:name w:val="Table Heading"/>
    <w:basedOn w:val="TableContents"/>
    <w:qFormat/>
    <w:pPr>
      <w:suppressLineNumbers/>
      <w:jc w:val="center"/>
    </w:pPr>
    <w:rPr>
      <w:b/>
      <w:bCs/>
    </w:rPr>
  </w:style>
  <w:style w:type="paragraph" w:customStyle="1" w:styleId="Quotations">
    <w:name w:val="Quotations"/>
    <w:basedOn w:val="a"/>
    <w:qFormat/>
    <w:pPr>
      <w:spacing w:after="283"/>
      <w:ind w:left="567" w:right="567"/>
    </w:pPr>
  </w:style>
  <w:style w:type="paragraph" w:styleId="a7">
    <w:name w:val="Title"/>
    <w:basedOn w:val="Heading"/>
    <w:next w:val="TextBody"/>
    <w:uiPriority w:val="10"/>
    <w:qFormat/>
    <w:pPr>
      <w:jc w:val="center"/>
    </w:pPr>
    <w:rPr>
      <w:b/>
      <w:bCs/>
      <w:sz w:val="56"/>
      <w:szCs w:val="56"/>
    </w:rPr>
  </w:style>
  <w:style w:type="paragraph" w:styleId="a8">
    <w:name w:val="Subtitle"/>
    <w:basedOn w:val="Heading"/>
    <w:next w:val="TextBody"/>
    <w:uiPriority w:val="11"/>
    <w:qFormat/>
    <w:pPr>
      <w:spacing w:before="60" w:after="12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2016</Words>
  <Characters>11496</Characters>
  <Application>Microsoft Office Word</Application>
  <DocSecurity>0</DocSecurity>
  <Lines>95</Lines>
  <Paragraphs>26</Paragraphs>
  <ScaleCrop>false</ScaleCrop>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zou zhenhua</cp:lastModifiedBy>
  <cp:revision>1</cp:revision>
  <dcterms:created xsi:type="dcterms:W3CDTF">2021-04-26T07:22:00Z</dcterms:created>
  <dcterms:modified xsi:type="dcterms:W3CDTF">2021-04-26T07:29:00Z</dcterms:modified>
  <dc:language>en-US</dc:language>
</cp:coreProperties>
</file>