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Teaching Methods and Study Material Execution Plan</w:t>
      </w:r>
    </w:p>
    <w:p>
      <w:pPr>
        <w:spacing w:before="240" w:after="60"/>
      </w:pPr>
      <w:r>
        <w:rPr>
          <w:b/>
          <w:sz w:val="26"/>
        </w:rPr>
        <w:t>1. Chapter Structure for Study Material</w:t>
      </w:r>
    </w:p>
    <w:p>
      <w:r>
        <w:t>Every chapter in our study material follows a simple, fixed 4-step structure to keep learning clear, visual, and easy to follow:</w:t>
      </w:r>
    </w:p>
    <w:p>
      <w:pPr>
        <w:pStyle w:val="ListBullet"/>
        <w:spacing w:after="40"/>
      </w:pPr>
      <w:r>
        <w:rPr>
          <w:b/>
        </w:rPr>
        <w:t xml:space="preserve">Step 1: Brief Explanation - </w:t>
      </w:r>
      <w:r>
        <w:t>Provide a short, simple explanation of the concept using plain text. Avoid long paragraphs or overly complex technical words.</w:t>
      </w:r>
    </w:p>
    <w:p>
      <w:pPr>
        <w:pStyle w:val="ListBullet"/>
        <w:spacing w:after="40"/>
      </w:pPr>
      <w:r>
        <w:rPr>
          <w:b/>
        </w:rPr>
        <w:t xml:space="preserve">Step 2: Real-Life Image - </w:t>
      </w:r>
      <w:r>
        <w:t>Include a clear, real-life picture or photo to show what the component or concept looks like in the real world.</w:t>
      </w:r>
    </w:p>
    <w:p>
      <w:pPr>
        <w:pStyle w:val="ListBullet"/>
        <w:spacing w:after="40"/>
      </w:pPr>
      <w:r>
        <w:rPr>
          <w:b/>
        </w:rPr>
        <w:t xml:space="preserve">Step 3: Simple Diagram - </w:t>
      </w:r>
      <w:r>
        <w:t>Use a basic visual flowchart or block diagram to illustrate how data moves or how components connect.</w:t>
      </w:r>
    </w:p>
    <w:p>
      <w:pPr>
        <w:pStyle w:val="ListBullet"/>
        <w:spacing w:after="40"/>
      </w:pPr>
      <w:r>
        <w:rPr>
          <w:b/>
        </w:rPr>
        <w:t xml:space="preserve">Step 4: End-of-Chapter Quiz - </w:t>
      </w:r>
      <w:r>
        <w:t>Finish each chapter with a short practice quiz right on the paper (multiple-choice, matching, or short-answer) so students can immediately test their understanding.</w:t>
      </w:r>
    </w:p>
    <w:p>
      <w:pPr>
        <w:spacing w:before="240" w:after="60"/>
      </w:pPr>
      <w:r>
        <w:rPr>
          <w:b/>
          <w:sz w:val="26"/>
        </w:rPr>
        <w:t>2. Adapting for High School and College Students</w:t>
      </w:r>
    </w:p>
    <w:p>
      <w:pPr>
        <w:pStyle w:val="ListBullet"/>
        <w:spacing w:after="40"/>
      </w:pPr>
      <w:r>
        <w:rPr>
          <w:b/>
        </w:rPr>
        <w:t xml:space="preserve">High School Students: </w:t>
      </w:r>
      <w:r>
        <w:t>Focus on simpler wording, more images and diagrams, straightforward drag-and-drop or multiple-choice paper questions, and quick visual rewards.</w:t>
      </w:r>
    </w:p>
    <w:p>
      <w:pPr>
        <w:pStyle w:val="ListBullet"/>
        <w:spacing w:after="40"/>
      </w:pPr>
      <w:r>
        <w:rPr>
          <w:b/>
        </w:rPr>
        <w:t xml:space="preserve">College Students: </w:t>
      </w:r>
      <w:r>
        <w:t>Include more technical detail, practical scenario-based troubleshooting questions in the paper quizzes, and opportunities for self-paced progression.</w:t>
      </w:r>
    </w:p>
    <w:p>
      <w:pPr>
        <w:spacing w:before="240" w:after="60"/>
      </w:pPr>
      <w:r>
        <w:rPr>
          <w:b/>
          <w:sz w:val="26"/>
        </w:rPr>
        <w:t>3. How Behaviorist Learning Principles Boost Efficiency</w:t>
      </w:r>
    </w:p>
    <w:p>
      <w:pPr>
        <w:pStyle w:val="ListBullet"/>
        <w:spacing w:after="40"/>
      </w:pPr>
      <w:r>
        <w:rPr>
          <w:b/>
        </w:rPr>
        <w:t xml:space="preserve">Stimulus &amp; Response Loop: </w:t>
      </w:r>
      <w:r>
        <w:t>The paper material presents structured prompts (stimulus), requiring students to actively answer quiz questions (response) rather than passively reading.</w:t>
      </w:r>
    </w:p>
    <w:p>
      <w:pPr>
        <w:pStyle w:val="ListBullet"/>
        <w:spacing w:after="40"/>
      </w:pPr>
      <w:r>
        <w:rPr>
          <w:b/>
        </w:rPr>
        <w:t xml:space="preserve">Immediate Reinforcement: </w:t>
      </w:r>
      <w:r>
        <w:t>Paper quizzes are paired with simple answer keys or automated feedback tools, ensuring students immediately verify their logic and correct errors before bad habits settle.</w:t>
      </w:r>
    </w:p>
    <w:p>
      <w:pPr>
        <w:pStyle w:val="ListBullet"/>
        <w:spacing w:after="40"/>
      </w:pPr>
      <w:r>
        <w:rPr>
          <w:b/>
        </w:rPr>
        <w:t xml:space="preserve">Targeted Practice &amp; Self-Paced Mastery: </w:t>
      </w:r>
      <w:r>
        <w:t>Students who struggle with specific concepts can retry similar paper exercises, while faster learners can move ahead through the chapters at their own pace.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