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WJ DSRC Protocol Test Desk 操作说明</w:t>
      </w:r>
    </w:p>
    <w:p>
      <w:pPr>
        <w:jc w:val="center"/>
      </w:pPr>
      <w:r>
        <w:rPr>
          <w:b/>
        </w:rPr>
        <w:t>适用版本 WJ_DSRCProtocolTest_Desk_Net_20260920</w:t>
      </w:r>
    </w:p>
    <w:p>
      <w:pPr>
        <w:jc w:val="center"/>
      </w:pPr>
      <w:r>
        <w:t>文档范围：当前工程已实现的 DSRC 测试界面、台发设置、透传操作和测试结果展示</w:t>
      </w:r>
    </w:p>
    <w:p>
      <w:r>
        <w:br w:type="page"/>
      </w:r>
    </w:p>
    <w:p>
      <w:pPr>
        <w:pStyle w:val="Heading1"/>
      </w:pPr>
      <w:r>
        <w:t>1 使用范围与启动</w:t>
      </w:r>
    </w:p>
    <w:p>
      <w:r>
        <w:t>本说明面向使用 WJ_DSRCProtocolTest_Desk_Net_20260920.exe 进行 DSRC 协议测试的人员。程序当前提供三个一级产品 Tab，其中 DSRC 页面沿用现有测试界面和逻辑；OBU 串口和发卡页面为同级预留页面，当前仅显示后续添加提示。</w:t>
      </w:r>
    </w:p>
    <w:p>
      <w:r>
        <w:t>启动后先确认串口、台发设备和待测 OBU 已连接。未完成端口打开和初始化台发前，不应执行发送或测试按钮。</w:t>
      </w:r>
    </w:p>
    <w:p>
      <w:pPr>
        <w:pStyle w:val="Heading1"/>
      </w:pPr>
      <w:r>
        <w:t>2 一级产品 Tab</w:t>
      </w:r>
    </w:p>
    <w:p>
      <w:r>
        <w:drawing>
          <wp:inline xmlns:a="http://schemas.openxmlformats.org/drawingml/2006/main" xmlns:pic="http://schemas.openxmlformats.org/drawingml/2006/picture">
            <wp:extent cx="6217920" cy="4020538"/>
            <wp:docPr id="1" name="Picture 1"/>
            <wp:cNvGraphicFramePr>
              <a:graphicFrameLocks noChangeAspect="1"/>
            </wp:cNvGraphicFramePr>
            <a:graphic>
              <a:graphicData uri="http://schemas.openxmlformats.org/drawingml/2006/picture">
                <pic:pic>
                  <pic:nvPicPr>
                    <pic:cNvPr id="0" name="mainform_annotated.png"/>
                    <pic:cNvPicPr/>
                  </pic:nvPicPr>
                  <pic:blipFill>
                    <a:blip r:embed="rId9"/>
                    <a:stretch>
                      <a:fillRect/>
                    </a:stretch>
                  </pic:blipFill>
                  <pic:spPr>
                    <a:xfrm>
                      <a:off x="0" y="0"/>
                      <a:ext cx="6217920" cy="4020538"/>
                    </a:xfrm>
                    <a:prstGeom prst="rect"/>
                  </pic:spPr>
                </pic:pic>
              </a:graphicData>
            </a:graphic>
          </wp:inline>
        </w:drawing>
      </w:r>
    </w:p>
    <w:p>
      <w:pPr>
        <w:jc w:val="center"/>
      </w:pPr>
      <w:r>
        <w:t>图 1  主窗体区域标注截图</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b/>
                <w:color w:val="FFFFFF"/>
              </w:rPr>
              <w:t>标号</w:t>
            </w:r>
          </w:p>
        </w:tc>
        <w:tc>
          <w:tcPr>
            <w:tcW w:type="dxa" w:w="3408"/>
            <w:vAlign w:val="center"/>
            <w:shd w:fill="1F4E78"/>
          </w:tcPr>
          <w:p>
            <w:r/>
            <w:r>
              <w:rPr>
                <w:b/>
                <w:color w:val="FFFFFF"/>
              </w:rPr>
              <w:t>页面/区域</w:t>
            </w:r>
          </w:p>
        </w:tc>
        <w:tc>
          <w:tcPr>
            <w:tcW w:type="dxa" w:w="3408"/>
            <w:vAlign w:val="center"/>
            <w:shd w:fill="1F4E78"/>
          </w:tcPr>
          <w:p>
            <w:r/>
            <w:r>
              <w:rPr>
                <w:b/>
                <w:color w:val="FFFFFF"/>
              </w:rPr>
              <w:t>当前状态与用途</w:t>
            </w:r>
          </w:p>
        </w:tc>
      </w:tr>
      <w:tr>
        <w:tc>
          <w:tcPr>
            <w:tcW w:type="dxa" w:w="3408"/>
            <w:vAlign w:val="center"/>
          </w:tcPr>
          <w:p>
            <w:r/>
            <w:r>
              <w:rPr>
                <w:b w:val="0"/>
              </w:rPr>
              <w:t>1</w:t>
            </w:r>
          </w:p>
        </w:tc>
        <w:tc>
          <w:tcPr>
            <w:tcW w:type="dxa" w:w="3408"/>
            <w:vAlign w:val="center"/>
          </w:tcPr>
          <w:p>
            <w:r/>
            <w:r>
              <w:rPr>
                <w:b w:val="0"/>
              </w:rPr>
              <w:t>WJ_DSRC_Protocol_test</w:t>
            </w:r>
          </w:p>
        </w:tc>
        <w:tc>
          <w:tcPr>
            <w:tcW w:type="dxa" w:w="3408"/>
            <w:vAlign w:val="center"/>
          </w:tcPr>
          <w:p>
            <w:r/>
            <w:r>
              <w:rPr>
                <w:b w:val="0"/>
              </w:rPr>
              <w:t>当前已实现的 DSRC 测试页面，包含台发通道、透传模式、标准测试和日常使用。</w:t>
            </w:r>
          </w:p>
        </w:tc>
      </w:tr>
      <w:tr>
        <w:tc>
          <w:tcPr>
            <w:tcW w:type="dxa" w:w="3408"/>
            <w:vAlign w:val="center"/>
            <w:shd w:fill="EAF2F8"/>
          </w:tcPr>
          <w:p>
            <w:r/>
            <w:r>
              <w:rPr>
                <w:b w:val="0"/>
              </w:rPr>
              <w:t>2</w:t>
            </w:r>
          </w:p>
        </w:tc>
        <w:tc>
          <w:tcPr>
            <w:tcW w:type="dxa" w:w="3408"/>
            <w:vAlign w:val="center"/>
            <w:shd w:fill="EAF2F8"/>
          </w:tcPr>
          <w:p>
            <w:r/>
            <w:r>
              <w:rPr>
                <w:b w:val="0"/>
              </w:rPr>
              <w:t>台发设置与状态</w:t>
            </w:r>
          </w:p>
        </w:tc>
        <w:tc>
          <w:tcPr>
            <w:tcW w:type="dxa" w:w="3408"/>
            <w:vAlign w:val="center"/>
            <w:shd w:fill="EAF2F8"/>
          </w:tcPr>
          <w:p>
            <w:r/>
            <w:r>
              <w:rPr>
                <w:b w:val="0"/>
              </w:rPr>
              <w:t>选择串口、打开端口、配置台发参数、选择更新选项并执行初始化台发。</w:t>
            </w:r>
          </w:p>
        </w:tc>
      </w:tr>
      <w:tr>
        <w:tc>
          <w:tcPr>
            <w:tcW w:type="dxa" w:w="3408"/>
            <w:vAlign w:val="center"/>
          </w:tcPr>
          <w:p>
            <w:r/>
            <w:r>
              <w:rPr>
                <w:b w:val="0"/>
              </w:rPr>
              <w:t>3</w:t>
            </w:r>
          </w:p>
        </w:tc>
        <w:tc>
          <w:tcPr>
            <w:tcW w:type="dxa" w:w="3408"/>
            <w:vAlign w:val="center"/>
          </w:tcPr>
          <w:p>
            <w:r/>
            <w:r>
              <w:rPr>
                <w:b w:val="0"/>
              </w:rPr>
              <w:t>帧解析与日志区</w:t>
            </w:r>
          </w:p>
        </w:tc>
        <w:tc>
          <w:tcPr>
            <w:tcW w:type="dxa" w:w="3408"/>
            <w:vAlign w:val="center"/>
          </w:tcPr>
          <w:p>
            <w:r/>
            <w:r>
              <w:rPr>
                <w:b w:val="0"/>
              </w:rPr>
              <w:t>显示解析提示、测试过程信息和当前操作结果。</w:t>
            </w:r>
          </w:p>
        </w:tc>
      </w:tr>
      <w:tr>
        <w:tc>
          <w:tcPr>
            <w:tcW w:type="dxa" w:w="3408"/>
            <w:vAlign w:val="center"/>
            <w:shd w:fill="EAF2F8"/>
          </w:tcPr>
          <w:p>
            <w:r/>
            <w:r>
              <w:rPr>
                <w:b w:val="0"/>
              </w:rPr>
              <w:t>4</w:t>
            </w:r>
          </w:p>
        </w:tc>
        <w:tc>
          <w:tcPr>
            <w:tcW w:type="dxa" w:w="3408"/>
            <w:vAlign w:val="center"/>
            <w:shd w:fill="EAF2F8"/>
          </w:tcPr>
          <w:p>
            <w:r/>
            <w:r>
              <w:rPr>
                <w:b w:val="0"/>
              </w:rPr>
              <w:t>实时上下行帧区</w:t>
            </w:r>
          </w:p>
        </w:tc>
        <w:tc>
          <w:tcPr>
            <w:tcW w:type="dxa" w:w="3408"/>
            <w:vAlign w:val="center"/>
            <w:shd w:fill="EAF2F8"/>
          </w:tcPr>
          <w:p>
            <w:r/>
            <w:r>
              <w:rPr>
                <w:b w:val="0"/>
              </w:rPr>
              <w:t>显示打开或保存的实时帧内容，并支持清空。</w:t>
            </w:r>
          </w:p>
        </w:tc>
      </w:tr>
      <w:tr>
        <w:tc>
          <w:tcPr>
            <w:tcW w:type="dxa" w:w="3408"/>
            <w:vAlign w:val="center"/>
          </w:tcPr>
          <w:p>
            <w:r/>
            <w:r>
              <w:rPr>
                <w:b w:val="0"/>
              </w:rPr>
              <w:t>5</w:t>
            </w:r>
          </w:p>
        </w:tc>
        <w:tc>
          <w:tcPr>
            <w:tcW w:type="dxa" w:w="3408"/>
            <w:vAlign w:val="center"/>
          </w:tcPr>
          <w:p>
            <w:r/>
            <w:r>
              <w:rPr>
                <w:b w:val="0"/>
              </w:rPr>
              <w:t>帧操作与测试区</w:t>
            </w:r>
          </w:p>
        </w:tc>
        <w:tc>
          <w:tcPr>
            <w:tcW w:type="dxa" w:w="3408"/>
            <w:vAlign w:val="center"/>
          </w:tcPr>
          <w:p>
            <w:r/>
            <w:r>
              <w:rPr>
                <w:b w:val="0"/>
              </w:rPr>
              <w:t>维护待发帧列表，选择交易帧/IC 卡/ESAM 操作并执行测试。</w:t>
            </w:r>
          </w:p>
        </w:tc>
      </w:tr>
    </w:tbl>
    <w:p/>
    <w:p>
      <w:pPr>
        <w:pStyle w:val="Heading2"/>
      </w:pPr>
      <w:r>
        <w:t>2.1 WJ_DSRC_Protocol_test</w:t>
      </w:r>
    </w:p>
    <w:p>
      <w:r>
        <w:t>选中该 Tab 后进入现有 DSRC 测试主页面。一级 Tab 仅用于页面切换，不会自动打开串口，也不会自动启动协议测试。</w:t>
      </w:r>
    </w:p>
    <w:p>
      <w:pPr>
        <w:pStyle w:val="Heading2"/>
      </w:pPr>
      <w:r>
        <w:t>2.2 WJ_OBUSerial_Desk</w:t>
      </w:r>
    </w:p>
    <w:p>
      <w:r>
        <w:t>当前为预留页面，页面显示“测试功能待后续添加”。当前版本不要依据该页面执行 OBU 串口测试。</w:t>
      </w:r>
    </w:p>
    <w:p>
      <w:pPr>
        <w:pStyle w:val="Heading2"/>
      </w:pPr>
      <w:r>
        <w:t>2.3 WJ_CreatCard_Desk</w:t>
      </w:r>
    </w:p>
    <w:p>
      <w:r>
        <w:t>当前为预留页面，页面显示“测试功能待后续添加”。当前版本不要依据该页面执行发卡测试。</w:t>
      </w:r>
    </w:p>
    <w:p>
      <w:pPr>
        <w:pStyle w:val="Heading1"/>
      </w:pPr>
      <w:r>
        <w:t>3 台发设置与通信端口</w:t>
      </w:r>
    </w:p>
    <w:p>
      <w:r>
        <w:drawing>
          <wp:inline xmlns:a="http://schemas.openxmlformats.org/drawingml/2006/main" xmlns:pic="http://schemas.openxmlformats.org/drawingml/2006/picture">
            <wp:extent cx="6217920" cy="4020538"/>
            <wp:docPr id="2" name="Picture 2"/>
            <wp:cNvGraphicFramePr>
              <a:graphicFrameLocks noChangeAspect="1"/>
            </wp:cNvGraphicFramePr>
            <a:graphic>
              <a:graphicData uri="http://schemas.openxmlformats.org/drawingml/2006/picture">
                <pic:pic>
                  <pic:nvPicPr>
                    <pic:cNvPr id="0" name="mainform_regions.png"/>
                    <pic:cNvPicPr/>
                  </pic:nvPicPr>
                  <pic:blipFill>
                    <a:blip r:embed="rId10"/>
                    <a:stretch>
                      <a:fillRect/>
                    </a:stretch>
                  </pic:blipFill>
                  <pic:spPr>
                    <a:xfrm>
                      <a:off x="0" y="0"/>
                      <a:ext cx="6217920" cy="4020538"/>
                    </a:xfrm>
                    <a:prstGeom prst="rect"/>
                  </pic:spPr>
                </pic:pic>
              </a:graphicData>
            </a:graphic>
          </wp:inline>
        </w:drawing>
      </w:r>
    </w:p>
    <w:p>
      <w:pPr>
        <w:jc w:val="center"/>
      </w:pPr>
      <w:r>
        <w:t>图 2  台发设置和帧操作区域标注截图</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b/>
                <w:color w:val="FFFFFF"/>
              </w:rPr>
              <w:t>控件</w:t>
            </w:r>
          </w:p>
        </w:tc>
        <w:tc>
          <w:tcPr>
            <w:tcW w:type="dxa" w:w="3408"/>
            <w:vAlign w:val="center"/>
            <w:shd w:fill="1F4E78"/>
          </w:tcPr>
          <w:p>
            <w:r/>
            <w:r>
              <w:rPr>
                <w:b/>
                <w:color w:val="FFFFFF"/>
              </w:rPr>
              <w:t>日常操作</w:t>
            </w:r>
          </w:p>
        </w:tc>
        <w:tc>
          <w:tcPr>
            <w:tcW w:type="dxa" w:w="3408"/>
            <w:vAlign w:val="center"/>
            <w:shd w:fill="1F4E78"/>
          </w:tcPr>
          <w:p>
            <w:r/>
            <w:r>
              <w:rPr>
                <w:b/>
                <w:color w:val="FFFFFF"/>
              </w:rPr>
              <w:t>效果与注意事项</w:t>
            </w:r>
          </w:p>
        </w:tc>
      </w:tr>
      <w:tr>
        <w:tc>
          <w:tcPr>
            <w:tcW w:type="dxa" w:w="3408"/>
            <w:vAlign w:val="center"/>
          </w:tcPr>
          <w:p>
            <w:r/>
            <w:r>
              <w:rPr>
                <w:b w:val="0"/>
              </w:rPr>
              <w:t>通信端口下拉框</w:t>
            </w:r>
          </w:p>
        </w:tc>
        <w:tc>
          <w:tcPr>
            <w:tcW w:type="dxa" w:w="3408"/>
            <w:vAlign w:val="center"/>
          </w:tcPr>
          <w:p>
            <w:r/>
            <w:r>
              <w:rPr>
                <w:b w:val="0"/>
              </w:rPr>
              <w:t>选择已识别的 COM 端口。</w:t>
            </w:r>
          </w:p>
        </w:tc>
        <w:tc>
          <w:tcPr>
            <w:tcW w:type="dxa" w:w="3408"/>
            <w:vAlign w:val="center"/>
          </w:tcPr>
          <w:p>
            <w:r/>
            <w:r>
              <w:rPr>
                <w:b w:val="0"/>
              </w:rPr>
              <w:t>决定台发通信使用的串口；端口未打开时不能进行设备交互。</w:t>
            </w:r>
          </w:p>
        </w:tc>
      </w:tr>
      <w:tr>
        <w:tc>
          <w:tcPr>
            <w:tcW w:type="dxa" w:w="3408"/>
            <w:vAlign w:val="center"/>
            <w:shd w:fill="EAF2F8"/>
          </w:tcPr>
          <w:p>
            <w:r/>
            <w:r>
              <w:rPr>
                <w:b w:val="0"/>
              </w:rPr>
              <w:t>打开端口</w:t>
            </w:r>
          </w:p>
        </w:tc>
        <w:tc>
          <w:tcPr>
            <w:tcW w:type="dxa" w:w="3408"/>
            <w:vAlign w:val="center"/>
            <w:shd w:fill="EAF2F8"/>
          </w:tcPr>
          <w:p>
            <w:r/>
            <w:r>
              <w:rPr>
                <w:b w:val="0"/>
              </w:rPr>
              <w:t>选择端口后点击。</w:t>
            </w:r>
          </w:p>
        </w:tc>
        <w:tc>
          <w:tcPr>
            <w:tcW w:type="dxa" w:w="3408"/>
            <w:vAlign w:val="center"/>
            <w:shd w:fill="EAF2F8"/>
          </w:tcPr>
          <w:p>
            <w:r/>
            <w:r>
              <w:rPr>
                <w:b w:val="0"/>
              </w:rPr>
              <w:t>打开或关闭当前串口，并更新底部通信状态；失败时应先检查端口占用。</w:t>
            </w:r>
          </w:p>
        </w:tc>
      </w:tr>
      <w:tr>
        <w:tc>
          <w:tcPr>
            <w:tcW w:type="dxa" w:w="3408"/>
            <w:vAlign w:val="center"/>
          </w:tcPr>
          <w:p>
            <w:r/>
            <w:r>
              <w:rPr>
                <w:b w:val="0"/>
              </w:rPr>
              <w:t>BST 间隔</w:t>
            </w:r>
          </w:p>
        </w:tc>
        <w:tc>
          <w:tcPr>
            <w:tcW w:type="dxa" w:w="3408"/>
            <w:vAlign w:val="center"/>
          </w:tcPr>
          <w:p>
            <w:r/>
            <w:r>
              <w:rPr>
                <w:b w:val="0"/>
              </w:rPr>
              <w:t>输入毫秒数。</w:t>
            </w:r>
          </w:p>
        </w:tc>
        <w:tc>
          <w:tcPr>
            <w:tcW w:type="dxa" w:w="3408"/>
            <w:vAlign w:val="center"/>
          </w:tcPr>
          <w:p>
            <w:r/>
            <w:r>
              <w:rPr>
                <w:b w:val="0"/>
              </w:rPr>
              <w:t>控制 BST 发送间隔，必须使用合法数值。</w:t>
            </w:r>
          </w:p>
        </w:tc>
      </w:tr>
      <w:tr>
        <w:tc>
          <w:tcPr>
            <w:tcW w:type="dxa" w:w="3408"/>
            <w:vAlign w:val="center"/>
            <w:shd w:fill="EAF2F8"/>
          </w:tcPr>
          <w:p>
            <w:r/>
            <w:r>
              <w:rPr>
                <w:b w:val="0"/>
              </w:rPr>
              <w:t>非 BST 帧间隔</w:t>
            </w:r>
          </w:p>
        </w:tc>
        <w:tc>
          <w:tcPr>
            <w:tcW w:type="dxa" w:w="3408"/>
            <w:vAlign w:val="center"/>
            <w:shd w:fill="EAF2F8"/>
          </w:tcPr>
          <w:p>
            <w:r/>
            <w:r>
              <w:rPr>
                <w:b w:val="0"/>
              </w:rPr>
              <w:t>输入毫秒数。</w:t>
            </w:r>
          </w:p>
        </w:tc>
        <w:tc>
          <w:tcPr>
            <w:tcW w:type="dxa" w:w="3408"/>
            <w:vAlign w:val="center"/>
            <w:shd w:fill="EAF2F8"/>
          </w:tcPr>
          <w:p>
            <w:r/>
            <w:r>
              <w:rPr>
                <w:b w:val="0"/>
              </w:rPr>
              <w:t>控制非 BST 帧之间的等待时间。</w:t>
            </w:r>
          </w:p>
        </w:tc>
      </w:tr>
      <w:tr>
        <w:tc>
          <w:tcPr>
            <w:tcW w:type="dxa" w:w="3408"/>
            <w:vAlign w:val="center"/>
          </w:tcPr>
          <w:p>
            <w:r/>
            <w:r>
              <w:rPr>
                <w:b w:val="0"/>
              </w:rPr>
              <w:t>帧发送次数</w:t>
            </w:r>
          </w:p>
        </w:tc>
        <w:tc>
          <w:tcPr>
            <w:tcW w:type="dxa" w:w="3408"/>
            <w:vAlign w:val="center"/>
          </w:tcPr>
          <w:p>
            <w:r/>
            <w:r>
              <w:rPr>
                <w:b w:val="0"/>
              </w:rPr>
              <w:t>输入重发次数。</w:t>
            </w:r>
          </w:p>
        </w:tc>
        <w:tc>
          <w:tcPr>
            <w:tcW w:type="dxa" w:w="3408"/>
            <w:vAlign w:val="center"/>
          </w:tcPr>
          <w:p>
            <w:r/>
            <w:r>
              <w:rPr>
                <w:b w:val="0"/>
              </w:rPr>
              <w:t>影响台发重发行为；过大可能延长测试时间。</w:t>
            </w:r>
          </w:p>
        </w:tc>
      </w:tr>
      <w:tr>
        <w:tc>
          <w:tcPr>
            <w:tcW w:type="dxa" w:w="3408"/>
            <w:vAlign w:val="center"/>
            <w:shd w:fill="EAF2F8"/>
          </w:tcPr>
          <w:p>
            <w:r/>
            <w:r>
              <w:rPr>
                <w:b w:val="0"/>
              </w:rPr>
              <w:t>交易超时</w:t>
            </w:r>
          </w:p>
        </w:tc>
        <w:tc>
          <w:tcPr>
            <w:tcW w:type="dxa" w:w="3408"/>
            <w:vAlign w:val="center"/>
            <w:shd w:fill="EAF2F8"/>
          </w:tcPr>
          <w:p>
            <w:r/>
            <w:r>
              <w:rPr>
                <w:b w:val="0"/>
              </w:rPr>
              <w:t>输入毫秒数。</w:t>
            </w:r>
          </w:p>
        </w:tc>
        <w:tc>
          <w:tcPr>
            <w:tcW w:type="dxa" w:w="3408"/>
            <w:vAlign w:val="center"/>
            <w:shd w:fill="EAF2F8"/>
          </w:tcPr>
          <w:p>
            <w:r/>
            <w:r>
              <w:rPr>
                <w:b w:val="0"/>
              </w:rPr>
              <w:t>控制交易响应等待上限。</w:t>
            </w:r>
          </w:p>
        </w:tc>
      </w:tr>
      <w:tr>
        <w:tc>
          <w:tcPr>
            <w:tcW w:type="dxa" w:w="3408"/>
            <w:vAlign w:val="center"/>
          </w:tcPr>
          <w:p>
            <w:r/>
            <w:r>
              <w:rPr>
                <w:b w:val="0"/>
              </w:rPr>
              <w:t>功率等级/物理信道</w:t>
            </w:r>
          </w:p>
        </w:tc>
        <w:tc>
          <w:tcPr>
            <w:tcW w:type="dxa" w:w="3408"/>
            <w:vAlign w:val="center"/>
          </w:tcPr>
          <w:p>
            <w:r/>
            <w:r>
              <w:rPr>
                <w:b w:val="0"/>
              </w:rPr>
              <w:t>输入设备支持的参数。</w:t>
            </w:r>
          </w:p>
        </w:tc>
        <w:tc>
          <w:tcPr>
            <w:tcW w:type="dxa" w:w="3408"/>
            <w:vAlign w:val="center"/>
          </w:tcPr>
          <w:p>
            <w:r/>
            <w:r>
              <w:rPr>
                <w:b w:val="0"/>
              </w:rPr>
              <w:t>参与台发初始化，实际范围以设备和项目配置为准。</w:t>
            </w:r>
          </w:p>
        </w:tc>
      </w:tr>
      <w:tr>
        <w:tc>
          <w:tcPr>
            <w:tcW w:type="dxa" w:w="3408"/>
            <w:vAlign w:val="center"/>
            <w:shd w:fill="EAF2F8"/>
          </w:tcPr>
          <w:p>
            <w:r/>
            <w:r>
              <w:rPr>
                <w:b w:val="0"/>
              </w:rPr>
              <w:t>BID/UnixTime/LLC/MAC 更新</w:t>
            </w:r>
          </w:p>
        </w:tc>
        <w:tc>
          <w:tcPr>
            <w:tcW w:type="dxa" w:w="3408"/>
            <w:vAlign w:val="center"/>
            <w:shd w:fill="EAF2F8"/>
          </w:tcPr>
          <w:p>
            <w:r/>
            <w:r>
              <w:rPr>
                <w:b w:val="0"/>
              </w:rPr>
              <w:t>按测试要求勾选。</w:t>
            </w:r>
          </w:p>
        </w:tc>
        <w:tc>
          <w:tcPr>
            <w:tcW w:type="dxa" w:w="3408"/>
            <w:vAlign w:val="center"/>
            <w:shd w:fill="EAF2F8"/>
          </w:tcPr>
          <w:p>
            <w:r/>
            <w:r>
              <w:rPr>
                <w:b w:val="0"/>
              </w:rPr>
              <w:t>影响初始化时相应字段是否动态更新；不要在未确认用例要求时随意改变。</w:t>
            </w:r>
          </w:p>
        </w:tc>
      </w:tr>
      <w:tr>
        <w:tc>
          <w:tcPr>
            <w:tcW w:type="dxa" w:w="3408"/>
            <w:vAlign w:val="center"/>
          </w:tcPr>
          <w:p>
            <w:r/>
            <w:r>
              <w:rPr>
                <w:b w:val="0"/>
              </w:rPr>
              <w:t>启用日志</w:t>
            </w:r>
          </w:p>
        </w:tc>
        <w:tc>
          <w:tcPr>
            <w:tcW w:type="dxa" w:w="3408"/>
            <w:vAlign w:val="center"/>
          </w:tcPr>
          <w:p>
            <w:r/>
            <w:r>
              <w:rPr>
                <w:b w:val="0"/>
              </w:rPr>
              <w:t>需要保存过程时勾选。</w:t>
            </w:r>
          </w:p>
        </w:tc>
        <w:tc>
          <w:tcPr>
            <w:tcW w:type="dxa" w:w="3408"/>
            <w:vAlign w:val="center"/>
          </w:tcPr>
          <w:p>
            <w:r/>
            <w:r>
              <w:rPr>
                <w:b w:val="0"/>
              </w:rPr>
              <w:t>启用测试过程日志记录，便于结果追溯。</w:t>
            </w:r>
          </w:p>
        </w:tc>
      </w:tr>
      <w:tr>
        <w:tc>
          <w:tcPr>
            <w:tcW w:type="dxa" w:w="3408"/>
            <w:vAlign w:val="center"/>
            <w:shd w:fill="EAF2F8"/>
          </w:tcPr>
          <w:p>
            <w:r/>
            <w:r>
              <w:rPr>
                <w:b w:val="0"/>
              </w:rPr>
              <w:t>初始化台发</w:t>
            </w:r>
          </w:p>
        </w:tc>
        <w:tc>
          <w:tcPr>
            <w:tcW w:type="dxa" w:w="3408"/>
            <w:vAlign w:val="center"/>
            <w:shd w:fill="EAF2F8"/>
          </w:tcPr>
          <w:p>
            <w:r/>
            <w:r>
              <w:rPr>
                <w:b w:val="0"/>
              </w:rPr>
              <w:t>参数确认后点击。</w:t>
            </w:r>
          </w:p>
        </w:tc>
        <w:tc>
          <w:tcPr>
            <w:tcW w:type="dxa" w:w="3408"/>
            <w:vAlign w:val="center"/>
            <w:shd w:fill="EAF2F8"/>
          </w:tcPr>
          <w:p>
            <w:r/>
            <w:r>
              <w:rPr>
                <w:b w:val="0"/>
              </w:rPr>
              <w:t>将界面参数下发到台发设备；成功后方可进入测试。</w:t>
            </w:r>
          </w:p>
        </w:tc>
      </w:tr>
    </w:tbl>
    <w:p/>
    <w:p>
      <w:pPr>
        <w:pStyle w:val="Heading1"/>
      </w:pPr>
      <w:r>
        <w:t>4 二级页面与透传模式</w:t>
      </w:r>
    </w:p>
    <w:p>
      <w:pPr>
        <w:pStyle w:val="Heading2"/>
      </w:pPr>
      <w:r>
        <w:t>4.1 透传模式</w:t>
      </w:r>
    </w:p>
    <w:p>
      <w:r>
        <w:t>透传模式用于查看和维护 DSRC 帧。操作顺序通常为：打开串口 → 初始化台发 → 打开实时帧或加载帧内容 → 在帧操作区维护待发列表 → 点击测试。透传操作本身不等同于某个标准测试用例，是否通过以当前测试说明和设备返回为准。</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b/>
                <w:color w:val="FFFFFF"/>
              </w:rPr>
              <w:t>区域/控件</w:t>
            </w:r>
          </w:p>
        </w:tc>
        <w:tc>
          <w:tcPr>
            <w:tcW w:type="dxa" w:w="3408"/>
            <w:vAlign w:val="center"/>
            <w:shd w:fill="1F4E78"/>
          </w:tcPr>
          <w:p>
            <w:r/>
            <w:r>
              <w:rPr>
                <w:b/>
                <w:color w:val="FFFFFF"/>
              </w:rPr>
              <w:t>使用方式</w:t>
            </w:r>
          </w:p>
        </w:tc>
        <w:tc>
          <w:tcPr>
            <w:tcW w:type="dxa" w:w="3408"/>
            <w:vAlign w:val="center"/>
            <w:shd w:fill="1F4E78"/>
          </w:tcPr>
          <w:p>
            <w:r/>
            <w:r>
              <w:rPr>
                <w:b/>
                <w:color w:val="FFFFFF"/>
              </w:rPr>
              <w:t>操作效果</w:t>
            </w:r>
          </w:p>
        </w:tc>
      </w:tr>
      <w:tr>
        <w:tc>
          <w:tcPr>
            <w:tcW w:type="dxa" w:w="3408"/>
            <w:vAlign w:val="center"/>
          </w:tcPr>
          <w:p>
            <w:r/>
            <w:r>
              <w:rPr>
                <w:b w:val="0"/>
              </w:rPr>
              <w:t>帧解析</w:t>
            </w:r>
          </w:p>
        </w:tc>
        <w:tc>
          <w:tcPr>
            <w:tcW w:type="dxa" w:w="3408"/>
            <w:vAlign w:val="center"/>
          </w:tcPr>
          <w:p>
            <w:r/>
            <w:r>
              <w:rPr>
                <w:b w:val="0"/>
              </w:rPr>
              <w:t>点击上方实时上下行帧内容进行解析。</w:t>
            </w:r>
          </w:p>
        </w:tc>
        <w:tc>
          <w:tcPr>
            <w:tcW w:type="dxa" w:w="3408"/>
            <w:vAlign w:val="center"/>
          </w:tcPr>
          <w:p>
            <w:r/>
            <w:r>
              <w:rPr>
                <w:b w:val="0"/>
              </w:rPr>
              <w:t>在左侧区域显示帧解析结果和提示。</w:t>
            </w:r>
          </w:p>
        </w:tc>
      </w:tr>
      <w:tr>
        <w:tc>
          <w:tcPr>
            <w:tcW w:type="dxa" w:w="3408"/>
            <w:vAlign w:val="center"/>
            <w:shd w:fill="EAF2F8"/>
          </w:tcPr>
          <w:p>
            <w:r/>
            <w:r>
              <w:rPr>
                <w:b w:val="0"/>
              </w:rPr>
              <w:t>实时上下行帧</w:t>
            </w:r>
          </w:p>
        </w:tc>
        <w:tc>
          <w:tcPr>
            <w:tcW w:type="dxa" w:w="3408"/>
            <w:vAlign w:val="center"/>
            <w:shd w:fill="EAF2F8"/>
          </w:tcPr>
          <w:p>
            <w:r/>
            <w:r>
              <w:rPr>
                <w:b w:val="0"/>
              </w:rPr>
              <w:t>点击打开加载内容，点击保存保存当前内容，点击清空移除显示。</w:t>
            </w:r>
          </w:p>
        </w:tc>
        <w:tc>
          <w:tcPr>
            <w:tcW w:type="dxa" w:w="3408"/>
            <w:vAlign w:val="center"/>
            <w:shd w:fill="EAF2F8"/>
          </w:tcPr>
          <w:p>
            <w:r/>
            <w:r>
              <w:rPr>
                <w:b w:val="0"/>
              </w:rPr>
              <w:t>仅维护显示内容和文件记录，不自动执行测试。</w:t>
            </w:r>
          </w:p>
        </w:tc>
      </w:tr>
      <w:tr>
        <w:tc>
          <w:tcPr>
            <w:tcW w:type="dxa" w:w="3408"/>
            <w:vAlign w:val="center"/>
          </w:tcPr>
          <w:p>
            <w:r/>
            <w:r>
              <w:rPr>
                <w:b w:val="0"/>
              </w:rPr>
              <w:t>帧操作列表</w:t>
            </w:r>
          </w:p>
        </w:tc>
        <w:tc>
          <w:tcPr>
            <w:tcW w:type="dxa" w:w="3408"/>
            <w:vAlign w:val="center"/>
          </w:tcPr>
          <w:p>
            <w:r/>
            <w:r>
              <w:rPr>
                <w:b w:val="0"/>
              </w:rPr>
              <w:t>选中条目后使用上移、下移、删除或清空。</w:t>
            </w:r>
          </w:p>
        </w:tc>
        <w:tc>
          <w:tcPr>
            <w:tcW w:type="dxa" w:w="3408"/>
            <w:vAlign w:val="center"/>
          </w:tcPr>
          <w:p>
            <w:r/>
            <w:r>
              <w:rPr>
                <w:b w:val="0"/>
              </w:rPr>
              <w:t>调整待发帧顺序或移除条目。</w:t>
            </w:r>
          </w:p>
        </w:tc>
      </w:tr>
      <w:tr>
        <w:tc>
          <w:tcPr>
            <w:tcW w:type="dxa" w:w="3408"/>
            <w:vAlign w:val="center"/>
            <w:shd w:fill="EAF2F8"/>
          </w:tcPr>
          <w:p>
            <w:r/>
            <w:r>
              <w:rPr>
                <w:b w:val="0"/>
              </w:rPr>
              <w:t>交易帧/IC 卡/ESAM 选择器</w:t>
            </w:r>
          </w:p>
        </w:tc>
        <w:tc>
          <w:tcPr>
            <w:tcW w:type="dxa" w:w="3408"/>
            <w:vAlign w:val="center"/>
            <w:shd w:fill="EAF2F8"/>
          </w:tcPr>
          <w:p>
            <w:r/>
            <w:r>
              <w:rPr>
                <w:b w:val="0"/>
              </w:rPr>
              <w:t>选择要加入待发列表的协议操作。</w:t>
            </w:r>
          </w:p>
        </w:tc>
        <w:tc>
          <w:tcPr>
            <w:tcW w:type="dxa" w:w="3408"/>
            <w:vAlign w:val="center"/>
            <w:shd w:fill="EAF2F8"/>
          </w:tcPr>
          <w:p>
            <w:r/>
            <w:r>
              <w:rPr>
                <w:b w:val="0"/>
              </w:rPr>
              <w:t>为测试序列添加对应操作项。</w:t>
            </w:r>
          </w:p>
        </w:tc>
      </w:tr>
      <w:tr>
        <w:tc>
          <w:tcPr>
            <w:tcW w:type="dxa" w:w="3408"/>
            <w:vAlign w:val="center"/>
          </w:tcPr>
          <w:p>
            <w:r/>
            <w:r>
              <w:rPr>
                <w:b w:val="0"/>
              </w:rPr>
              <w:t>添加</w:t>
            </w:r>
          </w:p>
        </w:tc>
        <w:tc>
          <w:tcPr>
            <w:tcW w:type="dxa" w:w="3408"/>
            <w:vAlign w:val="center"/>
          </w:tcPr>
          <w:p>
            <w:r/>
            <w:r>
              <w:rPr>
                <w:b w:val="0"/>
              </w:rPr>
              <w:t>在对应选择器选中项目后点击。</w:t>
            </w:r>
          </w:p>
        </w:tc>
        <w:tc>
          <w:tcPr>
            <w:tcW w:type="dxa" w:w="3408"/>
            <w:vAlign w:val="center"/>
          </w:tcPr>
          <w:p>
            <w:r/>
            <w:r>
              <w:rPr>
                <w:b w:val="0"/>
              </w:rPr>
              <w:t>将操作加入帧操作列表。</w:t>
            </w:r>
          </w:p>
        </w:tc>
      </w:tr>
      <w:tr>
        <w:tc>
          <w:tcPr>
            <w:tcW w:type="dxa" w:w="3408"/>
            <w:vAlign w:val="center"/>
            <w:shd w:fill="EAF2F8"/>
          </w:tcPr>
          <w:p>
            <w:r/>
            <w:r>
              <w:rPr>
                <w:b w:val="0"/>
              </w:rPr>
              <w:t>测试</w:t>
            </w:r>
          </w:p>
        </w:tc>
        <w:tc>
          <w:tcPr>
            <w:tcW w:type="dxa" w:w="3408"/>
            <w:vAlign w:val="center"/>
            <w:shd w:fill="EAF2F8"/>
          </w:tcPr>
          <w:p>
            <w:r/>
            <w:r>
              <w:rPr>
                <w:b w:val="0"/>
              </w:rPr>
              <w:t>确认端口已打开、台发已初始化且列表顺序正确后点击。</w:t>
            </w:r>
          </w:p>
        </w:tc>
        <w:tc>
          <w:tcPr>
            <w:tcW w:type="dxa" w:w="3408"/>
            <w:vAlign w:val="center"/>
            <w:shd w:fill="EAF2F8"/>
          </w:tcPr>
          <w:p>
            <w:r/>
            <w:r>
              <w:rPr>
                <w:b w:val="0"/>
              </w:rPr>
              <w:t>按当前列表向设备执行测试，并在日志/状态区域显示过程和结果。</w:t>
            </w:r>
          </w:p>
        </w:tc>
      </w:tr>
      <w:tr>
        <w:tc>
          <w:tcPr>
            <w:tcW w:type="dxa" w:w="3408"/>
            <w:vAlign w:val="center"/>
          </w:tcPr>
          <w:p>
            <w:r/>
            <w:r>
              <w:rPr>
                <w:b w:val="0"/>
              </w:rPr>
              <w:t>BUF 修改/清空 BUF</w:t>
            </w:r>
          </w:p>
        </w:tc>
        <w:tc>
          <w:tcPr>
            <w:tcW w:type="dxa" w:w="3408"/>
            <w:vAlign w:val="center"/>
          </w:tcPr>
          <w:p>
            <w:r/>
            <w:r>
              <w:rPr>
                <w:b w:val="0"/>
              </w:rPr>
              <w:t>需要维护缓冲区时使用。</w:t>
            </w:r>
          </w:p>
        </w:tc>
        <w:tc>
          <w:tcPr>
            <w:tcW w:type="dxa" w:w="3408"/>
            <w:vAlign w:val="center"/>
          </w:tcPr>
          <w:p>
            <w:r/>
            <w:r>
              <w:rPr>
                <w:b w:val="0"/>
              </w:rPr>
              <w:t>修改或清空 BUF 内容，影响后续相关帧操作。</w:t>
            </w:r>
          </w:p>
        </w:tc>
      </w:tr>
    </w:tbl>
    <w:p/>
    <w:p>
      <w:pPr>
        <w:pStyle w:val="Heading2"/>
      </w:pPr>
      <w:r>
        <w:t>4.2 日常使用</w:t>
      </w:r>
    </w:p>
    <w:p>
      <w:r>
        <w:t>日常使用页面用于项目已有的辅助操作。进入该页面后先阅读页面提示，再按照控件旁的说明执行。若操作需要设备响应，必须保留完整的发送帧、回复帧和状态信息。</w:t>
      </w:r>
    </w:p>
    <w:p>
      <w:pPr>
        <w:pStyle w:val="Heading2"/>
      </w:pPr>
      <w:r>
        <w:t>4.3 标准测试页面</w:t>
      </w:r>
    </w:p>
    <w:p>
      <w:r>
        <w:t>标准测试页面包含测试树、操作区和测试信息区。父级节点用于批量选择，叶子节点用于单项执行。双击用例用于查看流程说明；开始测试后应等待统一结果，不要重复点击测试入口。</w:t>
      </w:r>
    </w:p>
    <w:p>
      <w:pPr>
        <w:pStyle w:val="Heading1"/>
      </w:pPr>
      <w:r>
        <w:t>5 测试用例执行</w:t>
      </w:r>
    </w:p>
    <w:p>
      <w:r>
        <w:t>执行前确认：串口已打开、台发已初始化、待测设备处于可测试状态、测试树选择有效，并已确认当前算法、通道和日志选项。执行过程中观察测试信息区的步骤、帧摘要、失败原因和最终结论。</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b/>
                <w:color w:val="FFFFFF"/>
              </w:rPr>
              <w:t>层级</w:t>
            </w:r>
          </w:p>
        </w:tc>
        <w:tc>
          <w:tcPr>
            <w:tcW w:type="dxa" w:w="3408"/>
            <w:vAlign w:val="center"/>
            <w:shd w:fill="1F4E78"/>
          </w:tcPr>
          <w:p>
            <w:r/>
            <w:r>
              <w:rPr>
                <w:b/>
                <w:color w:val="FFFFFF"/>
              </w:rPr>
              <w:t>使用方式</w:t>
            </w:r>
          </w:p>
        </w:tc>
        <w:tc>
          <w:tcPr>
            <w:tcW w:type="dxa" w:w="3408"/>
            <w:vAlign w:val="center"/>
            <w:shd w:fill="1F4E78"/>
          </w:tcPr>
          <w:p>
            <w:r/>
            <w:r>
              <w:rPr>
                <w:b/>
                <w:color w:val="FFFFFF"/>
              </w:rPr>
              <w:t>判定关注点</w:t>
            </w:r>
          </w:p>
        </w:tc>
      </w:tr>
      <w:tr>
        <w:tc>
          <w:tcPr>
            <w:tcW w:type="dxa" w:w="3408"/>
            <w:vAlign w:val="center"/>
          </w:tcPr>
          <w:p>
            <w:r/>
            <w:r>
              <w:rPr>
                <w:b w:val="0"/>
              </w:rPr>
              <w:t>测试分组</w:t>
            </w:r>
          </w:p>
        </w:tc>
        <w:tc>
          <w:tcPr>
            <w:tcW w:type="dxa" w:w="3408"/>
            <w:vAlign w:val="center"/>
          </w:tcPr>
          <w:p>
            <w:r/>
            <w:r>
              <w:rPr>
                <w:b w:val="0"/>
              </w:rPr>
              <w:t>展开或勾选父级。</w:t>
            </w:r>
          </w:p>
        </w:tc>
        <w:tc>
          <w:tcPr>
            <w:tcW w:type="dxa" w:w="3408"/>
            <w:vAlign w:val="center"/>
          </w:tcPr>
          <w:p>
            <w:r/>
            <w:r>
              <w:rPr>
                <w:b w:val="0"/>
              </w:rPr>
              <w:t>父子勾选应保持一致，批量执行按显示顺序进行。</w:t>
            </w:r>
          </w:p>
        </w:tc>
      </w:tr>
      <w:tr>
        <w:tc>
          <w:tcPr>
            <w:tcW w:type="dxa" w:w="3408"/>
            <w:vAlign w:val="center"/>
            <w:shd w:fill="EAF2F8"/>
          </w:tcPr>
          <w:p>
            <w:r/>
            <w:r>
              <w:rPr>
                <w:b w:val="0"/>
              </w:rPr>
              <w:t>子测试项</w:t>
            </w:r>
          </w:p>
        </w:tc>
        <w:tc>
          <w:tcPr>
            <w:tcW w:type="dxa" w:w="3408"/>
            <w:vAlign w:val="center"/>
            <w:shd w:fill="EAF2F8"/>
          </w:tcPr>
          <w:p>
            <w:r/>
            <w:r>
              <w:rPr>
                <w:b w:val="0"/>
              </w:rPr>
              <w:t>展开后选择具体测试类型。</w:t>
            </w:r>
          </w:p>
        </w:tc>
        <w:tc>
          <w:tcPr>
            <w:tcW w:type="dxa" w:w="3408"/>
            <w:vAlign w:val="center"/>
            <w:shd w:fill="EAF2F8"/>
          </w:tcPr>
          <w:p>
            <w:r/>
            <w:r>
              <w:rPr>
                <w:b w:val="0"/>
              </w:rPr>
              <w:t>确认进入的是目标协议流程，而不是同组的其他子项。</w:t>
            </w:r>
          </w:p>
        </w:tc>
      </w:tr>
      <w:tr>
        <w:tc>
          <w:tcPr>
            <w:tcW w:type="dxa" w:w="3408"/>
            <w:vAlign w:val="center"/>
          </w:tcPr>
          <w:p>
            <w:r/>
            <w:r>
              <w:rPr>
                <w:b w:val="0"/>
              </w:rPr>
              <w:t>叶子用例</w:t>
            </w:r>
          </w:p>
        </w:tc>
        <w:tc>
          <w:tcPr>
            <w:tcW w:type="dxa" w:w="3408"/>
            <w:vAlign w:val="center"/>
          </w:tcPr>
          <w:p>
            <w:r/>
            <w:r>
              <w:rPr>
                <w:b w:val="0"/>
              </w:rPr>
              <w:t>单独勾选并开始测试。</w:t>
            </w:r>
          </w:p>
        </w:tc>
        <w:tc>
          <w:tcPr>
            <w:tcW w:type="dxa" w:w="3408"/>
            <w:vAlign w:val="center"/>
          </w:tcPr>
          <w:p>
            <w:r/>
            <w:r>
              <w:rPr>
                <w:b w:val="0"/>
              </w:rPr>
              <w:t>按用例说明检查帧顺序、响应状态、超时或无响应等专用判定。</w:t>
            </w:r>
          </w:p>
        </w:tc>
      </w:tr>
      <w:tr>
        <w:tc>
          <w:tcPr>
            <w:tcW w:type="dxa" w:w="3408"/>
            <w:vAlign w:val="center"/>
            <w:shd w:fill="EAF2F8"/>
          </w:tcPr>
          <w:p>
            <w:r/>
            <w:r>
              <w:rPr>
                <w:b w:val="0"/>
              </w:rPr>
              <w:t>停止</w:t>
            </w:r>
          </w:p>
        </w:tc>
        <w:tc>
          <w:tcPr>
            <w:tcW w:type="dxa" w:w="3408"/>
            <w:vAlign w:val="center"/>
            <w:shd w:fill="EAF2F8"/>
          </w:tcPr>
          <w:p>
            <w:r/>
            <w:r>
              <w:rPr>
                <w:b w:val="0"/>
              </w:rPr>
              <w:t>测试进行中使用停止入口。</w:t>
            </w:r>
          </w:p>
        </w:tc>
        <w:tc>
          <w:tcPr>
            <w:tcW w:type="dxa" w:w="3408"/>
            <w:vAlign w:val="center"/>
            <w:shd w:fill="EAF2F8"/>
          </w:tcPr>
          <w:p>
            <w:r/>
            <w:r>
              <w:rPr>
                <w:b w:val="0"/>
              </w:rPr>
              <w:t>请求取消后台流程，结束后恢复界面状态；设备已发送帧仍应保留在结果记录中。</w:t>
            </w:r>
          </w:p>
        </w:tc>
      </w:tr>
    </w:tbl>
    <w:p/>
    <w:p>
      <w:pPr>
        <w:pStyle w:val="Heading1"/>
      </w:pPr>
      <w:r>
        <w:t>6 日志与结果保存</w:t>
      </w:r>
    </w:p>
    <w:p>
      <w:r>
        <w:t>启用日志后，测试过程信息用于定位通信和判定问题。标准测试页面和北京地标测试页面按当前界面提供的结果保存选项保存测试文本和截图；未勾选时仅保留界面显示，不应将其误认为已生成结果文件。结果内容应包括测试名称、时间、请求/响应帧、DLL 返回码、判定和失败原因。</w:t>
      </w:r>
    </w:p>
    <w:p>
      <w:pPr>
        <w:pStyle w:val="Heading1"/>
      </w:pPr>
      <w:r>
        <w:t>7 异常处理与当前限制</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rPr>
              <w:t>现象</w:t>
            </w:r>
          </w:p>
        </w:tc>
        <w:tc>
          <w:tcPr>
            <w:tcW w:type="dxa" w:w="5112"/>
            <w:vAlign w:val="center"/>
            <w:shd w:fill="1F4E78"/>
          </w:tcPr>
          <w:p>
            <w:r/>
            <w:r>
              <w:rPr>
                <w:b/>
                <w:color w:val="FFFFFF"/>
              </w:rPr>
              <w:t>处理建议</w:t>
            </w:r>
          </w:p>
        </w:tc>
      </w:tr>
      <w:tr>
        <w:tc>
          <w:tcPr>
            <w:tcW w:type="dxa" w:w="5112"/>
            <w:vAlign w:val="center"/>
          </w:tcPr>
          <w:p>
            <w:r/>
            <w:r>
              <w:rPr>
                <w:b w:val="0"/>
              </w:rPr>
              <w:t>串口无法打开</w:t>
            </w:r>
          </w:p>
        </w:tc>
        <w:tc>
          <w:tcPr>
            <w:tcW w:type="dxa" w:w="5112"/>
            <w:vAlign w:val="center"/>
          </w:tcPr>
          <w:p>
            <w:r/>
            <w:r>
              <w:rPr>
                <w:b w:val="0"/>
              </w:rPr>
              <w:t>检查 COM 端口是否被其他程序占用，重新选择识别到的端口后再打开。</w:t>
            </w:r>
          </w:p>
        </w:tc>
      </w:tr>
      <w:tr>
        <w:tc>
          <w:tcPr>
            <w:tcW w:type="dxa" w:w="5112"/>
            <w:vAlign w:val="center"/>
            <w:shd w:fill="EAF2F8"/>
          </w:tcPr>
          <w:p>
            <w:r/>
            <w:r>
              <w:rPr>
                <w:b w:val="0"/>
              </w:rPr>
              <w:t>初始化台发失败</w:t>
            </w:r>
          </w:p>
        </w:tc>
        <w:tc>
          <w:tcPr>
            <w:tcW w:type="dxa" w:w="5112"/>
            <w:vAlign w:val="center"/>
            <w:shd w:fill="EAF2F8"/>
          </w:tcPr>
          <w:p>
            <w:r/>
            <w:r>
              <w:rPr>
                <w:b w:val="0"/>
              </w:rPr>
              <w:t>检查串口、设备连接和参数范围；初始化成功前不要开始测试。</w:t>
            </w:r>
          </w:p>
        </w:tc>
      </w:tr>
      <w:tr>
        <w:tc>
          <w:tcPr>
            <w:tcW w:type="dxa" w:w="5112"/>
            <w:vAlign w:val="center"/>
          </w:tcPr>
          <w:p>
            <w:r/>
            <w:r>
              <w:rPr>
                <w:b w:val="0"/>
              </w:rPr>
              <w:t>设备无响应或超时</w:t>
            </w:r>
          </w:p>
        </w:tc>
        <w:tc>
          <w:tcPr>
            <w:tcW w:type="dxa" w:w="5112"/>
            <w:vAlign w:val="center"/>
          </w:tcPr>
          <w:p>
            <w:r/>
            <w:r>
              <w:rPr>
                <w:b w:val="0"/>
              </w:rPr>
              <w:t>保存当前日志和完整帧，检查台发参数、物理信道、设备状态及用例的无响应判定。</w:t>
            </w:r>
          </w:p>
        </w:tc>
      </w:tr>
      <w:tr>
        <w:tc>
          <w:tcPr>
            <w:tcW w:type="dxa" w:w="5112"/>
            <w:vAlign w:val="center"/>
            <w:shd w:fill="EAF2F8"/>
          </w:tcPr>
          <w:p>
            <w:r/>
            <w:r>
              <w:rPr>
                <w:b w:val="0"/>
              </w:rPr>
              <w:t>测试失败</w:t>
            </w:r>
          </w:p>
        </w:tc>
        <w:tc>
          <w:tcPr>
            <w:tcW w:type="dxa" w:w="5112"/>
            <w:vAlign w:val="center"/>
            <w:shd w:fill="EAF2F8"/>
          </w:tcPr>
          <w:p>
            <w:r/>
            <w:r>
              <w:rPr>
                <w:b w:val="0"/>
              </w:rPr>
              <w:t>根据测试信息区确认失败步骤、期望状态、实际状态和完整回复帧，不要只依据弹窗文字判断。</w:t>
            </w:r>
          </w:p>
        </w:tc>
      </w:tr>
      <w:tr>
        <w:tc>
          <w:tcPr>
            <w:tcW w:type="dxa" w:w="5112"/>
            <w:vAlign w:val="center"/>
          </w:tcPr>
          <w:p>
            <w:r/>
            <w:r>
              <w:rPr>
                <w:b w:val="0"/>
              </w:rPr>
              <w:t>OBU 串口/发卡页面无功能</w:t>
            </w:r>
          </w:p>
        </w:tc>
        <w:tc>
          <w:tcPr>
            <w:tcW w:type="dxa" w:w="5112"/>
            <w:vAlign w:val="center"/>
          </w:tcPr>
          <w:p>
            <w:r/>
            <w:r>
              <w:rPr>
                <w:b w:val="0"/>
              </w:rPr>
              <w:t>当前版本属于预留页面，相关测试功能尚未添加。</w:t>
            </w:r>
          </w:p>
        </w:tc>
      </w:tr>
    </w:tbl>
    <w:p/>
    <w:p>
      <w:r>
        <w:t>当前版本未连接真实 RSU、OBU 或读卡器进行本说明生成过程中的实机回归；涉及空口响应、卡片数据、语音效果或永久写卡的行为，仍需在受控测试设备上确认。</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