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E1FDA">
      <w:pPr>
        <w:jc w:val="center"/>
      </w:pPr>
      <w:r>
        <w:rPr>
          <w:rFonts w:ascii="黑体" w:hAnsi="黑体" w:eastAsia="黑体"/>
          <w:b/>
          <w:color w:val="000000"/>
          <w:sz w:val="32"/>
        </w:rPr>
        <w:t>南丰蜜桔模型管理系统 — 功能清单</w:t>
      </w:r>
    </w:p>
    <w:p w14:paraId="4EB97C14"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（软件功能范围说明，与《软件设计方案》《软件技术方案》配套使用）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587"/>
        <w:gridCol w:w="1928"/>
        <w:gridCol w:w="4535"/>
      </w:tblGrid>
      <w:tr w14:paraId="07F66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center"/>
          </w:tcPr>
          <w:p w14:paraId="4C8D3BF4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系统名称</w:t>
            </w:r>
          </w:p>
        </w:tc>
        <w:tc>
          <w:tcPr>
            <w:tcW w:w="1587" w:type="dxa"/>
            <w:vAlign w:val="center"/>
          </w:tcPr>
          <w:p w14:paraId="4C741567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一级菜单</w:t>
            </w:r>
          </w:p>
        </w:tc>
        <w:tc>
          <w:tcPr>
            <w:tcW w:w="1928" w:type="dxa"/>
            <w:vAlign w:val="center"/>
          </w:tcPr>
          <w:p w14:paraId="0BC7EE53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二级菜单</w:t>
            </w:r>
          </w:p>
        </w:tc>
        <w:tc>
          <w:tcPr>
            <w:tcW w:w="4535" w:type="dxa"/>
            <w:vAlign w:val="center"/>
          </w:tcPr>
          <w:p w14:paraId="1F659086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内容描述</w:t>
            </w:r>
          </w:p>
        </w:tc>
      </w:tr>
      <w:tr w14:paraId="20C0D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restart"/>
            <w:vAlign w:val="center"/>
          </w:tcPr>
          <w:p w14:paraId="35863EF2">
            <w:pPr>
              <w:spacing w:after="0" w:line="276" w:lineRule="auto"/>
              <w:jc w:val="center"/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模型管理后台</w:t>
            </w:r>
          </w:p>
          <w:p w14:paraId="5640828A">
            <w:pPr>
              <w:spacing w:after="0" w:line="276" w:lineRule="auto"/>
              <w:jc w:val="center"/>
            </w:pPr>
          </w:p>
          <w:p w14:paraId="5E469319">
            <w:pPr>
              <w:spacing w:after="0" w:line="276" w:lineRule="auto"/>
              <w:jc w:val="center"/>
            </w:pPr>
          </w:p>
          <w:p w14:paraId="549BE908">
            <w:pPr>
              <w:spacing w:after="0" w:line="276" w:lineRule="auto"/>
              <w:jc w:val="center"/>
            </w:pPr>
          </w:p>
          <w:p w14:paraId="283C608C">
            <w:pPr>
              <w:spacing w:after="0" w:line="276" w:lineRule="auto"/>
              <w:jc w:val="center"/>
            </w:pPr>
          </w:p>
          <w:p w14:paraId="716DAF58">
            <w:pPr>
              <w:spacing w:after="0" w:line="276" w:lineRule="auto"/>
              <w:jc w:val="center"/>
            </w:pPr>
          </w:p>
          <w:p w14:paraId="1E1BA107">
            <w:pPr>
              <w:spacing w:after="0" w:line="276" w:lineRule="auto"/>
              <w:jc w:val="center"/>
            </w:pPr>
          </w:p>
          <w:p w14:paraId="708C98C4">
            <w:pPr>
              <w:spacing w:after="0" w:line="276" w:lineRule="auto"/>
              <w:jc w:val="center"/>
            </w:pPr>
          </w:p>
          <w:p w14:paraId="03A32B4A">
            <w:pPr>
              <w:spacing w:after="0" w:line="276" w:lineRule="auto"/>
              <w:jc w:val="center"/>
            </w:pPr>
          </w:p>
          <w:p w14:paraId="2595E471">
            <w:pPr>
              <w:spacing w:after="0" w:line="276" w:lineRule="auto"/>
              <w:jc w:val="center"/>
            </w:pPr>
          </w:p>
          <w:p w14:paraId="5E21B22D">
            <w:pPr>
              <w:spacing w:after="0" w:line="276" w:lineRule="auto"/>
              <w:jc w:val="center"/>
            </w:pPr>
          </w:p>
          <w:p w14:paraId="15D9BD94">
            <w:pPr>
              <w:spacing w:after="0" w:line="276" w:lineRule="auto"/>
              <w:jc w:val="center"/>
            </w:pPr>
          </w:p>
          <w:p w14:paraId="5CE29288">
            <w:pPr>
              <w:spacing w:after="0" w:line="276" w:lineRule="auto"/>
              <w:jc w:val="center"/>
            </w:pPr>
          </w:p>
          <w:p w14:paraId="7AF7576C">
            <w:pPr>
              <w:spacing w:after="0" w:line="276" w:lineRule="auto"/>
              <w:jc w:val="center"/>
            </w:pPr>
          </w:p>
          <w:p w14:paraId="19E2A99D">
            <w:pPr>
              <w:spacing w:after="0" w:line="276" w:lineRule="auto"/>
              <w:jc w:val="center"/>
            </w:pPr>
          </w:p>
          <w:p w14:paraId="3350900D">
            <w:pPr>
              <w:spacing w:after="0" w:line="276" w:lineRule="auto"/>
              <w:jc w:val="center"/>
            </w:pPr>
          </w:p>
          <w:p w14:paraId="7BD530D6">
            <w:pPr>
              <w:spacing w:after="0" w:line="276" w:lineRule="auto"/>
              <w:jc w:val="center"/>
            </w:pPr>
          </w:p>
          <w:p w14:paraId="2A713106">
            <w:pPr>
              <w:spacing w:after="0" w:line="276" w:lineRule="auto"/>
              <w:jc w:val="center"/>
            </w:pPr>
          </w:p>
          <w:p w14:paraId="020435B4">
            <w:pPr>
              <w:spacing w:after="0" w:line="276" w:lineRule="auto"/>
              <w:jc w:val="center"/>
            </w:pPr>
          </w:p>
          <w:p w14:paraId="460EA092">
            <w:pPr>
              <w:spacing w:after="0" w:line="276" w:lineRule="auto"/>
              <w:jc w:val="center"/>
            </w:pPr>
          </w:p>
          <w:p w14:paraId="3F78D652">
            <w:pPr>
              <w:spacing w:after="0" w:line="276" w:lineRule="auto"/>
              <w:jc w:val="center"/>
            </w:pPr>
          </w:p>
          <w:p w14:paraId="47729E94">
            <w:pPr>
              <w:spacing w:after="0" w:line="276" w:lineRule="auto"/>
              <w:jc w:val="center"/>
            </w:pPr>
          </w:p>
          <w:p w14:paraId="0CDCCAD7">
            <w:pPr>
              <w:spacing w:after="0" w:line="276" w:lineRule="auto"/>
              <w:jc w:val="center"/>
            </w:pPr>
          </w:p>
          <w:p w14:paraId="3232E215">
            <w:pPr>
              <w:spacing w:after="0" w:line="276" w:lineRule="auto"/>
              <w:jc w:val="center"/>
            </w:pPr>
          </w:p>
          <w:p w14:paraId="03893A94">
            <w:pPr>
              <w:spacing w:after="0" w:line="276" w:lineRule="auto"/>
              <w:jc w:val="center"/>
            </w:pPr>
          </w:p>
          <w:p w14:paraId="7D6A7700">
            <w:pPr>
              <w:spacing w:after="0" w:line="276" w:lineRule="auto"/>
              <w:jc w:val="center"/>
            </w:pPr>
          </w:p>
          <w:p w14:paraId="2EC65775">
            <w:pPr>
              <w:spacing w:after="0" w:line="276" w:lineRule="auto"/>
              <w:jc w:val="center"/>
            </w:pPr>
          </w:p>
          <w:p w14:paraId="7780C6F4">
            <w:pPr>
              <w:spacing w:after="0" w:line="276" w:lineRule="auto"/>
              <w:jc w:val="center"/>
            </w:pPr>
          </w:p>
          <w:p w14:paraId="2C84A8B5">
            <w:pPr>
              <w:spacing w:after="0" w:line="276" w:lineRule="auto"/>
              <w:jc w:val="center"/>
            </w:pPr>
          </w:p>
          <w:p w14:paraId="1B6C619D">
            <w:pPr>
              <w:spacing w:after="0" w:line="276" w:lineRule="auto"/>
              <w:jc w:val="center"/>
            </w:pPr>
          </w:p>
          <w:p w14:paraId="0A616D6C">
            <w:pPr>
              <w:spacing w:after="0" w:line="276" w:lineRule="auto"/>
              <w:jc w:val="center"/>
            </w:pPr>
          </w:p>
          <w:p w14:paraId="3C8760D3">
            <w:pPr>
              <w:spacing w:after="0" w:line="276" w:lineRule="auto"/>
              <w:jc w:val="center"/>
            </w:pPr>
          </w:p>
          <w:p w14:paraId="4481A06E">
            <w:pPr>
              <w:spacing w:after="0" w:line="276" w:lineRule="auto"/>
              <w:jc w:val="center"/>
            </w:pPr>
          </w:p>
          <w:p w14:paraId="3C9F05E8">
            <w:pPr>
              <w:spacing w:after="0" w:line="276" w:lineRule="auto"/>
              <w:jc w:val="center"/>
            </w:pPr>
          </w:p>
          <w:p w14:paraId="43C1C25E">
            <w:pPr>
              <w:spacing w:after="0" w:line="276" w:lineRule="auto"/>
              <w:jc w:val="center"/>
            </w:pPr>
          </w:p>
          <w:p w14:paraId="2EB0A692">
            <w:pPr>
              <w:spacing w:after="0" w:line="276" w:lineRule="auto"/>
              <w:jc w:val="center"/>
            </w:pPr>
          </w:p>
          <w:p w14:paraId="0A44B821">
            <w:pPr>
              <w:spacing w:after="0" w:line="276" w:lineRule="auto"/>
              <w:jc w:val="center"/>
            </w:pPr>
          </w:p>
          <w:p w14:paraId="0EF7D355">
            <w:pPr>
              <w:spacing w:after="0" w:line="276" w:lineRule="auto"/>
              <w:jc w:val="center"/>
            </w:pPr>
          </w:p>
          <w:p w14:paraId="1C814A22">
            <w:pPr>
              <w:spacing w:after="0" w:line="276" w:lineRule="auto"/>
              <w:jc w:val="center"/>
            </w:pPr>
          </w:p>
          <w:p w14:paraId="096CB32B">
            <w:pPr>
              <w:spacing w:after="0" w:line="276" w:lineRule="auto"/>
              <w:jc w:val="center"/>
            </w:pPr>
          </w:p>
        </w:tc>
        <w:tc>
          <w:tcPr>
            <w:tcW w:w="1587" w:type="dxa"/>
            <w:vMerge w:val="restart"/>
            <w:vAlign w:val="center"/>
          </w:tcPr>
          <w:p w14:paraId="0FFA11DD">
            <w:pPr>
              <w:spacing w:after="0" w:line="276" w:lineRule="auto"/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系统首页</w:t>
            </w:r>
          </w:p>
          <w:p w14:paraId="049EC596">
            <w:pPr>
              <w:spacing w:after="0" w:line="276" w:lineRule="auto"/>
            </w:pPr>
          </w:p>
          <w:p w14:paraId="59DDB476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44E0EAA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系统框架</w:t>
            </w:r>
          </w:p>
        </w:tc>
        <w:tc>
          <w:tcPr>
            <w:tcW w:w="4535" w:type="dxa"/>
            <w:vAlign w:val="center"/>
          </w:tcPr>
          <w:p w14:paraId="62DC2BE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系统主框架，含侧边栏导航、顶部栏、iframe路由、用户菜单、通知/个人设置/修改个人密码</w:t>
            </w:r>
          </w:p>
        </w:tc>
      </w:tr>
      <w:tr w14:paraId="14A6B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  <w:vAlign w:val="center"/>
          </w:tcPr>
          <w:p w14:paraId="156830CD">
            <w:pPr>
              <w:spacing w:after="0" w:line="276" w:lineRule="auto"/>
            </w:pPr>
          </w:p>
        </w:tc>
        <w:tc>
          <w:tcPr>
            <w:tcW w:w="1587" w:type="dxa"/>
            <w:vMerge w:val="continue"/>
            <w:tcBorders/>
            <w:vAlign w:val="center"/>
          </w:tcPr>
          <w:p w14:paraId="5A767B17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5AA79F9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登录认证</w:t>
            </w:r>
          </w:p>
        </w:tc>
        <w:tc>
          <w:tcPr>
            <w:tcW w:w="4535" w:type="dxa"/>
            <w:vAlign w:val="center"/>
          </w:tcPr>
          <w:p w14:paraId="2E44374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系统登录页，支持账号密码登录认证</w:t>
            </w:r>
          </w:p>
        </w:tc>
      </w:tr>
      <w:tr w14:paraId="10D6D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2A57141C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3D8F91E4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6A1DC22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系统首页</w:t>
            </w:r>
          </w:p>
        </w:tc>
        <w:tc>
          <w:tcPr>
            <w:tcW w:w="4535" w:type="dxa"/>
            <w:vAlign w:val="center"/>
          </w:tcPr>
          <w:p w14:paraId="2A5BAB7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系统总览看板，展示模型运行状态、预警概览、数据统计、用户等核心指标、近期操作提醒等</w:t>
            </w:r>
          </w:p>
        </w:tc>
      </w:tr>
      <w:tr w14:paraId="52468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558C4246">
            <w:pPr>
              <w:spacing w:after="0" w:line="240" w:lineRule="auto"/>
            </w:pPr>
          </w:p>
        </w:tc>
        <w:tc>
          <w:tcPr>
            <w:tcW w:w="1587" w:type="dxa"/>
            <w:vMerge w:val="restart"/>
            <w:vAlign w:val="center"/>
          </w:tcPr>
          <w:p w14:paraId="65A43650">
            <w:pPr>
              <w:spacing w:after="0" w:line="276" w:lineRule="auto"/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生长模型</w:t>
            </w:r>
          </w:p>
          <w:p w14:paraId="7F156034">
            <w:pPr>
              <w:spacing w:after="0" w:line="276" w:lineRule="auto"/>
            </w:pPr>
          </w:p>
          <w:p w14:paraId="6259A2A5">
            <w:pPr>
              <w:spacing w:after="0" w:line="276" w:lineRule="auto"/>
            </w:pPr>
          </w:p>
          <w:p w14:paraId="11CACECC">
            <w:pPr>
              <w:spacing w:after="0" w:line="276" w:lineRule="auto"/>
            </w:pPr>
          </w:p>
          <w:p w14:paraId="552289E6">
            <w:pPr>
              <w:spacing w:after="0" w:line="276" w:lineRule="auto"/>
            </w:pPr>
          </w:p>
          <w:p w14:paraId="3B1B88E0">
            <w:pPr>
              <w:spacing w:after="0" w:line="276" w:lineRule="auto"/>
            </w:pPr>
          </w:p>
          <w:p w14:paraId="1F3589AD">
            <w:pPr>
              <w:spacing w:after="0" w:line="276" w:lineRule="auto"/>
            </w:pPr>
          </w:p>
          <w:p w14:paraId="4E03C842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324E158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模型说明</w:t>
            </w:r>
          </w:p>
        </w:tc>
        <w:tc>
          <w:tcPr>
            <w:tcW w:w="4535" w:type="dxa"/>
            <w:vAlign w:val="center"/>
          </w:tcPr>
          <w:p w14:paraId="48BA134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生长模型算法原理与参数说明文档页</w:t>
            </w:r>
          </w:p>
        </w:tc>
      </w:tr>
      <w:tr w14:paraId="0692D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417BFB4D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  <w:vAlign w:val="center"/>
          </w:tcPr>
          <w:p w14:paraId="73C81720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1B1D894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基础档案</w:t>
            </w:r>
          </w:p>
        </w:tc>
        <w:tc>
          <w:tcPr>
            <w:tcW w:w="4535" w:type="dxa"/>
            <w:vAlign w:val="center"/>
          </w:tcPr>
          <w:p w14:paraId="391E27C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南丰蜜桔基础档案管理，含品系管理、地块档案、生长阶段参数维护</w:t>
            </w:r>
          </w:p>
        </w:tc>
      </w:tr>
      <w:tr w14:paraId="25467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68FDE061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3C20906C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2A19FDE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因子采集</w:t>
            </w:r>
          </w:p>
        </w:tc>
        <w:tc>
          <w:tcPr>
            <w:tcW w:w="4535" w:type="dxa"/>
            <w:vAlign w:val="center"/>
          </w:tcPr>
          <w:p w14:paraId="59ED73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生长因子数据采集管理，含物联网实时数据、人工采样录入、农事操作记录</w:t>
            </w:r>
          </w:p>
        </w:tc>
      </w:tr>
      <w:tr w14:paraId="009DF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4C398B10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2176B7A0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595D76B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农事建议</w:t>
            </w:r>
          </w:p>
        </w:tc>
        <w:tc>
          <w:tcPr>
            <w:tcW w:w="4535" w:type="dxa"/>
            <w:vAlign w:val="center"/>
          </w:tcPr>
          <w:p w14:paraId="20A5728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农事建议方案库管理，含方案增删改查、因子-建议关联配置、方案测试、因子映射</w:t>
            </w:r>
          </w:p>
        </w:tc>
      </w:tr>
      <w:tr w14:paraId="63309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3D0313BD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5D24400F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01F0332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模型计算</w:t>
            </w:r>
          </w:p>
        </w:tc>
        <w:tc>
          <w:tcPr>
            <w:tcW w:w="4535" w:type="dxa"/>
            <w:vAlign w:val="center"/>
          </w:tcPr>
          <w:p w14:paraId="4A1D056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生长模型批量计算中心，含适宜度/门控/生长增量/扣分/综合评分计算与调度日志</w:t>
            </w:r>
          </w:p>
        </w:tc>
      </w:tr>
      <w:tr w14:paraId="59EA3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06D8A21A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57B20439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3000EB8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诊断分析</w:t>
            </w:r>
          </w:p>
        </w:tc>
        <w:tc>
          <w:tcPr>
            <w:tcW w:w="4535" w:type="dxa"/>
            <w:vAlign w:val="center"/>
          </w:tcPr>
          <w:p w14:paraId="3FDA873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生长综合诊断分析，含综合评分面板、六维度因子分析、扣分明细溯源、农事建议匹配</w:t>
            </w:r>
          </w:p>
        </w:tc>
      </w:tr>
      <w:tr w14:paraId="28828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4521C46D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678B5DD6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57A676D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评价报告</w:t>
            </w:r>
          </w:p>
        </w:tc>
        <w:tc>
          <w:tcPr>
            <w:tcW w:w="4535" w:type="dxa"/>
            <w:vAlign w:val="center"/>
          </w:tcPr>
          <w:p w14:paraId="65857C4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生长综合评价报告，含报告预览、自动生成、历史报告管理</w:t>
            </w:r>
          </w:p>
        </w:tc>
      </w:tr>
      <w:tr w14:paraId="2633F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3DDB05CA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2368EBAA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150C4BD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数据校准</w:t>
            </w:r>
          </w:p>
        </w:tc>
        <w:tc>
          <w:tcPr>
            <w:tcW w:w="4535" w:type="dxa"/>
            <w:vAlign w:val="center"/>
          </w:tcPr>
          <w:p w14:paraId="2B7ADD3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模型数据校准，含历史数据对比、参数微调、校准日志</w:t>
            </w:r>
          </w:p>
        </w:tc>
      </w:tr>
      <w:tr w14:paraId="018C5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42DE69CB">
            <w:pPr>
              <w:spacing w:after="0" w:line="240" w:lineRule="auto"/>
            </w:pPr>
          </w:p>
        </w:tc>
        <w:tc>
          <w:tcPr>
            <w:tcW w:w="1587" w:type="dxa"/>
            <w:vMerge w:val="restart"/>
            <w:vAlign w:val="center"/>
          </w:tcPr>
          <w:p w14:paraId="6F63C37C">
            <w:pPr>
              <w:spacing w:after="0" w:line="276" w:lineRule="auto"/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病虫害模型</w:t>
            </w:r>
          </w:p>
          <w:p w14:paraId="1DFE5DE5">
            <w:pPr>
              <w:spacing w:after="0" w:line="276" w:lineRule="auto"/>
            </w:pPr>
          </w:p>
          <w:p w14:paraId="40271AA3">
            <w:pPr>
              <w:spacing w:after="0" w:line="276" w:lineRule="auto"/>
            </w:pPr>
          </w:p>
          <w:p w14:paraId="31CBFED0">
            <w:pPr>
              <w:spacing w:after="0" w:line="276" w:lineRule="auto"/>
            </w:pPr>
          </w:p>
          <w:p w14:paraId="1441E78A">
            <w:pPr>
              <w:spacing w:after="0" w:line="276" w:lineRule="auto"/>
            </w:pPr>
          </w:p>
          <w:p w14:paraId="5602F733">
            <w:pPr>
              <w:spacing w:after="0" w:line="276" w:lineRule="auto"/>
            </w:pPr>
          </w:p>
          <w:p w14:paraId="367D12B1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2099D0F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模型说明</w:t>
            </w:r>
          </w:p>
        </w:tc>
        <w:tc>
          <w:tcPr>
            <w:tcW w:w="4535" w:type="dxa"/>
            <w:vAlign w:val="center"/>
          </w:tcPr>
          <w:p w14:paraId="5195FC0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病虫害预测模型算法原理与参数说明文档页</w:t>
            </w:r>
          </w:p>
        </w:tc>
      </w:tr>
      <w:tr w14:paraId="41DF3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6914E296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  <w:vAlign w:val="center"/>
          </w:tcPr>
          <w:p w14:paraId="6FC5B750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7C79226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监测数据</w:t>
            </w:r>
          </w:p>
        </w:tc>
        <w:tc>
          <w:tcPr>
            <w:tcW w:w="4535" w:type="dxa"/>
            <w:vAlign w:val="center"/>
          </w:tcPr>
          <w:p w14:paraId="491A5D5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病虫害监测数据管理，含监测数据录入、查看与统计</w:t>
            </w:r>
          </w:p>
        </w:tc>
      </w:tr>
      <w:tr w14:paraId="2A3E6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0945ABDA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7E279B1A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7A724F8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参数配置</w:t>
            </w:r>
          </w:p>
        </w:tc>
        <w:tc>
          <w:tcPr>
            <w:tcW w:w="4535" w:type="dxa"/>
            <w:vAlign w:val="center"/>
          </w:tcPr>
          <w:p w14:paraId="571320E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病虫害预测模型参数配置，含模型阈值、预测参数设置</w:t>
            </w:r>
          </w:p>
        </w:tc>
      </w:tr>
      <w:tr w14:paraId="1B8B0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51D7FF42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2D08E29D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1AECE20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预测计算</w:t>
            </w:r>
          </w:p>
        </w:tc>
        <w:tc>
          <w:tcPr>
            <w:tcW w:w="4535" w:type="dxa"/>
            <w:vAlign w:val="center"/>
          </w:tcPr>
          <w:p w14:paraId="7A1E71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病虫害预测计算中心，运行模型输出预测结果与计算日志</w:t>
            </w:r>
          </w:p>
        </w:tc>
      </w:tr>
      <w:tr w14:paraId="6A61D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6A87B6EE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54B72F3D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1EEED6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风险诊断</w:t>
            </w:r>
          </w:p>
        </w:tc>
        <w:tc>
          <w:tcPr>
            <w:tcW w:w="4535" w:type="dxa"/>
            <w:vAlign w:val="center"/>
          </w:tcPr>
          <w:p w14:paraId="6CB198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病虫害风险诊断分析，含风险等级评估、诊断结论与防控建议</w:t>
            </w:r>
          </w:p>
        </w:tc>
      </w:tr>
      <w:tr w14:paraId="1038C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4C693ED4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3F98F462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57986AE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预测报告</w:t>
            </w:r>
          </w:p>
        </w:tc>
        <w:tc>
          <w:tcPr>
            <w:tcW w:w="4535" w:type="dxa"/>
            <w:vAlign w:val="center"/>
          </w:tcPr>
          <w:p w14:paraId="0F28FE2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病虫害预测报告，含报告生成、预览与历史记录</w:t>
            </w:r>
          </w:p>
        </w:tc>
      </w:tr>
      <w:tr w14:paraId="09C9C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1F1514B0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6786E91D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08233B9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防控方案</w:t>
            </w:r>
          </w:p>
        </w:tc>
        <w:tc>
          <w:tcPr>
            <w:tcW w:w="4535" w:type="dxa"/>
            <w:vAlign w:val="center"/>
          </w:tcPr>
          <w:p w14:paraId="66016B0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病虫害防控方案管理，含防控方案配置与建议输出</w:t>
            </w:r>
          </w:p>
        </w:tc>
      </w:tr>
      <w:tr w14:paraId="33174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25649686">
            <w:pPr>
              <w:spacing w:after="0" w:line="240" w:lineRule="auto"/>
            </w:pPr>
          </w:p>
        </w:tc>
        <w:tc>
          <w:tcPr>
            <w:tcW w:w="1587" w:type="dxa"/>
            <w:vMerge w:val="restart"/>
            <w:vAlign w:val="center"/>
          </w:tcPr>
          <w:p w14:paraId="56D67CC0">
            <w:pPr>
              <w:spacing w:after="0" w:line="276" w:lineRule="auto"/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数据管理</w:t>
            </w:r>
          </w:p>
          <w:p w14:paraId="344F1925">
            <w:pPr>
              <w:spacing w:after="0" w:line="276" w:lineRule="auto"/>
            </w:pPr>
          </w:p>
          <w:p w14:paraId="7F2333E7">
            <w:pPr>
              <w:spacing w:after="0" w:line="276" w:lineRule="auto"/>
            </w:pPr>
          </w:p>
          <w:p w14:paraId="7645EF2B">
            <w:pPr>
              <w:spacing w:after="0" w:line="276" w:lineRule="auto"/>
            </w:pPr>
          </w:p>
          <w:p w14:paraId="4C17A768">
            <w:pPr>
              <w:spacing w:after="0" w:line="276" w:lineRule="auto"/>
            </w:pPr>
          </w:p>
          <w:p w14:paraId="102DCD9C">
            <w:pPr>
              <w:spacing w:after="0" w:line="276" w:lineRule="auto"/>
            </w:pPr>
          </w:p>
          <w:p w14:paraId="1EFB342B">
            <w:pPr>
              <w:spacing w:after="0" w:line="276" w:lineRule="auto"/>
            </w:pPr>
          </w:p>
          <w:p w14:paraId="32A1499D">
            <w:pPr>
              <w:spacing w:after="0" w:line="276" w:lineRule="auto"/>
            </w:pPr>
          </w:p>
          <w:p w14:paraId="186A4BFD">
            <w:pPr>
              <w:spacing w:after="0" w:line="276" w:lineRule="auto"/>
            </w:pPr>
          </w:p>
          <w:p w14:paraId="15A1A3DB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76A094C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病害数据库</w:t>
            </w:r>
          </w:p>
        </w:tc>
        <w:tc>
          <w:tcPr>
            <w:tcW w:w="4535" w:type="dxa"/>
            <w:vAlign w:val="center"/>
          </w:tcPr>
          <w:p w14:paraId="43189D4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南丰蜜桔常见病害信息管理，含病害名称、症状、防治方法的增删改查</w:t>
            </w:r>
          </w:p>
        </w:tc>
      </w:tr>
      <w:tr w14:paraId="465D3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5A9F8C3F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  <w:vAlign w:val="center"/>
          </w:tcPr>
          <w:p w14:paraId="6D71C420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462569D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虫害数据库</w:t>
            </w:r>
          </w:p>
        </w:tc>
        <w:tc>
          <w:tcPr>
            <w:tcW w:w="4535" w:type="dxa"/>
            <w:vAlign w:val="center"/>
          </w:tcPr>
          <w:p w14:paraId="7FF877C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南丰蜜桔常见虫害信息管理，含虫害种类、特征、防治措施的数据维护</w:t>
            </w:r>
          </w:p>
        </w:tc>
      </w:tr>
      <w:tr w14:paraId="490AC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3F375E41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431451FD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3954730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灾害数据库</w:t>
            </w:r>
          </w:p>
        </w:tc>
        <w:tc>
          <w:tcPr>
            <w:tcW w:w="4535" w:type="dxa"/>
            <w:vAlign w:val="center"/>
          </w:tcPr>
          <w:p w14:paraId="02CD38B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南丰蜜桔常见气象灾害信息管理，含灾害类型、等级、应对措施的数据维护</w:t>
            </w:r>
          </w:p>
        </w:tc>
      </w:tr>
      <w:tr w14:paraId="0895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6AF640A5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54D42BC0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1688372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品种数据库</w:t>
            </w:r>
          </w:p>
        </w:tc>
        <w:tc>
          <w:tcPr>
            <w:tcW w:w="4535" w:type="dxa"/>
            <w:vAlign w:val="center"/>
          </w:tcPr>
          <w:p w14:paraId="0D9AC35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南丰蜜桔常见品种信息管理，含品种特性、适宜条件、产量数据维护</w:t>
            </w:r>
          </w:p>
        </w:tc>
      </w:tr>
      <w:tr w14:paraId="695F6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665ABBB8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6F1EC3EE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483E625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气象数据库</w:t>
            </w:r>
          </w:p>
        </w:tc>
        <w:tc>
          <w:tcPr>
            <w:tcW w:w="4535" w:type="dxa"/>
            <w:vAlign w:val="center"/>
          </w:tcPr>
          <w:p w14:paraId="092CD2E7">
            <w:pPr>
              <w:spacing w:after="0" w:line="276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  <w:lang w:val="en-US" w:eastAsia="zh-CN"/>
              </w:rPr>
              <w:t>全产业链接智慧项目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已安装的气象监测站点管理与实时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  <w:lang w:val="en-US" w:eastAsia="zh-CN"/>
              </w:rPr>
              <w:t>接入的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气象数据查看（温度/湿度/光照/风速/降雨量/气压）</w:t>
            </w:r>
          </w:p>
        </w:tc>
      </w:tr>
      <w:tr w14:paraId="55CB0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1477BDF4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6F9D4F91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21CB1BB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墒情数据库</w:t>
            </w:r>
          </w:p>
        </w:tc>
        <w:tc>
          <w:tcPr>
            <w:tcW w:w="4535" w:type="dxa"/>
            <w:vAlign w:val="center"/>
          </w:tcPr>
          <w:p w14:paraId="119473CA">
            <w:pPr>
              <w:spacing w:after="0" w:line="276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  <w:lang w:val="en-US" w:eastAsia="zh-CN"/>
              </w:rPr>
              <w:t>全产业链接智慧项目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已安装的土壤墒情监测站点管理与历史墒情数据查看（墒情值/pH/有机质/氮磷钾）</w:t>
            </w:r>
          </w:p>
        </w:tc>
      </w:tr>
      <w:tr w14:paraId="51BE8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4206A3F5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6191BFD7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0016D28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视频监测库</w:t>
            </w:r>
          </w:p>
        </w:tc>
        <w:tc>
          <w:tcPr>
            <w:tcW w:w="4535" w:type="dxa"/>
            <w:vAlign w:val="center"/>
          </w:tcPr>
          <w:p w14:paraId="4C232724">
            <w:pPr>
              <w:spacing w:after="0" w:line="276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  <w:lang w:val="en-US" w:eastAsia="zh-CN"/>
              </w:rPr>
              <w:t>全产业链接智慧项目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已安装的视频监控设备管理，含设备编号、监控点、监测类型、在线状态维护</w:t>
            </w:r>
          </w:p>
        </w:tc>
      </w:tr>
      <w:tr w14:paraId="4B323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00F420C6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2C95E585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717E3C3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价格数据库</w:t>
            </w:r>
          </w:p>
        </w:tc>
        <w:tc>
          <w:tcPr>
            <w:tcW w:w="4535" w:type="dxa"/>
            <w:vAlign w:val="center"/>
          </w:tcPr>
          <w:p w14:paraId="5A618F1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南丰蜜桔价格行情数据管理，含最高价/最低价/平均价的数据维护与查看</w:t>
            </w:r>
          </w:p>
        </w:tc>
      </w:tr>
      <w:tr w14:paraId="79D7A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0D7BB064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4DEDEF86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040DC9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物候数据库</w:t>
            </w:r>
          </w:p>
        </w:tc>
        <w:tc>
          <w:tcPr>
            <w:tcW w:w="4535" w:type="dxa"/>
            <w:vAlign w:val="center"/>
          </w:tcPr>
          <w:p w14:paraId="4781F22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南丰蜜桔物候期数据管理，记录各生长阶段物候信息</w:t>
            </w:r>
          </w:p>
        </w:tc>
      </w:tr>
      <w:tr w14:paraId="5E02A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50AAFB7A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6FB018DF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1EB845C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外部抓取</w:t>
            </w:r>
          </w:p>
        </w:tc>
        <w:tc>
          <w:tcPr>
            <w:tcW w:w="4535" w:type="dxa"/>
            <w:vAlign w:val="center"/>
          </w:tcPr>
          <w:p w14:paraId="5704E0F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外部数据源抓取配置，支持气象局/农业大数据/价格行情/测报等已有系统数据对接</w:t>
            </w:r>
          </w:p>
        </w:tc>
      </w:tr>
      <w:tr w14:paraId="608DB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3B255892">
            <w:pPr>
              <w:spacing w:after="0" w:line="240" w:lineRule="auto"/>
            </w:pPr>
          </w:p>
        </w:tc>
        <w:tc>
          <w:tcPr>
            <w:tcW w:w="1587" w:type="dxa"/>
            <w:vMerge w:val="restart"/>
            <w:vAlign w:val="center"/>
          </w:tcPr>
          <w:p w14:paraId="54489F46">
            <w:pPr>
              <w:spacing w:after="0" w:line="276" w:lineRule="auto"/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预警管理</w:t>
            </w:r>
          </w:p>
          <w:p w14:paraId="5999A04F">
            <w:pPr>
              <w:spacing w:after="0" w:line="276" w:lineRule="auto"/>
            </w:pPr>
          </w:p>
          <w:p w14:paraId="5A8F5A33">
            <w:pPr>
              <w:spacing w:after="0" w:line="276" w:lineRule="auto"/>
            </w:pPr>
          </w:p>
          <w:p w14:paraId="5B872B8E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2DFCC82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预警管理</w:t>
            </w:r>
          </w:p>
        </w:tc>
        <w:tc>
          <w:tcPr>
            <w:tcW w:w="4535" w:type="dxa"/>
            <w:vAlign w:val="center"/>
          </w:tcPr>
          <w:p w14:paraId="38122F9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预警信息列表与处置，含预警等级、类型、状态的查看与处理</w:t>
            </w:r>
          </w:p>
        </w:tc>
      </w:tr>
      <w:tr w14:paraId="1339B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4739F065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  <w:vAlign w:val="center"/>
          </w:tcPr>
          <w:p w14:paraId="28AAD835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046ACBF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处置记录</w:t>
            </w:r>
          </w:p>
        </w:tc>
        <w:tc>
          <w:tcPr>
            <w:tcW w:w="4535" w:type="dxa"/>
            <w:vAlign w:val="center"/>
          </w:tcPr>
          <w:p w14:paraId="2ABEB0D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预警处置记录管理，记录处置措施、结果、责任人</w:t>
            </w:r>
          </w:p>
        </w:tc>
      </w:tr>
      <w:tr w14:paraId="5EA79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5993A48E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58B63B16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7164987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预警规则</w:t>
            </w:r>
          </w:p>
        </w:tc>
        <w:tc>
          <w:tcPr>
            <w:tcW w:w="4535" w:type="dxa"/>
            <w:vAlign w:val="center"/>
          </w:tcPr>
          <w:p w14:paraId="605FFA7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预警触发规则配置，含指标阈值、预警等级、通知方式设置</w:t>
            </w:r>
          </w:p>
        </w:tc>
      </w:tr>
      <w:tr w14:paraId="4B7E7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6D40A6E1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2DA0C2A6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3D9083A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预警模板</w:t>
            </w:r>
          </w:p>
        </w:tc>
        <w:tc>
          <w:tcPr>
            <w:tcW w:w="4535" w:type="dxa"/>
            <w:vAlign w:val="center"/>
          </w:tcPr>
          <w:p w14:paraId="21B5435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预警消息模板管理，含模板审核、内容设置、流程配置</w:t>
            </w:r>
          </w:p>
        </w:tc>
      </w:tr>
      <w:tr w14:paraId="4D399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4C82FE57">
            <w:pPr>
              <w:spacing w:after="0" w:line="240" w:lineRule="auto"/>
            </w:pPr>
          </w:p>
        </w:tc>
        <w:tc>
          <w:tcPr>
            <w:tcW w:w="1587" w:type="dxa"/>
            <w:vMerge w:val="restart"/>
            <w:vAlign w:val="center"/>
          </w:tcPr>
          <w:p w14:paraId="0AA51300">
            <w:pPr>
              <w:spacing w:after="0" w:line="276" w:lineRule="auto"/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微信后台</w:t>
            </w:r>
          </w:p>
          <w:p w14:paraId="557858E9">
            <w:pPr>
              <w:spacing w:after="0" w:line="276" w:lineRule="auto"/>
            </w:pPr>
          </w:p>
          <w:p w14:paraId="170E1F3F">
            <w:pPr>
              <w:spacing w:after="0" w:line="276" w:lineRule="auto"/>
            </w:pPr>
          </w:p>
          <w:p w14:paraId="6255B085">
            <w:pPr>
              <w:spacing w:after="0" w:line="276" w:lineRule="auto"/>
            </w:pPr>
          </w:p>
          <w:p w14:paraId="5E77E258">
            <w:pPr>
              <w:spacing w:after="0" w:line="276" w:lineRule="auto"/>
            </w:pPr>
          </w:p>
          <w:p w14:paraId="1837D8F1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56A1C30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微信用户</w:t>
            </w:r>
          </w:p>
        </w:tc>
        <w:tc>
          <w:tcPr>
            <w:tcW w:w="4535" w:type="dxa"/>
            <w:vAlign w:val="center"/>
          </w:tcPr>
          <w:p w14:paraId="38CD654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移动端用户管理，含用户信息、绑定果园、活跃度查看</w:t>
            </w:r>
          </w:p>
        </w:tc>
      </w:tr>
      <w:tr w14:paraId="00089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6A174A18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  <w:vAlign w:val="center"/>
          </w:tcPr>
          <w:p w14:paraId="36887B1C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6A4E9B4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果园管理</w:t>
            </w:r>
          </w:p>
        </w:tc>
        <w:tc>
          <w:tcPr>
            <w:tcW w:w="4535" w:type="dxa"/>
            <w:vAlign w:val="center"/>
          </w:tcPr>
          <w:p w14:paraId="307F82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用户果园地块管理，含地块信息、面积、品种、树龄维护</w:t>
            </w:r>
          </w:p>
        </w:tc>
      </w:tr>
      <w:tr w14:paraId="17689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3231674B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7C3F8CDF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52E350E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资讯管理</w:t>
            </w:r>
          </w:p>
        </w:tc>
        <w:tc>
          <w:tcPr>
            <w:tcW w:w="4535" w:type="dxa"/>
            <w:vAlign w:val="center"/>
          </w:tcPr>
          <w:p w14:paraId="102A24D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农技资讯内容管理，含资讯发布、编辑、富文本编辑器与图片上传</w:t>
            </w:r>
          </w:p>
        </w:tc>
      </w:tr>
      <w:tr w14:paraId="6FA0A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7B58467E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78A5E6C2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722F396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人工上报</w:t>
            </w:r>
          </w:p>
        </w:tc>
        <w:tc>
          <w:tcPr>
            <w:tcW w:w="4535" w:type="dxa"/>
            <w:vAlign w:val="center"/>
          </w:tcPr>
          <w:p w14:paraId="370F1A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人工采集数据上报管理，支持数据录入、审核与查看</w:t>
            </w:r>
          </w:p>
        </w:tc>
      </w:tr>
      <w:tr w14:paraId="5611E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0EF18E8A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4A5070FE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31066D7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建议采纳</w:t>
            </w:r>
          </w:p>
        </w:tc>
        <w:tc>
          <w:tcPr>
            <w:tcW w:w="4535" w:type="dxa"/>
            <w:vAlign w:val="center"/>
          </w:tcPr>
          <w:p w14:paraId="60CB88F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农户对预警/建议的采纳记录管理，含采纳结果与异议内容</w:t>
            </w:r>
          </w:p>
        </w:tc>
      </w:tr>
      <w:tr w14:paraId="2DEC1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574DDC0A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56F6857B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1DD47AD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识别日志</w:t>
            </w:r>
          </w:p>
        </w:tc>
        <w:tc>
          <w:tcPr>
            <w:tcW w:w="4535" w:type="dxa"/>
            <w:vAlign w:val="center"/>
          </w:tcPr>
          <w:p w14:paraId="7695818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病虫害AI识别日志记录，含识别结果、图片、时间查看</w:t>
            </w:r>
          </w:p>
        </w:tc>
      </w:tr>
      <w:tr w14:paraId="13E00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2912CF71">
            <w:pPr>
              <w:spacing w:after="0" w:line="240" w:lineRule="auto"/>
            </w:pPr>
          </w:p>
        </w:tc>
        <w:tc>
          <w:tcPr>
            <w:tcW w:w="1587" w:type="dxa"/>
            <w:vAlign w:val="center"/>
          </w:tcPr>
          <w:p w14:paraId="0CBC01D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系统管理</w:t>
            </w:r>
          </w:p>
        </w:tc>
        <w:tc>
          <w:tcPr>
            <w:tcW w:w="1928" w:type="dxa"/>
            <w:vAlign w:val="center"/>
          </w:tcPr>
          <w:p w14:paraId="05CD6F7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用户管理</w:t>
            </w:r>
          </w:p>
        </w:tc>
        <w:tc>
          <w:tcPr>
            <w:tcW w:w="4535" w:type="dxa"/>
            <w:vAlign w:val="center"/>
          </w:tcPr>
          <w:p w14:paraId="0079C63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后台系统用户管理，含账号创建、角色分配、密码重置</w:t>
            </w:r>
          </w:p>
        </w:tc>
      </w:tr>
      <w:tr w14:paraId="38ECF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64B38396">
            <w:pPr>
              <w:spacing w:after="0" w:line="240" w:lineRule="auto"/>
            </w:pPr>
          </w:p>
        </w:tc>
        <w:tc>
          <w:tcPr>
            <w:tcW w:w="1587" w:type="dxa"/>
            <w:vAlign w:val="center"/>
          </w:tcPr>
          <w:p w14:paraId="0285B599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07EE1E3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角色管理</w:t>
            </w:r>
          </w:p>
        </w:tc>
        <w:tc>
          <w:tcPr>
            <w:tcW w:w="4535" w:type="dxa"/>
            <w:vAlign w:val="center"/>
          </w:tcPr>
          <w:p w14:paraId="70B7E67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系统角色与权限管理，含角色创建、菜单权限配置</w:t>
            </w:r>
          </w:p>
        </w:tc>
      </w:tr>
      <w:tr w14:paraId="0F4B2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restart"/>
            <w:vAlign w:val="center"/>
          </w:tcPr>
          <w:p w14:paraId="619F266B">
            <w:pPr>
              <w:spacing w:after="0" w:line="276" w:lineRule="auto"/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模型监测大屏</w:t>
            </w:r>
          </w:p>
          <w:p w14:paraId="72ED8623">
            <w:pPr>
              <w:spacing w:after="0" w:line="276" w:lineRule="auto"/>
            </w:pPr>
          </w:p>
          <w:p w14:paraId="0DF7CF89">
            <w:pPr>
              <w:spacing w:after="0" w:line="276" w:lineRule="auto"/>
            </w:pPr>
          </w:p>
          <w:p w14:paraId="79B2EEC7">
            <w:pPr>
              <w:spacing w:after="0" w:line="276" w:lineRule="auto"/>
            </w:pPr>
          </w:p>
          <w:p w14:paraId="69B6CF51">
            <w:pPr>
              <w:spacing w:after="0" w:line="276" w:lineRule="auto"/>
            </w:pPr>
          </w:p>
          <w:p w14:paraId="6BFDC6D3">
            <w:pPr>
              <w:spacing w:after="0" w:line="276" w:lineRule="auto"/>
            </w:pPr>
          </w:p>
          <w:p w14:paraId="69C53770">
            <w:pPr>
              <w:spacing w:after="0" w:line="276" w:lineRule="auto"/>
            </w:pPr>
          </w:p>
          <w:p w14:paraId="3F14B2F5">
            <w:pPr>
              <w:spacing w:after="0" w:line="276" w:lineRule="auto"/>
            </w:pPr>
          </w:p>
          <w:p w14:paraId="2B6CC0B7">
            <w:pPr>
              <w:spacing w:after="0" w:line="276" w:lineRule="auto"/>
            </w:pPr>
          </w:p>
          <w:p w14:paraId="50260C01">
            <w:pPr>
              <w:spacing w:after="0" w:line="276" w:lineRule="auto"/>
            </w:pPr>
          </w:p>
          <w:p w14:paraId="141A01CD">
            <w:pPr>
              <w:spacing w:after="0" w:line="276" w:lineRule="auto"/>
            </w:pPr>
          </w:p>
          <w:p w14:paraId="22B7F7B0">
            <w:pPr>
              <w:spacing w:after="0" w:line="276" w:lineRule="auto"/>
            </w:pPr>
          </w:p>
          <w:p w14:paraId="2D47DC69">
            <w:pPr>
              <w:spacing w:after="0" w:line="276" w:lineRule="auto"/>
            </w:pPr>
          </w:p>
          <w:p w14:paraId="0041D41D">
            <w:pPr>
              <w:spacing w:after="0" w:line="276" w:lineRule="auto"/>
            </w:pPr>
          </w:p>
          <w:p w14:paraId="2725215E">
            <w:pPr>
              <w:spacing w:after="0" w:line="276" w:lineRule="auto"/>
            </w:pPr>
          </w:p>
          <w:p w14:paraId="4D5147C7">
            <w:pPr>
              <w:spacing w:after="0" w:line="276" w:lineRule="auto"/>
            </w:pPr>
          </w:p>
          <w:p w14:paraId="2BF18BD8">
            <w:pPr>
              <w:spacing w:after="0" w:line="276" w:lineRule="auto"/>
            </w:pPr>
          </w:p>
          <w:p w14:paraId="69196DE6">
            <w:pPr>
              <w:spacing w:after="0" w:line="276" w:lineRule="auto"/>
            </w:pPr>
          </w:p>
        </w:tc>
        <w:tc>
          <w:tcPr>
            <w:tcW w:w="1587" w:type="dxa"/>
            <w:vMerge w:val="restart"/>
            <w:vAlign w:val="center"/>
          </w:tcPr>
          <w:p w14:paraId="5F635F41">
            <w:pPr>
              <w:spacing w:after="0" w:line="276" w:lineRule="auto"/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生长模型大屏</w:t>
            </w:r>
          </w:p>
          <w:p w14:paraId="26C24210">
            <w:pPr>
              <w:spacing w:after="0" w:line="276" w:lineRule="auto"/>
            </w:pPr>
          </w:p>
          <w:p w14:paraId="6C2185D7">
            <w:pPr>
              <w:spacing w:after="0" w:line="276" w:lineRule="auto"/>
            </w:pPr>
          </w:p>
          <w:p w14:paraId="6126A9A9">
            <w:pPr>
              <w:spacing w:after="0" w:line="276" w:lineRule="auto"/>
            </w:pPr>
          </w:p>
          <w:p w14:paraId="630CE590">
            <w:pPr>
              <w:spacing w:after="0" w:line="276" w:lineRule="auto"/>
            </w:pPr>
          </w:p>
          <w:p w14:paraId="6944FA66">
            <w:pPr>
              <w:spacing w:after="0" w:line="276" w:lineRule="auto"/>
            </w:pPr>
          </w:p>
          <w:p w14:paraId="093E0B9A">
            <w:pPr>
              <w:spacing w:after="0" w:line="276" w:lineRule="auto"/>
            </w:pPr>
          </w:p>
          <w:p w14:paraId="7474FBED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024FA8F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KPI指标概览</w:t>
            </w:r>
          </w:p>
        </w:tc>
        <w:tc>
          <w:tcPr>
            <w:tcW w:w="4535" w:type="dxa"/>
            <w:vAlign w:val="center"/>
          </w:tcPr>
          <w:p w14:paraId="14C70E6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8项核心指标：用户主体/活跃度/监控植株数/报告数/整体评分/农事建议数/采纳率/学习次数</w:t>
            </w:r>
          </w:p>
        </w:tc>
      </w:tr>
      <w:tr w14:paraId="21D37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  <w:vAlign w:val="center"/>
          </w:tcPr>
          <w:p w14:paraId="2D1C7EAA">
            <w:pPr>
              <w:spacing w:after="0" w:line="276" w:lineRule="auto"/>
            </w:pPr>
          </w:p>
        </w:tc>
        <w:tc>
          <w:tcPr>
            <w:tcW w:w="1587" w:type="dxa"/>
            <w:vMerge w:val="continue"/>
            <w:tcBorders/>
            <w:vAlign w:val="center"/>
          </w:tcPr>
          <w:p w14:paraId="2598451D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2443345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环境监测数据</w:t>
            </w:r>
          </w:p>
        </w:tc>
        <w:tc>
          <w:tcPr>
            <w:tcW w:w="4535" w:type="dxa"/>
            <w:vAlign w:val="center"/>
          </w:tcPr>
          <w:p w14:paraId="0E5700E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实时环境指标展示：土壤温湿度/养分/光照强度/空气温湿度</w:t>
            </w:r>
          </w:p>
        </w:tc>
      </w:tr>
      <w:tr w14:paraId="4F7AE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70087DAF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407D1C9A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08B2ECC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植株综合评测分析</w:t>
            </w:r>
          </w:p>
        </w:tc>
        <w:tc>
          <w:tcPr>
            <w:tcW w:w="4535" w:type="dxa"/>
            <w:vAlign w:val="center"/>
          </w:tcPr>
          <w:p w14:paraId="20F88F9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健康指数环图/综合评分/等级分布/健康趋势图</w:t>
            </w:r>
          </w:p>
        </w:tc>
      </w:tr>
      <w:tr w14:paraId="4376F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5611F0A1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5AFCD6DB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6513A90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模型农事建议</w:t>
            </w:r>
          </w:p>
        </w:tc>
        <w:tc>
          <w:tcPr>
            <w:tcW w:w="4535" w:type="dxa"/>
            <w:vAlign w:val="center"/>
          </w:tcPr>
          <w:p w14:paraId="111A72B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生长模型生成的农事建议列表及完成时限</w:t>
            </w:r>
          </w:p>
        </w:tc>
      </w:tr>
      <w:tr w14:paraId="19786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3FDBF6FE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30899E59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5CFEFC9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植株评价监测总览地图</w:t>
            </w:r>
          </w:p>
        </w:tc>
        <w:tc>
          <w:tcPr>
            <w:tcW w:w="4535" w:type="dxa"/>
            <w:vAlign w:val="center"/>
          </w:tcPr>
          <w:p w14:paraId="3F2A9E5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南丰县地图/乡镇标注/监测点位气泡分布</w:t>
            </w:r>
          </w:p>
        </w:tc>
      </w:tr>
      <w:tr w14:paraId="7FD80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03382658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44D71669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4C6DA19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综合评价子项分析</w:t>
            </w:r>
          </w:p>
        </w:tc>
        <w:tc>
          <w:tcPr>
            <w:tcW w:w="4535" w:type="dxa"/>
            <w:vAlign w:val="center"/>
          </w:tcPr>
          <w:p w14:paraId="27844D5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各评价子项趋势分析图表</w:t>
            </w:r>
          </w:p>
        </w:tc>
      </w:tr>
      <w:tr w14:paraId="4141F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009CE40E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6F0FAB8F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78D41C9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农事建议落地统计</w:t>
            </w:r>
          </w:p>
        </w:tc>
        <w:tc>
          <w:tcPr>
            <w:tcW w:w="4535" w:type="dxa"/>
            <w:vAlign w:val="center"/>
          </w:tcPr>
          <w:p w14:paraId="79D9F54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农事建议采纳与执行情况统计图</w:t>
            </w:r>
          </w:p>
        </w:tc>
      </w:tr>
      <w:tr w14:paraId="326E9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5DBFDAA4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1CE7EF82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35427E9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生长阶段分布</w:t>
            </w:r>
          </w:p>
        </w:tc>
        <w:tc>
          <w:tcPr>
            <w:tcW w:w="4535" w:type="dxa"/>
            <w:vAlign w:val="center"/>
          </w:tcPr>
          <w:p w14:paraId="778278A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监测植株的生长阶段分布统计图</w:t>
            </w:r>
          </w:p>
        </w:tc>
      </w:tr>
      <w:tr w14:paraId="2EE8F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09829BB8">
            <w:pPr>
              <w:spacing w:after="0" w:line="240" w:lineRule="auto"/>
            </w:pPr>
          </w:p>
        </w:tc>
        <w:tc>
          <w:tcPr>
            <w:tcW w:w="1587" w:type="dxa"/>
            <w:vMerge w:val="restart"/>
            <w:vAlign w:val="center"/>
          </w:tcPr>
          <w:p w14:paraId="7616D427">
            <w:pPr>
              <w:spacing w:after="0" w:line="276" w:lineRule="auto"/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病虫害模型大屏</w:t>
            </w:r>
          </w:p>
          <w:p w14:paraId="41FD4FFF">
            <w:pPr>
              <w:spacing w:after="0" w:line="276" w:lineRule="auto"/>
            </w:pPr>
          </w:p>
          <w:p w14:paraId="4C61DE4A">
            <w:pPr>
              <w:spacing w:after="0" w:line="276" w:lineRule="auto"/>
            </w:pPr>
          </w:p>
          <w:p w14:paraId="264D0CD5">
            <w:pPr>
              <w:spacing w:after="0" w:line="276" w:lineRule="auto"/>
            </w:pPr>
          </w:p>
          <w:p w14:paraId="7B347433">
            <w:pPr>
              <w:spacing w:after="0" w:line="276" w:lineRule="auto"/>
            </w:pPr>
          </w:p>
          <w:p w14:paraId="31265C30">
            <w:pPr>
              <w:spacing w:after="0" w:line="276" w:lineRule="auto"/>
            </w:pPr>
          </w:p>
          <w:p w14:paraId="74B8C66C">
            <w:pPr>
              <w:spacing w:after="0" w:line="276" w:lineRule="auto"/>
            </w:pPr>
          </w:p>
          <w:p w14:paraId="74CEC004">
            <w:pPr>
              <w:spacing w:after="0" w:line="276" w:lineRule="auto"/>
            </w:pPr>
          </w:p>
          <w:p w14:paraId="5DBB247A">
            <w:pPr>
              <w:spacing w:after="0" w:line="276" w:lineRule="auto"/>
            </w:pPr>
          </w:p>
          <w:p w14:paraId="246CC689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32B4BE4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KPI指标概览</w:t>
            </w:r>
          </w:p>
        </w:tc>
        <w:tc>
          <w:tcPr>
            <w:tcW w:w="4535" w:type="dxa"/>
            <w:vAlign w:val="center"/>
          </w:tcPr>
          <w:p w14:paraId="3F77875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8项核心指标：病害种类/虫害种类/识别准确率/预警总数/处置完成率/灾害类型/采纳率/预警准确率</w:t>
            </w:r>
          </w:p>
        </w:tc>
      </w:tr>
      <w:tr w14:paraId="6B2E9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4554A107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  <w:vAlign w:val="center"/>
          </w:tcPr>
          <w:p w14:paraId="0BC09684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50074F4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高发病虫害排名</w:t>
            </w:r>
          </w:p>
        </w:tc>
        <w:tc>
          <w:tcPr>
            <w:tcW w:w="4535" w:type="dxa"/>
            <w:vAlign w:val="center"/>
          </w:tcPr>
          <w:p w14:paraId="2456FC3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病虫害发生频次排名列表</w:t>
            </w:r>
          </w:p>
        </w:tc>
      </w:tr>
      <w:tr w14:paraId="1760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072FA421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5E532BFF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16583A0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实时识别记录</w:t>
            </w:r>
          </w:p>
        </w:tc>
        <w:tc>
          <w:tcPr>
            <w:tcW w:w="4535" w:type="dxa"/>
            <w:vAlign w:val="center"/>
          </w:tcPr>
          <w:p w14:paraId="47346D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病虫害AI识别实时记录图表</w:t>
            </w:r>
          </w:p>
        </w:tc>
      </w:tr>
      <w:tr w14:paraId="75F13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13DFD642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59C972A0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6EDADF9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分级预警信息台账</w:t>
            </w:r>
          </w:p>
        </w:tc>
        <w:tc>
          <w:tcPr>
            <w:tcW w:w="4535" w:type="dxa"/>
            <w:vAlign w:val="center"/>
          </w:tcPr>
          <w:p w14:paraId="3D83B3E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按等级分类的预警信息列表</w:t>
            </w:r>
          </w:p>
        </w:tc>
      </w:tr>
      <w:tr w14:paraId="55588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0967D66E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40390ED8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4FA17B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区域风险热力分布地图</w:t>
            </w:r>
          </w:p>
        </w:tc>
        <w:tc>
          <w:tcPr>
            <w:tcW w:w="4535" w:type="dxa"/>
            <w:vAlign w:val="center"/>
          </w:tcPr>
          <w:p w14:paraId="03BACF0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病虫害风险等级/预警统计/健康指数/图例/滚动信息</w:t>
            </w:r>
          </w:p>
        </w:tc>
      </w:tr>
      <w:tr w14:paraId="18AD8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110D9097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4D791CDA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1D03EFD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气象实时数据</w:t>
            </w:r>
          </w:p>
        </w:tc>
        <w:tc>
          <w:tcPr>
            <w:tcW w:w="4535" w:type="dxa"/>
            <w:vAlign w:val="center"/>
          </w:tcPr>
          <w:p w14:paraId="344772A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实时气象指标展示卡片</w:t>
            </w:r>
          </w:p>
        </w:tc>
      </w:tr>
      <w:tr w14:paraId="026B5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417B5450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3FF68A8C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6E940C7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气象灾害风险预判</w:t>
            </w:r>
          </w:p>
        </w:tc>
        <w:tc>
          <w:tcPr>
            <w:tcW w:w="4535" w:type="dxa"/>
            <w:vAlign w:val="center"/>
          </w:tcPr>
          <w:p w14:paraId="617A4A0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气象灾害风险预判分析</w:t>
            </w:r>
          </w:p>
        </w:tc>
      </w:tr>
      <w:tr w14:paraId="0B68C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11E62B8C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06BC79ED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4DB275F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模型预警准确率及趋势</w:t>
            </w:r>
          </w:p>
        </w:tc>
        <w:tc>
          <w:tcPr>
            <w:tcW w:w="4535" w:type="dxa"/>
            <w:vAlign w:val="center"/>
          </w:tcPr>
          <w:p w14:paraId="54D5FBE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预警准确率趋势图表</w:t>
            </w:r>
          </w:p>
        </w:tc>
      </w:tr>
      <w:tr w14:paraId="5E0AF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383E238F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1A0010DD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66DD816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年度病虫害及灾害损失对比</w:t>
            </w:r>
          </w:p>
        </w:tc>
        <w:tc>
          <w:tcPr>
            <w:tcW w:w="4535" w:type="dxa"/>
            <w:vAlign w:val="center"/>
          </w:tcPr>
          <w:p w14:paraId="52572C2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年度损失数据对比图</w:t>
            </w:r>
          </w:p>
        </w:tc>
      </w:tr>
      <w:tr w14:paraId="00883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2A9261DF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1793CBF6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1FB3BBE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防护建议落地情况</w:t>
            </w:r>
          </w:p>
        </w:tc>
        <w:tc>
          <w:tcPr>
            <w:tcW w:w="4535" w:type="dxa"/>
            <w:vAlign w:val="center"/>
          </w:tcPr>
          <w:p w14:paraId="6374513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防护建议执行情况统计</w:t>
            </w:r>
          </w:p>
        </w:tc>
      </w:tr>
      <w:tr w14:paraId="59BE3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restart"/>
            <w:vAlign w:val="center"/>
          </w:tcPr>
          <w:p w14:paraId="7E7513CC">
            <w:pPr>
              <w:spacing w:after="0" w:line="276" w:lineRule="auto"/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蜜桔农业助手</w:t>
            </w:r>
          </w:p>
          <w:p w14:paraId="3F01843D">
            <w:pPr>
              <w:spacing w:after="0" w:line="276" w:lineRule="auto"/>
            </w:pPr>
          </w:p>
          <w:p w14:paraId="06C378F1">
            <w:pPr>
              <w:spacing w:after="0" w:line="276" w:lineRule="auto"/>
            </w:pPr>
          </w:p>
          <w:p w14:paraId="29E5D5CC">
            <w:pPr>
              <w:spacing w:after="0" w:line="276" w:lineRule="auto"/>
            </w:pPr>
          </w:p>
          <w:p w14:paraId="041D9C7F">
            <w:pPr>
              <w:spacing w:after="0" w:line="276" w:lineRule="auto"/>
            </w:pPr>
          </w:p>
          <w:p w14:paraId="561234EC">
            <w:pPr>
              <w:spacing w:after="0" w:line="276" w:lineRule="auto"/>
            </w:pPr>
          </w:p>
          <w:p w14:paraId="5006F197">
            <w:pPr>
              <w:spacing w:after="0" w:line="276" w:lineRule="auto"/>
            </w:pPr>
          </w:p>
          <w:p w14:paraId="44FEF8D7">
            <w:pPr>
              <w:spacing w:after="0" w:line="276" w:lineRule="auto"/>
            </w:pPr>
          </w:p>
          <w:p w14:paraId="235B8E74">
            <w:pPr>
              <w:spacing w:after="0" w:line="276" w:lineRule="auto"/>
            </w:pPr>
          </w:p>
          <w:p w14:paraId="52B03D3C">
            <w:pPr>
              <w:spacing w:after="0" w:line="276" w:lineRule="auto"/>
            </w:pPr>
          </w:p>
          <w:p w14:paraId="0DB0E370">
            <w:pPr>
              <w:spacing w:after="0" w:line="276" w:lineRule="auto"/>
            </w:pPr>
          </w:p>
          <w:p w14:paraId="39079E99">
            <w:pPr>
              <w:spacing w:after="0" w:line="276" w:lineRule="auto"/>
            </w:pPr>
          </w:p>
          <w:p w14:paraId="68619D1F">
            <w:pPr>
              <w:spacing w:after="0" w:line="276" w:lineRule="auto"/>
            </w:pPr>
          </w:p>
          <w:p w14:paraId="200ECAC7">
            <w:pPr>
              <w:spacing w:after="0" w:line="276" w:lineRule="auto"/>
            </w:pPr>
          </w:p>
          <w:p w14:paraId="53805154">
            <w:pPr>
              <w:spacing w:after="0" w:line="276" w:lineRule="auto"/>
            </w:pPr>
          </w:p>
          <w:p w14:paraId="5C690621">
            <w:pPr>
              <w:spacing w:after="0" w:line="276" w:lineRule="auto"/>
            </w:pPr>
          </w:p>
          <w:p w14:paraId="5122DF57">
            <w:pPr>
              <w:spacing w:after="0" w:line="276" w:lineRule="auto"/>
            </w:pPr>
          </w:p>
          <w:p w14:paraId="5ED8F706">
            <w:pPr>
              <w:spacing w:after="0" w:line="276" w:lineRule="auto"/>
            </w:pPr>
          </w:p>
          <w:p w14:paraId="35E24D3D">
            <w:pPr>
              <w:spacing w:after="0" w:line="276" w:lineRule="auto"/>
            </w:pPr>
          </w:p>
        </w:tc>
        <w:tc>
          <w:tcPr>
            <w:tcW w:w="1587" w:type="dxa"/>
            <w:vAlign w:val="center"/>
          </w:tcPr>
          <w:p w14:paraId="7E2BAC2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首页</w:t>
            </w:r>
          </w:p>
        </w:tc>
        <w:tc>
          <w:tcPr>
            <w:tcW w:w="1928" w:type="dxa"/>
            <w:vAlign w:val="center"/>
          </w:tcPr>
          <w:p w14:paraId="03CFCF2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首页</w:t>
            </w:r>
          </w:p>
        </w:tc>
        <w:tc>
          <w:tcPr>
            <w:tcW w:w="4535" w:type="dxa"/>
            <w:vAlign w:val="center"/>
          </w:tcPr>
          <w:p w14:paraId="04488FC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综合看板：天气/预警状态/跑马灯消息/常用服务入口/实时价格/农事推荐/资讯</w:t>
            </w:r>
          </w:p>
        </w:tc>
      </w:tr>
      <w:tr w14:paraId="5B12A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  <w:vAlign w:val="center"/>
          </w:tcPr>
          <w:p w14:paraId="20CCD041">
            <w:pPr>
              <w:spacing w:after="0" w:line="276" w:lineRule="auto"/>
            </w:pPr>
          </w:p>
        </w:tc>
        <w:tc>
          <w:tcPr>
            <w:tcW w:w="1587" w:type="dxa"/>
            <w:vMerge w:val="restart"/>
            <w:vAlign w:val="center"/>
          </w:tcPr>
          <w:p w14:paraId="4FD6891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病虫害服务</w:t>
            </w:r>
          </w:p>
        </w:tc>
        <w:tc>
          <w:tcPr>
            <w:tcW w:w="1928" w:type="dxa"/>
            <w:vAlign w:val="center"/>
          </w:tcPr>
          <w:p w14:paraId="5C2A710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AI智能识别</w:t>
            </w:r>
          </w:p>
        </w:tc>
        <w:tc>
          <w:tcPr>
            <w:tcW w:w="4535" w:type="dxa"/>
            <w:vAlign w:val="center"/>
          </w:tcPr>
          <w:p w14:paraId="1843618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拍照识别病虫害，返回病害名称、特征与防治建议</w:t>
            </w:r>
          </w:p>
        </w:tc>
      </w:tr>
      <w:tr w14:paraId="48165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2FE529A2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  <w:vAlign w:val="center"/>
          </w:tcPr>
          <w:p w14:paraId="56ED0F6C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4EBCC5C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病虫害知识库</w:t>
            </w:r>
          </w:p>
        </w:tc>
        <w:tc>
          <w:tcPr>
            <w:tcW w:w="4535" w:type="dxa"/>
            <w:vAlign w:val="center"/>
          </w:tcPr>
          <w:p w14:paraId="731BA12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病虫害知识浏览与检索，含症状图片、防治方法</w:t>
            </w:r>
          </w:p>
        </w:tc>
      </w:tr>
      <w:tr w14:paraId="348F6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5821F8AB">
            <w:pPr>
              <w:spacing w:after="0" w:line="240" w:lineRule="auto"/>
            </w:pPr>
          </w:p>
        </w:tc>
        <w:tc>
          <w:tcPr>
            <w:tcW w:w="1587" w:type="dxa"/>
            <w:vMerge w:val="restart"/>
            <w:vAlign w:val="center"/>
          </w:tcPr>
          <w:p w14:paraId="74B0AE5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长势评价</w:t>
            </w:r>
          </w:p>
        </w:tc>
        <w:tc>
          <w:tcPr>
            <w:tcW w:w="1928" w:type="dxa"/>
            <w:vAlign w:val="center"/>
          </w:tcPr>
          <w:p w14:paraId="21CA967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植株指标数据录入</w:t>
            </w:r>
          </w:p>
        </w:tc>
        <w:tc>
          <w:tcPr>
            <w:tcW w:w="4535" w:type="dxa"/>
            <w:vAlign w:val="center"/>
          </w:tcPr>
          <w:p w14:paraId="014E2DB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植株生长指标录入表单，提交后生成评价</w:t>
            </w:r>
          </w:p>
        </w:tc>
      </w:tr>
      <w:tr w14:paraId="0211D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41C2FA5C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  <w:vAlign w:val="center"/>
          </w:tcPr>
          <w:p w14:paraId="7E86A4B0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055BFA3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植株综合评价报告</w:t>
            </w:r>
          </w:p>
        </w:tc>
        <w:tc>
          <w:tcPr>
            <w:tcW w:w="4535" w:type="dxa"/>
            <w:vAlign w:val="center"/>
          </w:tcPr>
          <w:p w14:paraId="7AB4D02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评价结果展示，含各维度评分、雷达图与建议</w:t>
            </w:r>
          </w:p>
        </w:tc>
      </w:tr>
      <w:tr w14:paraId="7E188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3759E5EF">
            <w:pPr>
              <w:spacing w:after="0" w:line="240" w:lineRule="auto"/>
            </w:pPr>
          </w:p>
        </w:tc>
        <w:tc>
          <w:tcPr>
            <w:tcW w:w="1587" w:type="dxa"/>
            <w:vMerge w:val="restart"/>
            <w:vAlign w:val="center"/>
          </w:tcPr>
          <w:p w14:paraId="681A8679">
            <w:pPr>
              <w:spacing w:after="0" w:line="276" w:lineRule="auto"/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数据采集</w:t>
            </w:r>
          </w:p>
          <w:p w14:paraId="1ACA2733">
            <w:pPr>
              <w:spacing w:after="0" w:line="276" w:lineRule="auto"/>
            </w:pPr>
          </w:p>
          <w:p w14:paraId="7D6ABAE0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592959D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环境监测</w:t>
            </w:r>
          </w:p>
        </w:tc>
        <w:tc>
          <w:tcPr>
            <w:tcW w:w="4535" w:type="dxa"/>
            <w:vAlign w:val="center"/>
          </w:tcPr>
          <w:p w14:paraId="5F0481F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园区环境实时监测数据展示与趋势图（温湿度/光照/风速等）</w:t>
            </w:r>
          </w:p>
        </w:tc>
      </w:tr>
      <w:tr w14:paraId="48CAA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1A951E53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  <w:vAlign w:val="center"/>
          </w:tcPr>
          <w:p w14:paraId="0811AF65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1C73560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数据上报</w:t>
            </w:r>
          </w:p>
        </w:tc>
        <w:tc>
          <w:tcPr>
            <w:tcW w:w="4535" w:type="dxa"/>
            <w:vAlign w:val="center"/>
          </w:tcPr>
          <w:p w14:paraId="0EA1AFC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人工数据上报表单，支持多类型数据录入提交</w:t>
            </w:r>
          </w:p>
        </w:tc>
      </w:tr>
      <w:tr w14:paraId="4CEDC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4CB0E798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564018E0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447403C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我的果园</w:t>
            </w:r>
          </w:p>
        </w:tc>
        <w:tc>
          <w:tcPr>
            <w:tcW w:w="4535" w:type="dxa"/>
            <w:vAlign w:val="center"/>
          </w:tcPr>
          <w:p w14:paraId="5D064DB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用户果园地块信息与监测数据查看</w:t>
            </w:r>
          </w:p>
        </w:tc>
      </w:tr>
      <w:tr w14:paraId="46B99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408F47CC">
            <w:pPr>
              <w:spacing w:after="0" w:line="240" w:lineRule="auto"/>
            </w:pPr>
          </w:p>
        </w:tc>
        <w:tc>
          <w:tcPr>
            <w:tcW w:w="1587" w:type="dxa"/>
            <w:vMerge w:val="restart"/>
            <w:vAlign w:val="center"/>
          </w:tcPr>
          <w:p w14:paraId="2266CAAD">
            <w:pPr>
              <w:spacing w:after="0" w:line="276" w:lineRule="auto"/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农技资讯</w:t>
            </w:r>
          </w:p>
          <w:p w14:paraId="7C40DD8A">
            <w:pPr>
              <w:spacing w:after="0" w:line="276" w:lineRule="auto"/>
            </w:pPr>
          </w:p>
          <w:p w14:paraId="6A31AE6F">
            <w:pPr>
              <w:spacing w:after="0" w:line="276" w:lineRule="auto"/>
            </w:pPr>
          </w:p>
          <w:p w14:paraId="28A571F2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4F13F07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农技资讯</w:t>
            </w:r>
          </w:p>
        </w:tc>
        <w:tc>
          <w:tcPr>
            <w:tcW w:w="4535" w:type="dxa"/>
            <w:vAlign w:val="center"/>
          </w:tcPr>
          <w:p w14:paraId="19A3FBC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资讯首页，分类展示农技文章与推荐内容</w:t>
            </w:r>
          </w:p>
        </w:tc>
      </w:tr>
      <w:tr w14:paraId="1D962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3E5D68E8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  <w:vAlign w:val="center"/>
          </w:tcPr>
          <w:p w14:paraId="6FDAFB44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2306BFF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资讯列表</w:t>
            </w:r>
          </w:p>
        </w:tc>
        <w:tc>
          <w:tcPr>
            <w:tcW w:w="4535" w:type="dxa"/>
            <w:vAlign w:val="center"/>
          </w:tcPr>
          <w:p w14:paraId="5E82261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农技资讯列表页，支持分类浏览与检索</w:t>
            </w:r>
          </w:p>
        </w:tc>
      </w:tr>
      <w:tr w14:paraId="4F09B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2265B769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0AD8F340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2D09D11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资讯详情</w:t>
            </w:r>
          </w:p>
        </w:tc>
        <w:tc>
          <w:tcPr>
            <w:tcW w:w="4535" w:type="dxa"/>
            <w:vAlign w:val="center"/>
          </w:tcPr>
          <w:p w14:paraId="4074AC0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农技资讯详情页，富文本内容与图片展示</w:t>
            </w:r>
          </w:p>
        </w:tc>
      </w:tr>
      <w:tr w14:paraId="288DD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3039ED61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62A6B989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29F5952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学习中心</w:t>
            </w:r>
          </w:p>
        </w:tc>
        <w:tc>
          <w:tcPr>
            <w:tcW w:w="4535" w:type="dxa"/>
            <w:vAlign w:val="center"/>
          </w:tcPr>
          <w:p w14:paraId="44BBC74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学习中心，记录学习农户与课程列表</w:t>
            </w:r>
          </w:p>
        </w:tc>
      </w:tr>
      <w:tr w14:paraId="1D9B3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0C31A172">
            <w:pPr>
              <w:spacing w:after="0" w:line="240" w:lineRule="auto"/>
            </w:pPr>
          </w:p>
        </w:tc>
        <w:tc>
          <w:tcPr>
            <w:tcW w:w="1587" w:type="dxa"/>
            <w:vAlign w:val="center"/>
          </w:tcPr>
          <w:p w14:paraId="0797133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价格行情</w:t>
            </w:r>
          </w:p>
        </w:tc>
        <w:tc>
          <w:tcPr>
            <w:tcW w:w="1928" w:type="dxa"/>
            <w:vAlign w:val="center"/>
          </w:tcPr>
          <w:p w14:paraId="1C0F4C1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价格指数</w:t>
            </w:r>
          </w:p>
        </w:tc>
        <w:tc>
          <w:tcPr>
            <w:tcW w:w="4535" w:type="dxa"/>
            <w:vAlign w:val="center"/>
          </w:tcPr>
          <w:p w14:paraId="67035F2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蜜桔价格行情展示与历史趋势图</w:t>
            </w:r>
          </w:p>
        </w:tc>
      </w:tr>
      <w:tr w14:paraId="7C64F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3AFCC6CD">
            <w:pPr>
              <w:spacing w:after="0" w:line="240" w:lineRule="auto"/>
            </w:pPr>
          </w:p>
        </w:tc>
        <w:tc>
          <w:tcPr>
            <w:tcW w:w="1587" w:type="dxa"/>
            <w:vAlign w:val="center"/>
          </w:tcPr>
          <w:p w14:paraId="608BF4E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消息中心</w:t>
            </w:r>
          </w:p>
        </w:tc>
        <w:tc>
          <w:tcPr>
            <w:tcW w:w="1928" w:type="dxa"/>
            <w:vAlign w:val="center"/>
          </w:tcPr>
          <w:p w14:paraId="4F2114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我的消息</w:t>
            </w:r>
          </w:p>
        </w:tc>
        <w:tc>
          <w:tcPr>
            <w:tcW w:w="4535" w:type="dxa"/>
            <w:vAlign w:val="center"/>
          </w:tcPr>
          <w:p w14:paraId="259AB5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预警/农事/AI/资讯消息列表与详情，支持采纳与异议反馈</w:t>
            </w:r>
          </w:p>
        </w:tc>
      </w:tr>
      <w:tr w14:paraId="41279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2D5FB559">
            <w:pPr>
              <w:spacing w:after="0" w:line="240" w:lineRule="auto"/>
            </w:pPr>
          </w:p>
        </w:tc>
        <w:tc>
          <w:tcPr>
            <w:tcW w:w="1587" w:type="dxa"/>
            <w:vMerge w:val="restart"/>
            <w:vAlign w:val="center"/>
          </w:tcPr>
          <w:p w14:paraId="481845B9">
            <w:pPr>
              <w:spacing w:after="0" w:line="276" w:lineRule="auto"/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个人中心</w:t>
            </w:r>
          </w:p>
          <w:p w14:paraId="759DD9C1">
            <w:pPr>
              <w:spacing w:after="0" w:line="276" w:lineRule="auto"/>
            </w:pPr>
          </w:p>
          <w:p w14:paraId="218E8CF5">
            <w:pPr>
              <w:spacing w:after="0" w:line="276" w:lineRule="auto"/>
            </w:pPr>
          </w:p>
          <w:p w14:paraId="4CCAC37E">
            <w:pPr>
              <w:spacing w:after="0" w:line="276" w:lineRule="auto"/>
            </w:pPr>
          </w:p>
          <w:p w14:paraId="2779E8A8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089F9C6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我的</w:t>
            </w:r>
          </w:p>
        </w:tc>
        <w:tc>
          <w:tcPr>
            <w:tcW w:w="4535" w:type="dxa"/>
            <w:vAlign w:val="center"/>
          </w:tcPr>
          <w:p w14:paraId="36E613E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个人中心入口页，展示功能菜单与统计概览</w:t>
            </w:r>
          </w:p>
        </w:tc>
      </w:tr>
      <w:tr w14:paraId="214F2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1FCBA2F2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  <w:vAlign w:val="center"/>
          </w:tcPr>
          <w:p w14:paraId="5AFF2827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215B194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个人信息</w:t>
            </w:r>
          </w:p>
        </w:tc>
        <w:tc>
          <w:tcPr>
            <w:tcW w:w="4535" w:type="dxa"/>
            <w:vAlign w:val="center"/>
          </w:tcPr>
          <w:p w14:paraId="0526130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个人信息查看与编辑</w:t>
            </w:r>
          </w:p>
        </w:tc>
      </w:tr>
      <w:tr w14:paraId="3AC52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5EB0AF01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22E5C7D4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7B340A6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上报记录</w:t>
            </w:r>
          </w:p>
        </w:tc>
        <w:tc>
          <w:tcPr>
            <w:tcW w:w="4535" w:type="dxa"/>
            <w:vAlign w:val="center"/>
          </w:tcPr>
          <w:p w14:paraId="615556D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历史数据上报记录查看</w:t>
            </w:r>
          </w:p>
        </w:tc>
      </w:tr>
      <w:tr w14:paraId="71CC3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52353E82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6077A8B8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323E8B1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我的报告</w:t>
            </w:r>
          </w:p>
        </w:tc>
        <w:tc>
          <w:tcPr>
            <w:tcW w:w="4535" w:type="dxa"/>
            <w:vAlign w:val="center"/>
          </w:tcPr>
          <w:p w14:paraId="045A2AC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评价报告与生成记录查看</w:t>
            </w:r>
          </w:p>
        </w:tc>
      </w:tr>
      <w:tr w14:paraId="08DA0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</w:tcPr>
          <w:p w14:paraId="62ED66A2">
            <w:pPr>
              <w:spacing w:after="0" w:line="240" w:lineRule="auto"/>
            </w:pPr>
          </w:p>
        </w:tc>
        <w:tc>
          <w:tcPr>
            <w:tcW w:w="1587" w:type="dxa"/>
            <w:vMerge w:val="continue"/>
            <w:tcBorders/>
          </w:tcPr>
          <w:p w14:paraId="4747E696">
            <w:pPr>
              <w:spacing w:after="0" w:line="240" w:lineRule="auto"/>
            </w:pPr>
          </w:p>
        </w:tc>
        <w:tc>
          <w:tcPr>
            <w:tcW w:w="1928" w:type="dxa"/>
            <w:vAlign w:val="center"/>
          </w:tcPr>
          <w:p w14:paraId="3FD154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设置</w:t>
            </w:r>
          </w:p>
        </w:tc>
        <w:tc>
          <w:tcPr>
            <w:tcW w:w="4535" w:type="dxa"/>
            <w:vAlign w:val="center"/>
          </w:tcPr>
          <w:p w14:paraId="7BE34AA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账号设置、消息提醒开关、退出登录</w:t>
            </w:r>
          </w:p>
        </w:tc>
      </w:tr>
      <w:tr w14:paraId="13743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restart"/>
            <w:vAlign w:val="center"/>
          </w:tcPr>
          <w:p w14:paraId="19559AB7">
            <w:pPr>
              <w:spacing w:after="0" w:line="276" w:lineRule="auto"/>
            </w:pPr>
            <w:bookmarkStart w:id="0" w:name="_GoBack" w:colFirst="1" w:colLast="1"/>
            <w:r>
              <w:rPr>
                <w:rFonts w:ascii="宋体" w:hAnsi="宋体" w:eastAsia="宋体"/>
                <w:b w:val="0"/>
                <w:color w:val="000000"/>
                <w:sz w:val="21"/>
              </w:rPr>
              <w:t>第三方对接</w:t>
            </w:r>
          </w:p>
        </w:tc>
        <w:tc>
          <w:tcPr>
            <w:tcW w:w="1587" w:type="dxa"/>
            <w:vMerge w:val="restart"/>
            <w:vAlign w:val="center"/>
          </w:tcPr>
          <w:p w14:paraId="2F16E39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平台对接</w:t>
            </w:r>
          </w:p>
        </w:tc>
        <w:tc>
          <w:tcPr>
            <w:tcW w:w="1928" w:type="dxa"/>
            <w:vAlign w:val="center"/>
          </w:tcPr>
          <w:p w14:paraId="3A97251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用户和单点登录</w:t>
            </w:r>
          </w:p>
        </w:tc>
        <w:tc>
          <w:tcPr>
            <w:tcW w:w="4535" w:type="dxa"/>
            <w:vAlign w:val="center"/>
          </w:tcPr>
          <w:p w14:paraId="67A1D2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用户、系统和小程序嵌入、消息回调、业务数据对接</w:t>
            </w:r>
          </w:p>
        </w:tc>
      </w:tr>
      <w:bookmarkEnd w:id="0"/>
      <w:tr w14:paraId="4E70B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Merge w:val="continue"/>
            <w:vAlign w:val="center"/>
          </w:tcPr>
          <w:p w14:paraId="296FEE3D">
            <w:pPr>
              <w:spacing w:after="0" w:line="276" w:lineRule="auto"/>
            </w:pPr>
          </w:p>
        </w:tc>
        <w:tc>
          <w:tcPr>
            <w:tcW w:w="1587" w:type="dxa"/>
            <w:vMerge w:val="continue"/>
            <w:tcBorders/>
            <w:vAlign w:val="center"/>
          </w:tcPr>
          <w:p w14:paraId="6D3A9328">
            <w:pPr>
              <w:spacing w:after="0" w:line="276" w:lineRule="auto"/>
            </w:pPr>
          </w:p>
        </w:tc>
        <w:tc>
          <w:tcPr>
            <w:tcW w:w="1928" w:type="dxa"/>
            <w:vAlign w:val="center"/>
          </w:tcPr>
          <w:p w14:paraId="68CE6B9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设备</w:t>
            </w:r>
          </w:p>
        </w:tc>
        <w:tc>
          <w:tcPr>
            <w:tcW w:w="4535" w:type="dxa"/>
            <w:vAlign w:val="center"/>
          </w:tcPr>
          <w:p w14:paraId="1312B0B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设备数据（多种类型）</w:t>
            </w:r>
          </w:p>
        </w:tc>
      </w:tr>
    </w:tbl>
    <w:p w14:paraId="08E7FB14"/>
    <w:sectPr>
      <w:pgSz w:w="12240" w:h="15840"/>
      <w:pgMar w:top="1134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4F8A"/>
    <w:rsid w:val="00AA1D8D"/>
    <w:rsid w:val="00B47730"/>
    <w:rsid w:val="00CB0664"/>
    <w:rsid w:val="00FC693F"/>
    <w:rsid w:val="17B45073"/>
    <w:rsid w:val="73B8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2409</Words>
  <Characters>2427</Characters>
  <Lines>0</Lines>
  <Paragraphs>0</Paragraphs>
  <TotalTime>2</TotalTime>
  <ScaleCrop>false</ScaleCrop>
  <LinksUpToDate>false</LinksUpToDate>
  <CharactersWithSpaces>2429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刘友宝</cp:lastModifiedBy>
  <dcterms:modified xsi:type="dcterms:W3CDTF">2026-08-24T02:54:43Z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eyJoZGlkIjoiZWZhMTdkYjEwNzZkNWY5OWRhZDNlY2EwYzgwNGEwNTMiLCJ1c2VySWQiOiIyNjEwMTA1MzQifQ==</vt:lpwstr>
  </property>
  <property fmtid="{D5CDD505-2E9C-101B-9397-08002B2CF9AE}" pid="3" name="KSOProductBuildVer">
    <vt:lpwstr>2052-12.1.0.28022</vt:lpwstr>
  </property>
  <property fmtid="{D5CDD505-2E9C-101B-9397-08002B2CF9AE}" pid="4" name="ICV">
    <vt:lpwstr>2BF38CEFAE1D4337AD70D6F6C5839EB6_12</vt:lpwstr>
  </property>
</Properties>
</file>