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67B49">
      <w:pPr>
        <w:spacing w:after="1200"/>
      </w:pPr>
    </w:p>
    <w:p w14:paraId="3127CBA5">
      <w:pPr>
        <w:spacing w:before="0" w:after="200" w:line="360" w:lineRule="auto"/>
        <w:jc w:val="center"/>
      </w:pPr>
      <w:r>
        <w:rPr>
          <w:rFonts w:ascii="黑体" w:hAnsi="黑体" w:eastAsia="宋体"/>
          <w:b/>
          <w:color w:val="000000"/>
          <w:sz w:val="44"/>
        </w:rPr>
        <w:t>南丰蜜桔模型管理系统</w:t>
      </w:r>
    </w:p>
    <w:p w14:paraId="750E40FC"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color w:val="000000"/>
          <w:sz w:val="28"/>
        </w:rPr>
        <w:t>软件技术方案</w:t>
      </w:r>
    </w:p>
    <w:p w14:paraId="1378E8DD">
      <w:pPr>
        <w:spacing w:before="0" w:after="120" w:line="360" w:lineRule="auto"/>
        <w:jc w:val="center"/>
        <w:rPr>
          <w:rFonts w:ascii="宋体" w:hAnsi="宋体" w:eastAsia="宋体"/>
          <w:b w:val="0"/>
          <w:color w:val="000000"/>
          <w:sz w:val="22"/>
        </w:rPr>
      </w:pPr>
    </w:p>
    <w:p w14:paraId="5DED1FA8">
      <w:pPr>
        <w:spacing w:before="0" w:after="120" w:line="360" w:lineRule="auto"/>
        <w:jc w:val="center"/>
        <w:rPr>
          <w:rFonts w:ascii="宋体" w:hAnsi="宋体" w:eastAsia="宋体"/>
          <w:b w:val="0"/>
          <w:color w:val="000000"/>
          <w:sz w:val="22"/>
        </w:rPr>
      </w:pPr>
    </w:p>
    <w:p w14:paraId="22130953">
      <w:pPr>
        <w:spacing w:before="0" w:after="120" w:line="360" w:lineRule="auto"/>
        <w:jc w:val="center"/>
        <w:rPr>
          <w:rFonts w:ascii="宋体" w:hAnsi="宋体" w:eastAsia="宋体"/>
          <w:b w:val="0"/>
          <w:color w:val="000000"/>
          <w:sz w:val="22"/>
        </w:rPr>
      </w:pPr>
    </w:p>
    <w:p w14:paraId="6DF9B9F4">
      <w:pPr>
        <w:spacing w:before="0" w:after="120" w:line="360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编制日期：</w:t>
      </w:r>
      <w:r>
        <w:rPr>
          <w:rFonts w:hint="eastAsia"/>
          <w:b w:val="0"/>
          <w:color w:val="000000"/>
          <w:sz w:val="22"/>
          <w:lang w:val="en-US" w:eastAsia="zh-CN"/>
        </w:rPr>
        <w:t xml:space="preserve"> </w:t>
      </w:r>
      <w:r>
        <w:rPr>
          <w:rFonts w:ascii="宋体" w:hAnsi="宋体" w:eastAsia="宋体"/>
          <w:b w:val="0"/>
          <w:color w:val="000000"/>
          <w:sz w:val="22"/>
        </w:rPr>
        <w:t xml:space="preserve">2026 </w:t>
      </w:r>
      <w:r>
        <w:rPr>
          <w:rFonts w:hint="eastAsia"/>
          <w:b w:val="0"/>
          <w:color w:val="000000"/>
          <w:sz w:val="22"/>
          <w:lang w:val="en-US" w:eastAsia="zh-CN"/>
        </w:rPr>
        <w:t xml:space="preserve"> </w:t>
      </w:r>
      <w:r>
        <w:rPr>
          <w:rFonts w:ascii="宋体" w:hAnsi="宋体" w:eastAsia="宋体"/>
          <w:b w:val="0"/>
          <w:color w:val="000000"/>
          <w:sz w:val="22"/>
        </w:rPr>
        <w:t xml:space="preserve">年 </w:t>
      </w:r>
      <w:r>
        <w:rPr>
          <w:rFonts w:hint="eastAsia"/>
          <w:b w:val="0"/>
          <w:color w:val="000000"/>
          <w:sz w:val="22"/>
          <w:lang w:val="en-US" w:eastAsia="zh-CN"/>
        </w:rPr>
        <w:t xml:space="preserve"> 08 </w:t>
      </w:r>
      <w:r>
        <w:rPr>
          <w:rFonts w:ascii="宋体" w:hAnsi="宋体" w:eastAsia="宋体"/>
          <w:b w:val="0"/>
          <w:color w:val="000000"/>
          <w:sz w:val="22"/>
        </w:rPr>
        <w:t xml:space="preserve"> 月 </w:t>
      </w:r>
    </w:p>
    <w:p w14:paraId="46440576">
      <w:r>
        <w:br w:type="page"/>
      </w:r>
    </w:p>
    <w:p w14:paraId="5CA8C444">
      <w:pPr>
        <w:spacing w:before="0" w:after="160" w:line="360" w:lineRule="auto"/>
        <w:jc w:val="center"/>
      </w:pPr>
      <w:r>
        <w:rPr>
          <w:rFonts w:ascii="黑体" w:hAnsi="黑体" w:eastAsia="宋体"/>
          <w:b/>
          <w:color w:val="000000"/>
          <w:sz w:val="28"/>
        </w:rPr>
        <w:t>目  录</w:t>
      </w:r>
    </w:p>
    <w:p w14:paraId="13262388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1  项目概述</w:t>
      </w:r>
    </w:p>
    <w:p w14:paraId="0ACFDD49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2  技术选型与总体架构</w:t>
      </w:r>
    </w:p>
    <w:p w14:paraId="79BF007D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3  部署架构</w:t>
      </w:r>
    </w:p>
    <w:p w14:paraId="0E877AFD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4  数据架构与库设计</w:t>
      </w:r>
    </w:p>
    <w:p w14:paraId="556A6404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5  接口与集成设计</w:t>
      </w:r>
    </w:p>
    <w:p w14:paraId="0E03D9B9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6  模型计算与算法实现</w:t>
      </w:r>
    </w:p>
    <w:p w14:paraId="7563D020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7  安全设计</w:t>
      </w:r>
    </w:p>
    <w:p w14:paraId="1A311FEE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8  性能与可靠性</w:t>
      </w:r>
    </w:p>
    <w:p w14:paraId="180ABB11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9  开发与交付方案</w:t>
      </w:r>
    </w:p>
    <w:p w14:paraId="23E71BC7">
      <w:pPr>
        <w:spacing w:after="60"/>
        <w:ind w:left="567"/>
      </w:pPr>
      <w:r>
        <w:rPr>
          <w:rFonts w:ascii="宋体" w:hAnsi="宋体" w:eastAsia="宋体"/>
          <w:b w:val="0"/>
          <w:color w:val="000000"/>
          <w:sz w:val="21"/>
        </w:rPr>
        <w:t>10  运维与培训</w:t>
      </w:r>
    </w:p>
    <w:p w14:paraId="45126B3C">
      <w:r>
        <w:br w:type="page"/>
      </w:r>
    </w:p>
    <w:p w14:paraId="452871F6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1  项目概述</w:t>
      </w:r>
    </w:p>
    <w:p w14:paraId="504DFCD5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1.1  项目背景</w:t>
      </w:r>
    </w:p>
    <w:p w14:paraId="0A77421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南丰蜜桔模型管理系统是“南丰县蜜桔全产业链智慧建设项目”的重要组成部分。根据项目技术审查提出的整改意见，并结合实际建设范围，本次建设在现有系统基础上进行完善与整改，重点提升生长模型、病虫害模型及相关数据能力，使系统更好地服务于蜜桔生产管理与产业服务。</w:t>
      </w:r>
    </w:p>
    <w:p w14:paraId="2B3CE80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1.2  整改与建设原则</w:t>
      </w:r>
    </w:p>
    <w:p w14:paraId="3A71374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方案坚持“充分利用现有平台、设备和数据”的原则：不新建独立平台，不大规模新增物联网设备，所有完善内容均整合到现有模型管理后台、模型监测大屏、蜜桔农业助手与第三方对接能力之中，重点对现有功能进行补充、整合与打通。</w:t>
      </w:r>
    </w:p>
    <w:p w14:paraId="2CBCD86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1.3  建设基础</w:t>
      </w:r>
    </w:p>
    <w:p w14:paraId="3C7449A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系统已在前期建设了模型管理后台（Web 管理端）、模型监测大屏（可视化端）、蜜桔农业助手（微信小程序）与第三方对接能力。本技术方案在上述既有能力基础上开展功能完善、集成与运维设计。</w:t>
      </w:r>
    </w:p>
    <w:p w14:paraId="15C0DC4B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1.4  建设内容与范围</w:t>
      </w:r>
    </w:p>
    <w:p w14:paraId="4BA9DB99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围绕以下方向开展完善，详细功能以《南丰蜜桔模型管理系统项目-功能清单》为准：</w:t>
      </w:r>
    </w:p>
    <w:p w14:paraId="187A7D88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生长模型完善：完善模型说明、基础档案、因子采集、模型计算、诊断分析、农事建议与评价报告；</w:t>
      </w:r>
    </w:p>
    <w:p w14:paraId="50E19F56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病虫害模型完善：完善监测数据、参数配置、预测计算、风险诊断、预测报告与防控方案，并增强图片辅助识别能力；</w:t>
      </w:r>
    </w:p>
    <w:p w14:paraId="367F0FA4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数据与预警完善：完善病害/虫害/灾害/品种/气象/墒情/价格等基础数据库及外部数据抓取，强化预警规则与处置闭环；</w:t>
      </w:r>
    </w:p>
    <w:p w14:paraId="2193F06D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销售与市场数据作为数据管理能力的延伸，通过价格数据库与外部网站采集实现价格与行情监测。</w:t>
      </w:r>
    </w:p>
    <w:p w14:paraId="0F541A0C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实施过程中引入农技人员参与模型内容审核与试运行确认，确保评价结论与农事建议符合南丰蜜桔本地生产实际。</w:t>
      </w:r>
    </w:p>
    <w:p w14:paraId="557B0CC5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1.5  实施周期与试点</w:t>
      </w:r>
    </w:p>
    <w:p w14:paraId="2D6D52B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建设周期控制在 2—3 个月，选择少量具有代表性的果园开展试点应用，经系统测试、人员培训与验收资料编制后上线使用。</w:t>
      </w:r>
    </w:p>
    <w:p w14:paraId="593EBB49">
      <w:r>
        <w:br w:type="page"/>
      </w:r>
    </w:p>
    <w:p w14:paraId="0CCE8DFC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2  技术选型与总体架构</w:t>
      </w:r>
    </w:p>
    <w:p w14:paraId="42C87AB9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2.1  技术选型原则</w:t>
      </w:r>
    </w:p>
    <w:p w14:paraId="72222769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在满足业务需求的前提下，优先采用成熟、稳定、社区活跃的主流技术，兼顾开发效率、可维护性与可扩展性，降低长期运维风险。</w:t>
      </w:r>
    </w:p>
    <w:p w14:paraId="72D83955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2.2  总体技术架构</w:t>
      </w:r>
    </w:p>
    <w:p w14:paraId="4A2D2F87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本方案对应并落地《软件设计方案》的功能范围，技术总体架构如下图所示，自顶向下分为展示层、网关层、业务服务层、数据层、集成层与基础设施。</w:t>
      </w:r>
    </w:p>
    <w:p w14:paraId="319C6455">
      <w:pPr>
        <w:spacing w:after="80"/>
        <w:jc w:val="center"/>
      </w:pPr>
      <w:r>
        <w:drawing>
          <wp:inline distT="0" distB="0" distL="114300" distR="114300">
            <wp:extent cx="5579745" cy="5033010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73F3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2.3  技术栈清单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AE9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8DD19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层次</w:t>
            </w:r>
          </w:p>
        </w:tc>
        <w:tc>
          <w:tcPr>
            <w:tcW w:w="6803" w:type="dxa"/>
          </w:tcPr>
          <w:p w14:paraId="457EEB0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技术选型（示意）</w:t>
            </w:r>
          </w:p>
        </w:tc>
      </w:tr>
      <w:tr w14:paraId="0A5B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7DFC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前端</w:t>
            </w:r>
          </w:p>
        </w:tc>
        <w:tc>
          <w:tcPr>
            <w:tcW w:w="6803" w:type="dxa"/>
          </w:tcPr>
          <w:p w14:paraId="3BBA49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后台：Vue 系列框架 + 组件库；大屏：可视化图表库；小程序：微信原生/框架</w:t>
            </w:r>
          </w:p>
        </w:tc>
      </w:tr>
      <w:tr w14:paraId="3757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692E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后端</w:t>
            </w:r>
          </w:p>
        </w:tc>
        <w:tc>
          <w:tcPr>
            <w:tcW w:w="6803" w:type="dxa"/>
          </w:tcPr>
          <w:p w14:paraId="12169B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主流服务端语言与框架（如 Java/Python/Node 等），提供 RESTful 接口</w:t>
            </w:r>
          </w:p>
        </w:tc>
      </w:tr>
      <w:tr w14:paraId="6644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6064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</w:t>
            </w:r>
          </w:p>
        </w:tc>
        <w:tc>
          <w:tcPr>
            <w:tcW w:w="6803" w:type="dxa"/>
          </w:tcPr>
          <w:p w14:paraId="13C80D3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关系型数据库（业务数据）+ 文件/对象存储（图片）</w:t>
            </w:r>
            <w:r>
              <w:rPr>
                <w:rFonts w:hint="eastAsia"/>
                <w:b w:val="0"/>
                <w:color w:val="000000"/>
                <w:sz w:val="18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首选MySQL</w:t>
            </w:r>
          </w:p>
        </w:tc>
      </w:tr>
      <w:tr w14:paraId="7362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4377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部署</w:t>
            </w:r>
          </w:p>
        </w:tc>
        <w:tc>
          <w:tcPr>
            <w:tcW w:w="6803" w:type="dxa"/>
          </w:tcPr>
          <w:p w14:paraId="53994D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Web 服务器与反向代理（如 Nginx），可运行于云服务器或容器环境</w:t>
            </w:r>
          </w:p>
        </w:tc>
      </w:tr>
      <w:tr w14:paraId="7E94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E3E1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集成</w:t>
            </w:r>
          </w:p>
        </w:tc>
        <w:tc>
          <w:tcPr>
            <w:tcW w:w="6803" w:type="dxa"/>
          </w:tcPr>
          <w:p w14:paraId="7666E6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消息推送、定时任务、外部 HTTP/接口对接</w:t>
            </w:r>
          </w:p>
        </w:tc>
      </w:tr>
    </w:tbl>
    <w:p w14:paraId="2D335366">
      <w:pPr>
        <w:spacing w:after="40"/>
      </w:pPr>
    </w:p>
    <w:p w14:paraId="63192A33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2.4  与设计方案的对应关系</w:t>
      </w:r>
    </w:p>
    <w:p w14:paraId="43B59E31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技术方案的模块划分与《软件设计方案》四大子系统一一对应：后台对应业务服务与数据管理，大屏对应可视化展示，小程序对应移动端展示层，第三方对接对应集成层，确保两份文档范围一致、实现可追溯。</w:t>
      </w:r>
    </w:p>
    <w:p w14:paraId="6ECCA7A0">
      <w:r>
        <w:br w:type="page"/>
      </w:r>
    </w:p>
    <w:p w14:paraId="5F9B2C7A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3  部署架构</w:t>
      </w:r>
    </w:p>
    <w:p w14:paraId="15252E9C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3.1  部署拓扑</w:t>
      </w:r>
    </w:p>
    <w:p w14:paraId="032140F3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系统采用前后端分离部署：前端静态资源经反向代理提供服务，后端服务与数据库独立部署，集成层通过安全通道对接外部系统与设备。</w:t>
      </w:r>
    </w:p>
    <w:p w14:paraId="3970BB37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3.2 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2ADA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F112B0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环境</w:t>
            </w:r>
          </w:p>
        </w:tc>
        <w:tc>
          <w:tcPr>
            <w:tcW w:w="6520" w:type="dxa"/>
          </w:tcPr>
          <w:p w14:paraId="10701B8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用途</w:t>
            </w:r>
          </w:p>
        </w:tc>
      </w:tr>
      <w:tr w14:paraId="04B3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971CB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开发环境</w:t>
            </w:r>
          </w:p>
        </w:tc>
        <w:tc>
          <w:tcPr>
            <w:tcW w:w="6520" w:type="dxa"/>
          </w:tcPr>
          <w:p w14:paraId="49A3DE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功能开发与联调</w:t>
            </w:r>
          </w:p>
        </w:tc>
      </w:tr>
      <w:tr w14:paraId="02FF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A4EBB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测试环境</w:t>
            </w:r>
          </w:p>
        </w:tc>
        <w:tc>
          <w:tcPr>
            <w:tcW w:w="6520" w:type="dxa"/>
          </w:tcPr>
          <w:p w14:paraId="75BE14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功能、集成与验收测试</w:t>
            </w:r>
          </w:p>
        </w:tc>
      </w:tr>
      <w:tr w14:paraId="00FE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87ED9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生产环境</w:t>
            </w:r>
          </w:p>
        </w:tc>
        <w:tc>
          <w:tcPr>
            <w:tcW w:w="6520" w:type="dxa"/>
          </w:tcPr>
          <w:p w14:paraId="4F9AA7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正式对外提供服务</w:t>
            </w:r>
          </w:p>
        </w:tc>
      </w:tr>
    </w:tbl>
    <w:p w14:paraId="3737A8DA">
      <w:pPr>
        <w:spacing w:after="40"/>
      </w:pPr>
    </w:p>
    <w:p w14:paraId="00F59E69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3.3  高可用与备份</w:t>
      </w:r>
    </w:p>
    <w:p w14:paraId="7B316AE3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生产环境对数据库与关键服务采取必要的冗余与备份策略，定期备份业务数据，保障故障情况下可恢复。</w:t>
      </w:r>
    </w:p>
    <w:p w14:paraId="5745649B">
      <w:r>
        <w:br w:type="page"/>
      </w:r>
    </w:p>
    <w:p w14:paraId="64B75CDE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4  数据架构与库设计</w:t>
      </w:r>
    </w:p>
    <w:p w14:paraId="6017A1BA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4.1  数据架构概述</w:t>
      </w:r>
    </w:p>
    <w:p w14:paraId="0B7BBF74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数据层由业务数据库、缓存、文件/对象存储及时序/气象数据构成。业务数据库承载模型、因子、地块、植株、预警、用户、设备与资讯等核心实体。</w:t>
      </w:r>
    </w:p>
    <w:p w14:paraId="4100D616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4.2  核心数据实体</w:t>
      </w:r>
    </w:p>
    <w:p w14:paraId="74CE9321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模型与因子：生长/病虫害模型定义、因子采集与计算记录；</w:t>
      </w:r>
    </w:p>
    <w:p w14:paraId="42B38A5A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地块与植株：果园地块档案、植株生长档案与监测数据；</w:t>
      </w:r>
    </w:p>
    <w:p w14:paraId="39428C1A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预警：预警记录、规则、模板与处置记录；</w:t>
      </w:r>
    </w:p>
    <w:p w14:paraId="00733998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用户与设备：后台用户、微信用户、设备与果园绑定；</w:t>
      </w:r>
    </w:p>
    <w:p w14:paraId="12FE011E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资讯与价格：农技资讯、价格行情与物候等基础数据。</w:t>
      </w:r>
    </w:p>
    <w:p w14:paraId="7C61F70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4.3  主要数据表（示意）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F7E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9036D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分类</w:t>
            </w:r>
          </w:p>
        </w:tc>
        <w:tc>
          <w:tcPr>
            <w:tcW w:w="6803" w:type="dxa"/>
          </w:tcPr>
          <w:p w14:paraId="7E7C768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示例表</w:t>
            </w:r>
          </w:p>
        </w:tc>
      </w:tr>
      <w:tr w14:paraId="48C9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1FC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</w:t>
            </w:r>
          </w:p>
        </w:tc>
        <w:tc>
          <w:tcPr>
            <w:tcW w:w="6803" w:type="dxa"/>
          </w:tcPr>
          <w:p w14:paraId="75101B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生长模型表、病虫害模型表、因子采集表、模型计算日志表</w:t>
            </w:r>
          </w:p>
        </w:tc>
      </w:tr>
      <w:tr w14:paraId="7485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6F78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评价/预警</w:t>
            </w:r>
          </w:p>
        </w:tc>
        <w:tc>
          <w:tcPr>
            <w:tcW w:w="6803" w:type="dxa"/>
          </w:tcPr>
          <w:p w14:paraId="01E0AA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评价报告表、预警记录表、预警规则表、处置记录表</w:t>
            </w:r>
          </w:p>
        </w:tc>
      </w:tr>
      <w:tr w14:paraId="7640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369C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资源</w:t>
            </w:r>
          </w:p>
        </w:tc>
        <w:tc>
          <w:tcPr>
            <w:tcW w:w="6803" w:type="dxa"/>
          </w:tcPr>
          <w:p w14:paraId="3C7F94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地块表、植株表、病害库、虫害库、灾害库、品种库</w:t>
            </w:r>
          </w:p>
        </w:tc>
      </w:tr>
      <w:tr w14:paraId="7938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9E27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监测</w:t>
            </w:r>
          </w:p>
        </w:tc>
        <w:tc>
          <w:tcPr>
            <w:tcW w:w="6803" w:type="dxa"/>
          </w:tcPr>
          <w:p w14:paraId="0AE8E3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气象站点表、墒情表、视频设备表、价格表、物候表</w:t>
            </w:r>
          </w:p>
        </w:tc>
      </w:tr>
      <w:tr w14:paraId="569A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C82E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</w:t>
            </w:r>
          </w:p>
        </w:tc>
        <w:tc>
          <w:tcPr>
            <w:tcW w:w="6803" w:type="dxa"/>
          </w:tcPr>
          <w:p w14:paraId="1D2988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系统用户表、角色表、</w:t>
            </w:r>
            <w:r>
              <w:rPr>
                <w:rFonts w:hint="eastAsia"/>
                <w:b w:val="0"/>
                <w:color w:val="000000"/>
                <w:sz w:val="18"/>
                <w:lang w:val="en-US" w:eastAsia="zh-CN"/>
              </w:rPr>
              <w:t>农户</w:t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表、果园表</w:t>
            </w:r>
          </w:p>
        </w:tc>
      </w:tr>
    </w:tbl>
    <w:p w14:paraId="5C3EB9DC">
      <w:pPr>
        <w:spacing w:after="40"/>
      </w:pPr>
    </w:p>
    <w:p w14:paraId="6ABA045D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4.4  数据流转与存储</w:t>
      </w:r>
    </w:p>
    <w:p w14:paraId="15512081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外部数据与设备数据经集成层写入业务数据库，模型计算读取因子并写回评价与预警结果；图片等附件存入文件/对象存储，热点数据入缓存以提升访问效率。</w:t>
      </w:r>
    </w:p>
    <w:p w14:paraId="58A847F8">
      <w:r>
        <w:br w:type="page"/>
      </w:r>
    </w:p>
    <w:p w14:paraId="468F4538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5  接口与集成设计</w:t>
      </w:r>
    </w:p>
    <w:p w14:paraId="3507ED93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5.1  内部接口规范</w:t>
      </w:r>
    </w:p>
    <w:p w14:paraId="229A60F1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系统内部服务间及前后端之间通过 RESTful 风格接口通信，采用统一的请求/响应结构、状态码与鉴权方式，便于联调与维护。</w:t>
      </w:r>
    </w:p>
    <w:p w14:paraId="182A42F0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5.2  第三方对接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7B9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638F4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对接对象</w:t>
            </w:r>
          </w:p>
        </w:tc>
        <w:tc>
          <w:tcPr>
            <w:tcW w:w="6236" w:type="dxa"/>
          </w:tcPr>
          <w:p w14:paraId="7D64898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内容</w:t>
            </w:r>
          </w:p>
        </w:tc>
      </w:tr>
      <w:tr w14:paraId="4DC93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AEF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用户与单点登录</w:t>
            </w:r>
          </w:p>
        </w:tc>
        <w:tc>
          <w:tcPr>
            <w:tcW w:w="6236" w:type="dxa"/>
          </w:tcPr>
          <w:p w14:paraId="68A35F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用户体系打通、SSO 登录、消息回调与业务数据对接</w:t>
            </w:r>
          </w:p>
        </w:tc>
      </w:tr>
      <w:tr w14:paraId="57F1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C4F5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设备（IoT）</w:t>
            </w:r>
          </w:p>
        </w:tc>
        <w:tc>
          <w:tcPr>
            <w:tcW w:w="6236" w:type="dxa"/>
          </w:tcPr>
          <w:p w14:paraId="291577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多种类型设备的实时数据接入与设备管理</w:t>
            </w:r>
          </w:p>
        </w:tc>
      </w:tr>
      <w:tr w14:paraId="1D18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16B2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外部数据</w:t>
            </w:r>
          </w:p>
        </w:tc>
        <w:tc>
          <w:tcPr>
            <w:tcW w:w="6236" w:type="dxa"/>
          </w:tcPr>
          <w:p w14:paraId="2DF53B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气象局、农业大数据、价格行情、测报等系统数据抓取与对接</w:t>
            </w:r>
          </w:p>
        </w:tc>
      </w:tr>
    </w:tbl>
    <w:p w14:paraId="0AC05D45">
      <w:pPr>
        <w:spacing w:after="40"/>
      </w:pPr>
    </w:p>
    <w:p w14:paraId="27814F33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5.3  接口安全</w:t>
      </w:r>
    </w:p>
    <w:p w14:paraId="2A06AB29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对外接口需进行身份认证与权限校验，敏感数据传输加密，并对调用频率与异常访问做必要控制。</w:t>
      </w:r>
    </w:p>
    <w:p w14:paraId="06035DAD">
      <w:r>
        <w:br w:type="page"/>
      </w:r>
    </w:p>
    <w:p w14:paraId="4C90EF78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6  模型计算与算法实现</w:t>
      </w:r>
    </w:p>
    <w:p w14:paraId="6A62E6E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6.1  生长模型计算</w:t>
      </w:r>
    </w:p>
    <w:p w14:paraId="582CE79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生长模型以因子采集数据为输入，依次进行适宜度计算、门控判断、生长增量累计、扣分处理，最终形成综合评分。模型计算中心负责批量调度并保留计算日志，支持数据校准与参数微调。</w:t>
      </w:r>
    </w:p>
    <w:p w14:paraId="4D804FE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6.2  病虫害预测模型</w:t>
      </w:r>
    </w:p>
    <w:p w14:paraId="06E78F10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病虫害模型基于监测数据与配置的参数（阈值、预测参数）进行预测计算，输出风险等级与诊断结论，并生成预测报告与防控方案。</w:t>
      </w:r>
    </w:p>
    <w:p w14:paraId="3342E8D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6.3  AI 图像识别</w:t>
      </w:r>
    </w:p>
    <w:p w14:paraId="1EF9AFF9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针对农户拍照上传的病虫害图片，提供智能识别能力，返回病害/虫害名称、特征与防治建议，识别结果记入日志并支撑风险诊断。</w:t>
      </w:r>
    </w:p>
    <w:p w14:paraId="2B3696F5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6.4  计算调度</w:t>
      </w:r>
    </w:p>
    <w:p w14:paraId="5D26BCE1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模型计算以任务方式统一调度，计算过程可监控、可回溯，异常计算记录日志以便排查，保障评价与预警的时效性。</w:t>
      </w:r>
    </w:p>
    <w:p w14:paraId="0E03E555">
      <w:r>
        <w:br w:type="page"/>
      </w:r>
    </w:p>
    <w:p w14:paraId="3DDA458E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7  安全设计</w:t>
      </w:r>
    </w:p>
    <w:p w14:paraId="0BEAA4BE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7.1  身份认证与授权</w:t>
      </w:r>
    </w:p>
    <w:p w14:paraId="5ABF2E15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系统采用统一认证，后台与接口均需登录鉴权；结合 RBAC 实现菜单与操作级权限控制，第三方接入使用受控的凭证机制。</w:t>
      </w:r>
    </w:p>
    <w:p w14:paraId="6B2B1A9A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7.2  传输与存储安全</w:t>
      </w:r>
    </w:p>
    <w:p w14:paraId="22312E0A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关键链路采用加密传输，口令等敏感信息加密存储，文件与图片按权限受控访问。</w:t>
      </w:r>
    </w:p>
    <w:p w14:paraId="3DC28239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7.3  权限控制</w:t>
      </w:r>
    </w:p>
    <w:p w14:paraId="49B89ECB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后台管理端按角色分配菜单与操作权限，微信后台按用户隔离其果园与数据，确保数据“看得见的才可用”。</w:t>
      </w:r>
    </w:p>
    <w:p w14:paraId="3B1249E9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7.4  日志审计</w:t>
      </w:r>
    </w:p>
    <w:p w14:paraId="578732AC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对关键操作、登录与模型计算保留日志，支持事后审计与问题追溯。</w:t>
      </w:r>
    </w:p>
    <w:p w14:paraId="75EDCD90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7.5  数据安全合规</w:t>
      </w:r>
    </w:p>
    <w:p w14:paraId="271397DE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遵循相关数据安全和隐私保护要求，对个人信息与业务数据实行分级管理与最小必要使用。</w:t>
      </w:r>
    </w:p>
    <w:p w14:paraId="0620F6F7">
      <w:r>
        <w:br w:type="page"/>
      </w:r>
    </w:p>
    <w:p w14:paraId="5502F191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8  性能与可靠性</w:t>
      </w:r>
    </w:p>
    <w:p w14:paraId="46B591C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8.1  性能设计</w:t>
      </w:r>
    </w:p>
    <w:p w14:paraId="4239C858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通过前后端分离、缓存、异步计算与数据库优化等手段，保障日常业务并发下的操作响应与报表生成效率；具体性能指标在执行阶段结合实际规模确定。</w:t>
      </w:r>
    </w:p>
    <w:p w14:paraId="167D0FDF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8.2  可靠性与容灾</w:t>
      </w:r>
    </w:p>
    <w:p w14:paraId="0D9F3DA2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对关键服务与数据采取冗余、备份与恢复机制，配合监控告警，降低故障影响，保障业务连续性。</w:t>
      </w:r>
    </w:p>
    <w:p w14:paraId="74C00D96">
      <w:r>
        <w:br w:type="page"/>
      </w:r>
    </w:p>
    <w:p w14:paraId="33DB75F1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9  开发与交付方案</w:t>
      </w:r>
    </w:p>
    <w:p w14:paraId="1E935A7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9.1  开发语言与框架</w:t>
      </w:r>
    </w:p>
    <w:p w14:paraId="4A26DA1B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依据技术选型采用成熟的服务端语言与前端框架进行开发，代码结构清晰、分层合理，便于团队协作与后续维护。</w:t>
      </w:r>
    </w:p>
    <w:p w14:paraId="5CE06551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9.2  代码与配置管理</w:t>
      </w:r>
    </w:p>
    <w:p w14:paraId="45DC1659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使用版本控制系统管理源码，环境配置与代码分离，建立规范的分支与发布流程。</w:t>
      </w:r>
    </w:p>
    <w:p w14:paraId="6D73F324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9.3  测试策略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609C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AA851F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测试类型</w:t>
            </w:r>
          </w:p>
        </w:tc>
        <w:tc>
          <w:tcPr>
            <w:tcW w:w="6520" w:type="dxa"/>
          </w:tcPr>
          <w:p w14:paraId="23E6E3E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目的</w:t>
            </w:r>
          </w:p>
        </w:tc>
      </w:tr>
      <w:tr w14:paraId="1053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21C7B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w="6520" w:type="dxa"/>
          </w:tcPr>
          <w:p w14:paraId="77FC01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验证各模块逻辑正确性</w:t>
            </w:r>
          </w:p>
        </w:tc>
      </w:tr>
      <w:tr w14:paraId="1F8F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7459D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集成测试</w:t>
            </w:r>
          </w:p>
        </w:tc>
        <w:tc>
          <w:tcPr>
            <w:tcW w:w="6520" w:type="dxa"/>
          </w:tcPr>
          <w:p w14:paraId="253F20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验证服务间与内外接口协同</w:t>
            </w:r>
          </w:p>
        </w:tc>
      </w:tr>
      <w:tr w14:paraId="2113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3FAD7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验收测试</w:t>
            </w:r>
          </w:p>
        </w:tc>
        <w:tc>
          <w:tcPr>
            <w:tcW w:w="6520" w:type="dxa"/>
          </w:tcPr>
          <w:p w14:paraId="0A181E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对照功能清单核对实现范围</w:t>
            </w:r>
          </w:p>
        </w:tc>
      </w:tr>
    </w:tbl>
    <w:p w14:paraId="47054780">
      <w:pPr>
        <w:spacing w:after="40"/>
      </w:pPr>
    </w:p>
    <w:p w14:paraId="6E2D724B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9.4  交付物清单</w:t>
      </w:r>
    </w:p>
    <w:p w14:paraId="4E510CBE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可运行系统及部署说明；</w:t>
      </w:r>
    </w:p>
    <w:p w14:paraId="16B04684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数据字典与接口说明文档；</w:t>
      </w:r>
    </w:p>
    <w:p w14:paraId="23B029EA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用户操作手册；</w:t>
      </w:r>
    </w:p>
    <w:p w14:paraId="7649F168">
      <w:pPr>
        <w:spacing w:after="40" w:line="336" w:lineRule="auto"/>
        <w:ind w:left="454"/>
      </w:pPr>
      <w:r>
        <w:rPr>
          <w:rFonts w:ascii="宋体" w:hAnsi="宋体" w:eastAsia="宋体"/>
          <w:b w:val="0"/>
          <w:color w:val="000000"/>
          <w:sz w:val="21"/>
        </w:rPr>
        <w:t>• 必要的源码与构建产物。</w:t>
      </w:r>
    </w:p>
    <w:p w14:paraId="13D00CB2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9.5  实施里程碑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42F2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4801A8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阶段</w:t>
            </w:r>
          </w:p>
        </w:tc>
        <w:tc>
          <w:tcPr>
            <w:tcW w:w="6520" w:type="dxa"/>
          </w:tcPr>
          <w:p w14:paraId="481C41C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交付内容</w:t>
            </w:r>
          </w:p>
        </w:tc>
      </w:tr>
      <w:tr w14:paraId="11C6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DB601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需求与设计</w:t>
            </w:r>
          </w:p>
        </w:tc>
        <w:tc>
          <w:tcPr>
            <w:tcW w:w="6520" w:type="dxa"/>
          </w:tcPr>
          <w:p w14:paraId="77E89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需求确认、设计方案与技术方案</w:t>
            </w:r>
          </w:p>
        </w:tc>
      </w:tr>
      <w:tr w14:paraId="40DF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FC819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开发实现</w:t>
            </w:r>
          </w:p>
        </w:tc>
        <w:tc>
          <w:tcPr>
            <w:tcW w:w="6520" w:type="dxa"/>
          </w:tcPr>
          <w:p w14:paraId="5C40DB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各子系统功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能开发与联调</w:t>
            </w:r>
          </w:p>
        </w:tc>
      </w:tr>
      <w:tr w14:paraId="09EA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96237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测试验收</w:t>
            </w:r>
          </w:p>
        </w:tc>
        <w:tc>
          <w:tcPr>
            <w:tcW w:w="6520" w:type="dxa"/>
          </w:tcPr>
          <w:p w14:paraId="524795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测试、试点与验收</w:t>
            </w:r>
          </w:p>
        </w:tc>
      </w:tr>
      <w:tr w14:paraId="0DD0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CCE12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上线运维</w:t>
            </w:r>
          </w:p>
        </w:tc>
        <w:tc>
          <w:tcPr>
            <w:tcW w:w="6520" w:type="dxa"/>
          </w:tcPr>
          <w:p w14:paraId="52A211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正式上线、培训与运维支持</w:t>
            </w:r>
          </w:p>
        </w:tc>
      </w:tr>
    </w:tbl>
    <w:p w14:paraId="267FB021">
      <w:pPr>
        <w:spacing w:after="40"/>
      </w:pPr>
    </w:p>
    <w:p w14:paraId="65716B09">
      <w:r>
        <w:br w:type="page"/>
      </w:r>
    </w:p>
    <w:p w14:paraId="5684EB93">
      <w:pPr>
        <w:spacing w:before="160" w:after="80" w:line="312" w:lineRule="auto"/>
      </w:pPr>
      <w:r>
        <w:rPr>
          <w:rFonts w:ascii="黑体" w:hAnsi="黑体" w:eastAsia="黑体"/>
          <w:b/>
          <w:color w:val="000000"/>
          <w:sz w:val="30"/>
        </w:rPr>
        <w:t>10  运维与培训</w:t>
      </w:r>
    </w:p>
    <w:p w14:paraId="24436898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10.1  运维监控</w:t>
      </w:r>
    </w:p>
    <w:p w14:paraId="501ADC80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对服务运行状态、接口调用与关键资源进行监控，出现异常及时告警，定期开展数据备份与健康检查。</w:t>
      </w:r>
    </w:p>
    <w:p w14:paraId="5E76B60C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10.2  用户培训</w:t>
      </w:r>
    </w:p>
    <w:p w14:paraId="344D8474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面向管理员与业务人员提供后台与大屏的操作培训，面向农户提供小程序使用引导，配套操作手册。</w:t>
      </w:r>
    </w:p>
    <w:p w14:paraId="3DCFBD7D">
      <w:pPr>
        <w:spacing w:before="120" w:after="80" w:line="312" w:lineRule="auto"/>
      </w:pPr>
      <w:r>
        <w:rPr>
          <w:rFonts w:ascii="黑体" w:hAnsi="黑体" w:eastAsia="黑体"/>
          <w:b/>
          <w:color w:val="000000"/>
          <w:sz w:val="25"/>
        </w:rPr>
        <w:t>10.3  技术支持</w:t>
      </w:r>
    </w:p>
    <w:p w14:paraId="0F7E9E87">
      <w:pPr>
        <w:spacing w:before="0" w:after="80" w:line="360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提供约定周期内的技术支持与问题响应，保障系统稳定运行与持续优化。</w:t>
      </w:r>
    </w:p>
    <w:sectPr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E428B4"/>
    <w:rsid w:val="193A32DB"/>
    <w:rsid w:val="306F4994"/>
    <w:rsid w:val="38E95576"/>
    <w:rsid w:val="4F603986"/>
    <w:rsid w:val="54C3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3128</Words>
  <Characters>3262</Characters>
  <Lines>0</Lines>
  <Paragraphs>0</Paragraphs>
  <TotalTime>1</TotalTime>
  <ScaleCrop>false</ScaleCrop>
  <LinksUpToDate>false</LinksUpToDate>
  <CharactersWithSpaces>3422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刘友宝</cp:lastModifiedBy>
  <dcterms:modified xsi:type="dcterms:W3CDTF">2026-08-24T02:50:26Z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eyJoZGlkIjoiZWZhMTdkYjEwNzZkNWY5OWRhZDNlY2EwYzgwNGEwNTMiLCJ1c2VySWQiOiIyNjEwMTA1MzQifQ==</vt:lpwstr>
  </property>
  <property fmtid="{D5CDD505-2E9C-101B-9397-08002B2CF9AE}" pid="3" name="KSOProductBuildVer">
    <vt:lpwstr>2052-12.1.0.28022</vt:lpwstr>
  </property>
  <property fmtid="{D5CDD505-2E9C-101B-9397-08002B2CF9AE}" pid="4" name="ICV">
    <vt:lpwstr>F1CA023A029E48CD85605012D7D4D47A_12</vt:lpwstr>
  </property>
</Properties>
</file>