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AC49FE2">
      <w:pPr>
        <w:spacing w:after="60"/>
        <w:jc w:val="center"/>
        <w:rPr>
          <w:rFonts w:hint="eastAsia" w:ascii="华文中宋" w:hAnsi="华文中宋" w:eastAsia="华文中宋" w:cs="华文中宋"/>
          <w:sz w:val="36"/>
          <w:szCs w:val="36"/>
        </w:rPr>
      </w:pPr>
      <w:r>
        <w:rPr>
          <w:rFonts w:hint="eastAsia" w:ascii="华文中宋" w:hAnsi="华文中宋" w:eastAsia="华文中宋" w:cs="华文中宋"/>
          <w:b w:val="0"/>
          <w:sz w:val="36"/>
          <w:szCs w:val="36"/>
        </w:rPr>
        <w:t>南丰县蜜桔全产业链智慧建设项目</w:t>
      </w:r>
    </w:p>
    <w:p w14:paraId="0E95A882">
      <w:pPr>
        <w:spacing w:after="60"/>
        <w:jc w:val="center"/>
        <w:rPr>
          <w:rFonts w:hint="eastAsia" w:ascii="华文中宋" w:hAnsi="华文中宋" w:eastAsia="华文中宋" w:cs="华文中宋"/>
          <w:sz w:val="36"/>
          <w:szCs w:val="36"/>
        </w:rPr>
      </w:pPr>
      <w:r>
        <w:rPr>
          <w:rFonts w:hint="eastAsia" w:ascii="华文中宋" w:hAnsi="华文中宋" w:eastAsia="华文中宋" w:cs="华文中宋"/>
          <w:b w:val="0"/>
          <w:sz w:val="36"/>
          <w:szCs w:val="36"/>
        </w:rPr>
        <w:t>整改方案</w:t>
      </w:r>
    </w:p>
    <w:p w14:paraId="17A53F92">
      <w:pPr>
        <w:spacing w:line="360" w:lineRule="auto"/>
        <w:ind w:firstLine="420"/>
      </w:pPr>
      <w:r>
        <w:rPr>
          <w:rFonts w:ascii="宋体" w:hAnsi="宋体" w:eastAsia="宋体"/>
          <w:b w:val="0"/>
          <w:sz w:val="24"/>
        </w:rPr>
        <w:t>根据《关于南丰县蜜桔全产</w:t>
      </w:r>
      <w:bookmarkStart w:id="0" w:name="_GoBack"/>
      <w:bookmarkEnd w:id="0"/>
      <w:r>
        <w:rPr>
          <w:rFonts w:ascii="宋体" w:hAnsi="宋体" w:eastAsia="宋体"/>
          <w:b w:val="0"/>
          <w:sz w:val="24"/>
        </w:rPr>
        <w:t>业链智慧建设项目技术审查的情况说明》提出的整改意见，结合项目实际建设范围，本次整改坚持充分利用现有平台、设备和数据，不新建独立平台、不大规模新增物联网设备，重点完善生长模型、病虫害模型和销售数据收集三项功能，形成如下整改方案。</w:t>
      </w:r>
    </w:p>
    <w:p w14:paraId="73B84325">
      <w:pPr>
        <w:spacing w:line="360" w:lineRule="auto"/>
        <w:ind w:firstLine="420"/>
      </w:pPr>
      <w:r>
        <w:rPr>
          <w:rFonts w:ascii="宋体" w:hAnsi="宋体" w:eastAsia="宋体"/>
          <w:b w:val="0"/>
          <w:sz w:val="24"/>
        </w:rPr>
        <w:t>本次整改以现有模型管理系统后台、模型监测大屏、蜜桔农业助手和第三方对接能力为建设基础，主要对现有功能进行补充、整合和打通。</w:t>
      </w:r>
    </w:p>
    <w:p w14:paraId="7EC611A7">
      <w:pPr>
        <w:spacing w:before="160" w:after="40"/>
      </w:pPr>
      <w:r>
        <w:rPr>
          <w:rFonts w:ascii="黑体" w:hAnsi="黑体" w:eastAsia="黑体"/>
          <w:b w:val="0"/>
          <w:sz w:val="24"/>
        </w:rPr>
        <w:t>一、整改方向</w:t>
      </w:r>
    </w:p>
    <w:p w14:paraId="3DB683A0">
      <w:pPr>
        <w:spacing w:before="80" w:after="40"/>
      </w:pPr>
      <w:r>
        <w:rPr>
          <w:rFonts w:ascii="黑体" w:hAnsi="黑体" w:eastAsia="黑体"/>
          <w:b w:val="0"/>
          <w:sz w:val="24"/>
        </w:rPr>
        <w:t>（一）完善生长模型</w:t>
      </w:r>
    </w:p>
    <w:p w14:paraId="167D69E1">
      <w:pPr>
        <w:spacing w:line="360" w:lineRule="auto"/>
        <w:ind w:firstLine="420"/>
      </w:pPr>
      <w:r>
        <w:rPr>
          <w:rFonts w:ascii="宋体" w:hAnsi="宋体" w:eastAsia="宋体" w:cs="宋体"/>
          <w:sz w:val="24"/>
          <w:szCs w:val="24"/>
        </w:rPr>
        <w:t>完善南丰蜜桔综合生长评价模型，结合蜜桔品种、生长阶段、果园环境和生产管理等相关信息，对植株生长情况进行综合分析。通过模型应用形成生长状况评价和相应的生产管理建议，为果园日常管理和农事安排提供辅助参考</w:t>
      </w:r>
      <w:r>
        <w:rPr>
          <w:rFonts w:ascii="宋体" w:hAnsi="宋体" w:eastAsia="宋体"/>
          <w:b w:val="0"/>
          <w:sz w:val="24"/>
        </w:rPr>
        <w:t>。</w:t>
      </w:r>
    </w:p>
    <w:p w14:paraId="15C697BB">
      <w:pPr>
        <w:spacing w:before="80" w:after="40"/>
      </w:pPr>
      <w:r>
        <w:rPr>
          <w:rFonts w:ascii="黑体" w:hAnsi="黑体" w:eastAsia="黑体"/>
          <w:b w:val="0"/>
          <w:sz w:val="24"/>
        </w:rPr>
        <w:t>（二）完善病虫害模型</w:t>
      </w:r>
    </w:p>
    <w:p w14:paraId="538E0AC1">
      <w:pPr>
        <w:spacing w:line="360" w:lineRule="auto"/>
        <w:ind w:firstLine="420"/>
      </w:pPr>
      <w:r>
        <w:rPr>
          <w:rFonts w:ascii="宋体" w:hAnsi="宋体" w:eastAsia="宋体"/>
          <w:b w:val="0"/>
          <w:sz w:val="24"/>
        </w:rPr>
        <w:t>重点完善南丰蜜桔常见病虫害的风险预警和图片辅助识别功能。系统结合近期天气、果园温湿度、生长阶段和历史发生记录，对</w:t>
      </w:r>
      <w:r>
        <w:rPr>
          <w:rFonts w:hint="eastAsia"/>
          <w:b w:val="0"/>
          <w:sz w:val="24"/>
          <w:lang w:val="en-US" w:eastAsia="zh-CN"/>
        </w:rPr>
        <w:t>黄龙病、</w:t>
      </w:r>
      <w:r>
        <w:rPr>
          <w:rFonts w:ascii="宋体" w:hAnsi="宋体" w:eastAsia="宋体"/>
          <w:b w:val="0"/>
          <w:sz w:val="24"/>
        </w:rPr>
        <w:t>炭疽病、黑点病、疮痂病、红蜘蛛、柑桔木虱等主要病虫害进行低、中、高三级风险提示。</w:t>
      </w:r>
      <w:r>
        <w:rPr>
          <w:rFonts w:hint="eastAsia"/>
          <w:b w:val="0"/>
          <w:sz w:val="24"/>
          <w:lang w:val="en-US" w:eastAsia="zh-CN"/>
        </w:rPr>
        <w:t>同时</w:t>
      </w:r>
      <w:r>
        <w:rPr>
          <w:rFonts w:ascii="宋体" w:hAnsi="宋体" w:eastAsia="宋体"/>
          <w:b w:val="0"/>
          <w:sz w:val="24"/>
        </w:rPr>
        <w:t>果农可上传叶片、枝条、果实和虫体图片，系统输出疑似病虫害名称、识别置信度、严重程度和处理建议。对识别置信度较低或无法准确判断的结果，提示由农技人员进行复核。</w:t>
      </w:r>
    </w:p>
    <w:p w14:paraId="4152E458">
      <w:pPr>
        <w:spacing w:before="80" w:after="40"/>
      </w:pPr>
      <w:r>
        <w:rPr>
          <w:rFonts w:ascii="黑体" w:hAnsi="黑体" w:eastAsia="黑体"/>
          <w:b w:val="0"/>
          <w:sz w:val="24"/>
        </w:rPr>
        <w:t>（三）完善销售数据收集</w:t>
      </w:r>
    </w:p>
    <w:p w14:paraId="183E3F25">
      <w:pPr>
        <w:spacing w:line="360" w:lineRule="auto"/>
        <w:ind w:firstLine="420"/>
      </w:pPr>
      <w:r>
        <w:rPr>
          <w:rFonts w:ascii="宋体" w:hAnsi="宋体" w:eastAsia="宋体"/>
          <w:b w:val="0"/>
          <w:sz w:val="24"/>
        </w:rPr>
        <w:t>建设销售和市场数据采集统计功能，主要采集销售主体、所在乡镇、销售时间、蜜桔品种和等级、销售数量、销售价格、销售金额、销售渠道、主要销售地区和当前库存等内部填报信息，同时采集公开网站发布的蜜桔价格、市场行情、交易动态和产销信息。</w:t>
      </w:r>
    </w:p>
    <w:p w14:paraId="71D0F886">
      <w:pPr>
        <w:spacing w:before="160" w:after="40"/>
        <w:rPr>
          <w:rFonts w:ascii="黑体" w:hAnsi="黑体" w:eastAsia="黑体"/>
          <w:b w:val="0"/>
          <w:sz w:val="24"/>
        </w:rPr>
      </w:pPr>
    </w:p>
    <w:p w14:paraId="67930DD5">
      <w:pPr>
        <w:spacing w:before="160" w:after="40"/>
      </w:pPr>
      <w:r>
        <w:rPr>
          <w:rFonts w:ascii="黑体" w:hAnsi="黑体" w:eastAsia="黑体"/>
          <w:b w:val="0"/>
          <w:sz w:val="24"/>
        </w:rPr>
        <w:t>二、整改具体内容（实施方案）</w:t>
      </w:r>
    </w:p>
    <w:p w14:paraId="57C7CDEC">
      <w:pPr>
        <w:spacing w:before="80" w:after="40"/>
      </w:pPr>
      <w:r>
        <w:rPr>
          <w:rFonts w:ascii="黑体" w:hAnsi="黑体" w:eastAsia="黑体"/>
          <w:b w:val="0"/>
          <w:sz w:val="24"/>
        </w:rPr>
        <w:t>（一）生长模型建设</w:t>
      </w:r>
    </w:p>
    <w:p w14:paraId="21B634C3">
      <w:pPr>
        <w:spacing w:line="360" w:lineRule="auto"/>
        <w:ind w:firstLine="420"/>
      </w:pPr>
      <w:r>
        <w:rPr>
          <w:rFonts w:ascii="宋体" w:hAnsi="宋体" w:eastAsia="宋体"/>
          <w:b w:val="0"/>
          <w:sz w:val="24"/>
        </w:rPr>
        <w:t>围绕生长模型应用，重点完善模型说明、基础档案、因子采集、模型计算、诊断分析、农事建议和评价报告等功能。基础档案用于维护品系、地块和生长阶段；因子采集用于接收现有物联网数据、人工采样和农事记录；模型计算采用适宜度、阈值门控、扣分和综合评分方法；诊断分析用于展示综合评分、各类因子和扣分来源。</w:t>
      </w:r>
    </w:p>
    <w:p w14:paraId="6FE9D7BE">
      <w:pPr>
        <w:spacing w:line="360" w:lineRule="auto"/>
        <w:ind w:firstLine="420"/>
      </w:pPr>
      <w:r>
        <w:rPr>
          <w:rFonts w:ascii="宋体" w:hAnsi="宋体" w:eastAsia="宋体"/>
          <w:b w:val="0"/>
          <w:sz w:val="24"/>
        </w:rPr>
        <w:t>模型输入主要包括品种、树龄、生长阶段、空气温湿度、土壤水分、土壤温度、光照、降雨、植株长势以及灌溉、施肥、修剪等农事记录。模型运行后输出综合评分、生长状态等级、主要扣分项、问题原因、农事建议和建议处理时间。数据校准只提供必要的参数调整和日志记录，不建设复杂的自动学习平台。</w:t>
      </w:r>
    </w:p>
    <w:p w14:paraId="78C960FB">
      <w:pPr>
        <w:spacing w:before="80" w:after="40"/>
      </w:pPr>
      <w:r>
        <w:rPr>
          <w:rFonts w:ascii="黑体" w:hAnsi="黑体" w:eastAsia="黑体"/>
          <w:b w:val="0"/>
          <w:sz w:val="24"/>
        </w:rPr>
        <w:t>（二）病虫害模型建设</w:t>
      </w:r>
    </w:p>
    <w:p w14:paraId="60200544">
      <w:pPr>
        <w:spacing w:line="360" w:lineRule="auto"/>
        <w:ind w:firstLine="420"/>
      </w:pPr>
      <w:r>
        <w:rPr>
          <w:rFonts w:ascii="宋体" w:hAnsi="宋体" w:eastAsia="宋体"/>
          <w:b w:val="0"/>
          <w:sz w:val="24"/>
        </w:rPr>
        <w:t>围绕病虫害模型应用，重点完善模型说明、监测数据、参数配置、预测计算、风险诊断、预测报告和防控建议等功能。选择生产中常见的5—8类病虫害，结合未来3天、7天天气预报和现有果园监测数据，输出风险等级、主要风险原因和巡查建议。</w:t>
      </w:r>
    </w:p>
    <w:p w14:paraId="493403A1">
      <w:pPr>
        <w:spacing w:line="360" w:lineRule="auto"/>
        <w:ind w:firstLine="420"/>
      </w:pPr>
      <w:r>
        <w:rPr>
          <w:rFonts w:ascii="宋体" w:hAnsi="宋体" w:eastAsia="宋体"/>
          <w:b w:val="0"/>
          <w:sz w:val="24"/>
        </w:rPr>
        <w:t>在现有数据管理功能中整理病害、虫害和气象灾害基础信息，并与预警管理中的预警规则、预警信息和处置记录关联。同时完善蜜桔农业助手中的图片上传和AI辅助识别功能，将识别结果、图片、时间和处置情况保存到识别日志。本次整改不建设覆盖全部病虫害的大规模人工智能训练平台。</w:t>
      </w:r>
    </w:p>
    <w:p w14:paraId="543EC96E">
      <w:pPr>
        <w:spacing w:before="80" w:after="40"/>
      </w:pPr>
      <w:r>
        <w:rPr>
          <w:rFonts w:ascii="黑体" w:hAnsi="黑体" w:eastAsia="黑体"/>
          <w:b w:val="0"/>
          <w:sz w:val="24"/>
        </w:rPr>
        <w:t>（三）销售及市场数据采集建设</w:t>
      </w:r>
    </w:p>
    <w:p w14:paraId="7BAFBB6E">
      <w:pPr>
        <w:spacing w:line="360" w:lineRule="auto"/>
        <w:ind w:firstLine="420"/>
      </w:pPr>
      <w:r>
        <w:rPr>
          <w:rFonts w:ascii="宋体" w:hAnsi="宋体" w:eastAsia="宋体"/>
          <w:b w:val="0"/>
          <w:sz w:val="24"/>
        </w:rPr>
        <w:t>围绕价格数据库、销售数据库、人工上报、外部数据采集和移动端价格行情等应用，完善销售数据填报、表格导入、后台管理、公开网站采集、价格展示和基础统计。果园、合作社或乡镇根据实际情况填报，系统自动汇总形成销售数量、销售价格、销售渠道、销售区域和库存情况。</w:t>
      </w:r>
    </w:p>
    <w:p w14:paraId="461EBF68">
      <w:pPr>
        <w:spacing w:line="360" w:lineRule="auto"/>
        <w:ind w:firstLine="420"/>
      </w:pPr>
      <w:r>
        <w:rPr>
          <w:rFonts w:ascii="宋体" w:hAnsi="宋体" w:eastAsia="宋体"/>
          <w:b w:val="0"/>
          <w:sz w:val="24"/>
        </w:rPr>
        <w:t>建设轻量化公开网站数据采集功能，选择若干具备公开访问条件的政府信息网站、农产品批发市场网站、行业信息网站及电商公开页面作为数据源，定时采集蜜桔及相关柑橘产品的最高价、最低价、平均价、市场名称、产地、规格、发布日期以及公开的交易和产销信息。系统保存数据来源和采集时间，并进行格式转换、清洗、去重和异常值处理。</w:t>
      </w:r>
    </w:p>
    <w:p w14:paraId="711D0BAA">
      <w:pPr>
        <w:spacing w:before="80" w:after="40"/>
      </w:pPr>
      <w:r>
        <w:rPr>
          <w:rFonts w:ascii="黑体" w:hAnsi="黑体" w:eastAsia="黑体"/>
          <w:b w:val="0"/>
          <w:sz w:val="24"/>
        </w:rPr>
        <w:t>（四）后台、大屏和移动端功能整合</w:t>
      </w:r>
    </w:p>
    <w:p w14:paraId="1159054E">
      <w:pPr>
        <w:spacing w:line="360" w:lineRule="auto"/>
        <w:ind w:firstLine="420"/>
      </w:pPr>
      <w:r>
        <w:rPr>
          <w:rFonts w:ascii="宋体" w:hAnsi="宋体" w:eastAsia="宋体"/>
          <w:b w:val="0"/>
          <w:sz w:val="24"/>
        </w:rPr>
        <w:t>所有整改功能均整合到现有平台，不再新建独立系统。模型管理后台保留系统首页、登录认证、用户权限、模型管理、数据管理和预警管理等基础功能；生长模型大屏重点展示核心指标、环境监测、综合评分、农事建议和执行情况；病虫害模型大屏重点展示风险等级、预警信息、识别记录、气象数据和防护建议。</w:t>
      </w:r>
    </w:p>
    <w:p w14:paraId="6FD03113">
      <w:pPr>
        <w:spacing w:line="360" w:lineRule="auto"/>
        <w:ind w:firstLine="420"/>
      </w:pPr>
      <w:r>
        <w:rPr>
          <w:rFonts w:ascii="宋体" w:hAnsi="宋体" w:eastAsia="宋体"/>
          <w:b w:val="0"/>
          <w:sz w:val="24"/>
        </w:rPr>
        <w:t>蜜桔农业助手重点完善AI智能识别、病虫害知识、生长指标录入、综合评价报告、环境监测、数据上报、我的果园、价格行情、消息和报告查询等实用功能。</w:t>
      </w:r>
    </w:p>
    <w:p w14:paraId="1C43818E">
      <w:pPr>
        <w:spacing w:before="80" w:after="40"/>
      </w:pPr>
      <w:r>
        <w:rPr>
          <w:rFonts w:ascii="黑体" w:hAnsi="黑体" w:eastAsia="黑体"/>
          <w:b w:val="0"/>
          <w:sz w:val="24"/>
        </w:rPr>
        <w:t>（五）第三方数据对接</w:t>
      </w:r>
    </w:p>
    <w:p w14:paraId="45A544CC">
      <w:pPr>
        <w:spacing w:line="360" w:lineRule="auto"/>
        <w:ind w:firstLine="420"/>
      </w:pPr>
      <w:r>
        <w:rPr>
          <w:rFonts w:ascii="宋体" w:hAnsi="宋体" w:eastAsia="宋体"/>
          <w:b w:val="0"/>
          <w:sz w:val="24"/>
        </w:rPr>
        <w:t>保留用户单点登录和设备数据对接能力。对现有气象站、墒情站和视频设备进行数据接入梳理，能够直接使用现有接口的予以接入。</w:t>
      </w:r>
    </w:p>
    <w:p w14:paraId="141C5AFC">
      <w:pPr>
        <w:spacing w:before="80" w:after="40"/>
      </w:pPr>
      <w:r>
        <w:rPr>
          <w:rFonts w:ascii="黑体" w:hAnsi="黑体" w:eastAsia="黑体"/>
          <w:b w:val="0"/>
          <w:sz w:val="24"/>
        </w:rPr>
        <w:t>（六）试点应用与验收</w:t>
      </w:r>
    </w:p>
    <w:p w14:paraId="33D9EE4E">
      <w:pPr>
        <w:spacing w:line="360" w:lineRule="auto"/>
        <w:ind w:firstLine="420"/>
      </w:pPr>
      <w:r>
        <w:rPr>
          <w:rFonts w:ascii="宋体" w:hAnsi="宋体" w:eastAsia="宋体"/>
          <w:b w:val="0"/>
          <w:sz w:val="24"/>
        </w:rPr>
        <w:t>选择少量具有代表性的果园进行试运行，邀请农技人员对评分结果、病虫害预警和农事建议进行确认，并根据试运行情况对指标范围和建议规则进行调整。项目建设周期控制在</w:t>
      </w:r>
      <w:r>
        <w:rPr>
          <w:rFonts w:hint="eastAsia"/>
          <w:b w:val="0"/>
          <w:sz w:val="24"/>
          <w:lang w:val="en-US" w:eastAsia="zh-CN"/>
        </w:rPr>
        <w:t>2</w:t>
      </w:r>
      <w:r>
        <w:rPr>
          <w:rFonts w:ascii="宋体" w:hAnsi="宋体" w:eastAsia="宋体"/>
          <w:b w:val="0"/>
          <w:sz w:val="24"/>
        </w:rPr>
        <w:t>—</w:t>
      </w:r>
      <w:r>
        <w:rPr>
          <w:rFonts w:hint="eastAsia"/>
          <w:b w:val="0"/>
          <w:sz w:val="24"/>
          <w:lang w:val="en-US" w:eastAsia="zh-CN"/>
        </w:rPr>
        <w:t>3</w:t>
      </w:r>
      <w:r>
        <w:rPr>
          <w:rFonts w:ascii="宋体" w:hAnsi="宋体" w:eastAsia="宋体"/>
          <w:b w:val="0"/>
          <w:sz w:val="24"/>
        </w:rPr>
        <w:t>个月，完成系统测试、人员培训和验收资料编制后上线使用。</w:t>
      </w:r>
    </w:p>
    <w:p w14:paraId="7CA48F55">
      <w:pPr>
        <w:spacing w:before="160" w:after="40"/>
      </w:pPr>
      <w:r>
        <w:rPr>
          <w:rFonts w:ascii="黑体" w:hAnsi="黑体" w:eastAsia="黑体"/>
          <w:b w:val="0"/>
          <w:sz w:val="24"/>
        </w:rPr>
        <w:t>三、需要政府层面配合的工作</w:t>
      </w:r>
    </w:p>
    <w:p w14:paraId="78142C56">
      <w:pPr>
        <w:spacing w:before="80" w:after="40"/>
      </w:pPr>
      <w:r>
        <w:rPr>
          <w:rFonts w:ascii="黑体" w:hAnsi="黑体" w:eastAsia="黑体"/>
          <w:b w:val="0"/>
          <w:sz w:val="24"/>
        </w:rPr>
        <w:t>（一）协调提供现有平台和数据资源</w:t>
      </w:r>
    </w:p>
    <w:p w14:paraId="1E2ADDEA">
      <w:pPr>
        <w:spacing w:line="360" w:lineRule="auto"/>
        <w:ind w:firstLine="420"/>
      </w:pPr>
      <w:r>
        <w:rPr>
          <w:rFonts w:ascii="宋体" w:hAnsi="宋体" w:eastAsia="宋体"/>
          <w:b w:val="0"/>
          <w:sz w:val="24"/>
        </w:rPr>
        <w:t>协调相关部门，向项目实施单位提供整改所需的系统资料、数据资源和必要的使用权限，保证现有数据能够用于模型建设、系统联调和试点验证。</w:t>
      </w:r>
    </w:p>
    <w:p w14:paraId="6639755E">
      <w:pPr>
        <w:spacing w:line="360" w:lineRule="auto"/>
        <w:ind w:left="420" w:hanging="420"/>
      </w:pPr>
      <w:r>
        <w:rPr>
          <w:rFonts w:hint="eastAsia"/>
          <w:b w:val="0"/>
          <w:sz w:val="24"/>
          <w:lang w:val="en-US" w:eastAsia="zh-CN"/>
        </w:rPr>
        <w:t>1</w:t>
      </w:r>
      <w:r>
        <w:rPr>
          <w:rFonts w:ascii="宋体" w:hAnsi="宋体" w:eastAsia="宋体"/>
          <w:b w:val="0"/>
          <w:sz w:val="24"/>
        </w:rPr>
        <w:t>. 提供已建设的气象站、土壤墒情站、视频监控等物联网设备清单，包括设备类型、安装位置、在线状态和数据接口情况；</w:t>
      </w:r>
    </w:p>
    <w:p w14:paraId="1724575A">
      <w:pPr>
        <w:spacing w:line="360" w:lineRule="auto"/>
        <w:ind w:left="420" w:hanging="420"/>
      </w:pPr>
      <w:r>
        <w:rPr>
          <w:rFonts w:hint="eastAsia"/>
          <w:b w:val="0"/>
          <w:sz w:val="24"/>
          <w:lang w:val="en-US" w:eastAsia="zh-CN"/>
        </w:rPr>
        <w:t>2</w:t>
      </w:r>
      <w:r>
        <w:rPr>
          <w:rFonts w:ascii="宋体" w:hAnsi="宋体" w:eastAsia="宋体"/>
          <w:b w:val="0"/>
          <w:sz w:val="24"/>
        </w:rPr>
        <w:t>. 协调提供可依法使用的气象、农业、果园、地块、品种、树龄、病虫害、农事作业、产量、品质和销售等现有数据；</w:t>
      </w:r>
    </w:p>
    <w:p w14:paraId="363B31A4">
      <w:pPr>
        <w:spacing w:line="360" w:lineRule="auto"/>
        <w:ind w:left="420" w:hanging="420"/>
      </w:pPr>
      <w:r>
        <w:rPr>
          <w:rFonts w:hint="eastAsia"/>
          <w:b w:val="0"/>
          <w:sz w:val="24"/>
          <w:lang w:val="en-US" w:eastAsia="zh-CN"/>
        </w:rPr>
        <w:t>3</w:t>
      </w:r>
      <w:r>
        <w:rPr>
          <w:rFonts w:ascii="宋体" w:hAnsi="宋体" w:eastAsia="宋体"/>
          <w:b w:val="0"/>
          <w:sz w:val="24"/>
        </w:rPr>
        <w:t>. 对现有数据存在缺失、重复、标准不一致或无法读取等问题的，协调原建设或运维单位配合处理；</w:t>
      </w:r>
    </w:p>
    <w:p w14:paraId="08B6A4EF">
      <w:pPr>
        <w:spacing w:line="360" w:lineRule="auto"/>
        <w:ind w:left="420" w:hanging="420"/>
      </w:pPr>
      <w:r>
        <w:rPr>
          <w:rFonts w:hint="eastAsia"/>
          <w:b w:val="0"/>
          <w:sz w:val="24"/>
          <w:lang w:val="en-US" w:eastAsia="zh-CN"/>
        </w:rPr>
        <w:t>4</w:t>
      </w:r>
      <w:r>
        <w:rPr>
          <w:rFonts w:ascii="宋体" w:hAnsi="宋体" w:eastAsia="宋体"/>
          <w:b w:val="0"/>
          <w:sz w:val="24"/>
        </w:rPr>
        <w:t>. 对暂时无法通过接口获取的数据，明确是否采用人工录入、表格导入等替代方式。</w:t>
      </w:r>
    </w:p>
    <w:p w14:paraId="4B40DD0F">
      <w:pPr>
        <w:spacing w:before="80" w:after="40"/>
        <w:rPr>
          <w:rFonts w:hint="eastAsia" w:eastAsia="黑体"/>
          <w:lang w:eastAsia="zh-CN"/>
        </w:rPr>
      </w:pPr>
      <w:r>
        <w:rPr>
          <w:rFonts w:ascii="黑体" w:hAnsi="黑体" w:eastAsia="黑体"/>
          <w:b w:val="0"/>
          <w:sz w:val="24"/>
        </w:rPr>
        <w:t>（二）协调农业技术人员参与模型</w:t>
      </w:r>
      <w:r>
        <w:rPr>
          <w:rFonts w:hint="eastAsia" w:ascii="黑体" w:hAnsi="黑体" w:eastAsia="黑体"/>
          <w:b w:val="0"/>
          <w:sz w:val="24"/>
          <w:lang w:val="en-US" w:eastAsia="zh-CN"/>
        </w:rPr>
        <w:t>建设</w:t>
      </w:r>
    </w:p>
    <w:p w14:paraId="646D6000">
      <w:pPr>
        <w:spacing w:line="360" w:lineRule="auto"/>
        <w:ind w:firstLine="420"/>
      </w:pPr>
      <w:r>
        <w:rPr>
          <w:rFonts w:ascii="宋体" w:hAnsi="宋体" w:eastAsia="宋体"/>
          <w:b w:val="0"/>
          <w:sz w:val="24"/>
        </w:rPr>
        <w:t>生长评价、病虫害判断和农事建议需要符合南丰蜜桔实际生产情况，应协调农业农村部门安排农技人员参与模型内容审核和试运行结果确认。</w:t>
      </w:r>
    </w:p>
    <w:p w14:paraId="05427C0A">
      <w:pPr>
        <w:spacing w:line="360" w:lineRule="auto"/>
        <w:ind w:left="420" w:hanging="420"/>
      </w:pPr>
      <w:r>
        <w:rPr>
          <w:rFonts w:ascii="宋体" w:hAnsi="宋体" w:eastAsia="宋体"/>
          <w:b w:val="0"/>
          <w:sz w:val="24"/>
        </w:rPr>
        <w:t>1. 确认南丰蜜桔主要品种、生长阶段及基本生产管理要求；</w:t>
      </w:r>
    </w:p>
    <w:p w14:paraId="5718284D">
      <w:pPr>
        <w:spacing w:line="360" w:lineRule="auto"/>
        <w:ind w:left="420" w:hanging="420"/>
      </w:pPr>
      <w:r>
        <w:rPr>
          <w:rFonts w:ascii="宋体" w:hAnsi="宋体" w:eastAsia="宋体"/>
          <w:b w:val="0"/>
          <w:sz w:val="24"/>
        </w:rPr>
        <w:t>2. 审核生长评价涉及的主要指标和基本判断原则；</w:t>
      </w:r>
    </w:p>
    <w:p w14:paraId="50ECD25F">
      <w:pPr>
        <w:spacing w:line="360" w:lineRule="auto"/>
        <w:ind w:left="420" w:hanging="420"/>
      </w:pPr>
      <w:r>
        <w:rPr>
          <w:rFonts w:ascii="宋体" w:hAnsi="宋体" w:eastAsia="宋体"/>
          <w:b w:val="0"/>
          <w:sz w:val="24"/>
        </w:rPr>
        <w:t>3. 确认本地常见病害、虫害和气象灾害类型；</w:t>
      </w:r>
    </w:p>
    <w:p w14:paraId="78F6CA67">
      <w:pPr>
        <w:spacing w:line="360" w:lineRule="auto"/>
        <w:ind w:left="420" w:hanging="420"/>
      </w:pPr>
      <w:r>
        <w:rPr>
          <w:rFonts w:ascii="宋体" w:hAnsi="宋体" w:eastAsia="宋体"/>
          <w:b w:val="0"/>
          <w:sz w:val="24"/>
        </w:rPr>
        <w:t>4. 审核病虫害风险判断、巡查建议和防控建议；</w:t>
      </w:r>
    </w:p>
    <w:p w14:paraId="5BA0A975">
      <w:pPr>
        <w:spacing w:line="360" w:lineRule="auto"/>
        <w:ind w:left="420" w:hanging="420"/>
      </w:pPr>
      <w:r>
        <w:rPr>
          <w:rFonts w:ascii="宋体" w:hAnsi="宋体" w:eastAsia="宋体"/>
          <w:b w:val="0"/>
          <w:sz w:val="24"/>
        </w:rPr>
        <w:t>5. 审核灌溉、排水、施肥、修剪和巡园等农事建议是否符合实际；</w:t>
      </w:r>
    </w:p>
    <w:p w14:paraId="33E0662E">
      <w:pPr>
        <w:spacing w:line="360" w:lineRule="auto"/>
        <w:ind w:left="420" w:hanging="420"/>
      </w:pPr>
      <w:r>
        <w:rPr>
          <w:rFonts w:ascii="宋体" w:hAnsi="宋体" w:eastAsia="宋体"/>
          <w:b w:val="0"/>
          <w:sz w:val="24"/>
        </w:rPr>
        <w:t>6. 对试运行中评价不合理、风险判断不准确或建议不可执行的情况提出调整意见。</w:t>
      </w:r>
    </w:p>
    <w:p w14:paraId="2AC25BD2">
      <w:pPr>
        <w:spacing w:before="80" w:after="40"/>
      </w:pPr>
      <w:r>
        <w:rPr>
          <w:rFonts w:ascii="黑体" w:hAnsi="黑体" w:eastAsia="黑体"/>
          <w:b w:val="0"/>
          <w:sz w:val="24"/>
        </w:rPr>
        <w:t>（三）确定试点乡镇和试点果园</w:t>
      </w:r>
    </w:p>
    <w:p w14:paraId="1233DBA4">
      <w:pPr>
        <w:spacing w:line="360" w:lineRule="auto"/>
        <w:ind w:firstLine="420"/>
      </w:pPr>
      <w:r>
        <w:rPr>
          <w:rFonts w:ascii="宋体" w:hAnsi="宋体" w:eastAsia="宋体"/>
          <w:b w:val="0"/>
          <w:sz w:val="24"/>
        </w:rPr>
        <w:t>协调确定具有代表性的试点乡镇和试点果园，配合开展基础信息登记、现场调研、数据采集、系统试用和结果验证。试点果园宜优先选择基础资料相对完整、配合意愿较强、生产管理较规范或已安装物联网设备的果园、合作社和种植大户。</w:t>
      </w:r>
    </w:p>
    <w:p w14:paraId="55020312">
      <w:pPr>
        <w:spacing w:line="360" w:lineRule="auto"/>
        <w:ind w:left="420" w:hanging="420"/>
      </w:pPr>
      <w:r>
        <w:rPr>
          <w:rFonts w:ascii="宋体" w:hAnsi="宋体" w:eastAsia="宋体"/>
          <w:b w:val="0"/>
          <w:sz w:val="24"/>
        </w:rPr>
        <w:t>1. 协调试点乡镇落实具体试点对象；</w:t>
      </w:r>
    </w:p>
    <w:p w14:paraId="77680869">
      <w:pPr>
        <w:spacing w:line="360" w:lineRule="auto"/>
        <w:ind w:left="420" w:hanging="420"/>
      </w:pPr>
      <w:r>
        <w:rPr>
          <w:rFonts w:ascii="宋体" w:hAnsi="宋体" w:eastAsia="宋体"/>
          <w:b w:val="0"/>
          <w:sz w:val="24"/>
        </w:rPr>
        <w:t>2. 协调试点果园提供必要的基础信息和生产数据；</w:t>
      </w:r>
    </w:p>
    <w:p w14:paraId="5B01C95A">
      <w:pPr>
        <w:spacing w:line="360" w:lineRule="auto"/>
        <w:ind w:left="420" w:hanging="420"/>
      </w:pPr>
      <w:r>
        <w:rPr>
          <w:rFonts w:ascii="宋体" w:hAnsi="宋体" w:eastAsia="宋体"/>
          <w:b w:val="0"/>
          <w:sz w:val="24"/>
        </w:rPr>
        <w:t>3. 协调农技人员参与试点现场核实；</w:t>
      </w:r>
    </w:p>
    <w:p w14:paraId="5D63FAEF">
      <w:pPr>
        <w:spacing w:line="360" w:lineRule="auto"/>
        <w:ind w:left="420" w:hanging="420"/>
      </w:pPr>
      <w:r>
        <w:rPr>
          <w:rFonts w:ascii="宋体" w:hAnsi="宋体" w:eastAsia="宋体"/>
          <w:b w:val="0"/>
          <w:sz w:val="24"/>
        </w:rPr>
        <w:t>4. 协助解决试点过程中涉及的数据、设备和人员配合问题。</w:t>
      </w:r>
    </w:p>
    <w:p w14:paraId="48F0F31F">
      <w:pPr>
        <w:spacing w:before="80" w:after="40"/>
      </w:pPr>
      <w:r>
        <w:rPr>
          <w:rFonts w:ascii="黑体" w:hAnsi="黑体" w:eastAsia="黑体"/>
          <w:b w:val="0"/>
          <w:sz w:val="24"/>
        </w:rPr>
        <w:t>（四）明确销售和市场数据统计要求</w:t>
      </w:r>
    </w:p>
    <w:p w14:paraId="02D233C6">
      <w:pPr>
        <w:spacing w:line="360" w:lineRule="auto"/>
        <w:ind w:firstLine="420"/>
      </w:pPr>
      <w:r>
        <w:rPr>
          <w:rFonts w:ascii="宋体" w:hAnsi="宋体" w:eastAsia="宋体"/>
          <w:b w:val="0"/>
          <w:sz w:val="24"/>
        </w:rPr>
        <w:t>明确本地销售数据的基本统计口径和报送要求，使乡镇、合作社和经营主体提供的数据能够统一汇总，并与公开网站采集的市场行情数据结合分析。</w:t>
      </w:r>
    </w:p>
    <w:p w14:paraId="5C83D624">
      <w:pPr>
        <w:spacing w:line="360" w:lineRule="auto"/>
        <w:ind w:left="420" w:hanging="420"/>
      </w:pPr>
      <w:r>
        <w:rPr>
          <w:rFonts w:ascii="宋体" w:hAnsi="宋体" w:eastAsia="宋体"/>
          <w:b w:val="0"/>
          <w:sz w:val="24"/>
        </w:rPr>
        <w:t>1. 明确销售数据报送主体、报送周期和报送方式；</w:t>
      </w:r>
    </w:p>
    <w:p w14:paraId="13DC1F3A">
      <w:pPr>
        <w:spacing w:line="360" w:lineRule="auto"/>
        <w:ind w:left="420" w:hanging="420"/>
      </w:pPr>
      <w:r>
        <w:rPr>
          <w:rFonts w:ascii="宋体" w:hAnsi="宋体" w:eastAsia="宋体"/>
          <w:b w:val="0"/>
          <w:sz w:val="24"/>
        </w:rPr>
        <w:t>2. 统一品种、等级、销售数量、销售价格、销售金额、销售渠道、销售地区和库存等基本统计内容；</w:t>
      </w:r>
    </w:p>
    <w:p w14:paraId="2551A8CE">
      <w:pPr>
        <w:spacing w:line="360" w:lineRule="auto"/>
        <w:ind w:left="420" w:hanging="420"/>
      </w:pPr>
      <w:r>
        <w:rPr>
          <w:rFonts w:ascii="宋体" w:hAnsi="宋体" w:eastAsia="宋体"/>
          <w:b w:val="0"/>
          <w:sz w:val="24"/>
        </w:rPr>
        <w:t>3. 协调乡镇、合作社及相关经营主体提供必要的产销数据；</w:t>
      </w:r>
    </w:p>
    <w:p w14:paraId="3BC14DF6">
      <w:pPr>
        <w:spacing w:line="360" w:lineRule="auto"/>
        <w:ind w:left="420" w:hanging="420"/>
      </w:pPr>
      <w:r>
        <w:rPr>
          <w:rFonts w:ascii="宋体" w:hAnsi="宋体" w:eastAsia="宋体"/>
          <w:b w:val="0"/>
          <w:sz w:val="24"/>
        </w:rPr>
        <w:t>4. 明确公开网站采集的价格和行情数据仅作为市场分析参考，本地实际销售情况仍以真实报送数据为基础。</w:t>
      </w:r>
    </w:p>
    <w:p w14:paraId="3D8BF04D">
      <w:pPr>
        <w:spacing w:before="80" w:after="40"/>
      </w:pPr>
      <w:r>
        <w:rPr>
          <w:rFonts w:ascii="黑体" w:hAnsi="黑体" w:eastAsia="黑体"/>
          <w:b w:val="0"/>
          <w:sz w:val="24"/>
        </w:rPr>
        <w:t>（</w:t>
      </w:r>
      <w:r>
        <w:rPr>
          <w:rFonts w:hint="eastAsia" w:ascii="黑体" w:hAnsi="黑体" w:eastAsia="黑体"/>
          <w:b w:val="0"/>
          <w:sz w:val="24"/>
          <w:lang w:val="en-US" w:eastAsia="zh-CN"/>
        </w:rPr>
        <w:t>五</w:t>
      </w:r>
      <w:r>
        <w:rPr>
          <w:rFonts w:ascii="黑体" w:hAnsi="黑体" w:eastAsia="黑体"/>
          <w:b w:val="0"/>
          <w:sz w:val="24"/>
        </w:rPr>
        <w:t>）组织阶段确认和项目验收</w:t>
      </w:r>
    </w:p>
    <w:p w14:paraId="30FBDD77">
      <w:pPr>
        <w:spacing w:line="360" w:lineRule="auto"/>
        <w:ind w:firstLine="420"/>
      </w:pPr>
      <w:r>
        <w:rPr>
          <w:rFonts w:ascii="宋体" w:hAnsi="宋体" w:eastAsia="宋体"/>
          <w:b w:val="0"/>
          <w:sz w:val="24"/>
        </w:rPr>
        <w:t>在整改实施过程中，组织相关业务部门和试点单位对阶段成果进行确认；整改完成后，组织系统试运行和项目验收。</w:t>
      </w:r>
    </w:p>
    <w:p w14:paraId="77E34545">
      <w:pPr>
        <w:spacing w:line="360" w:lineRule="auto"/>
        <w:ind w:left="420" w:hanging="420"/>
      </w:pPr>
      <w:r>
        <w:rPr>
          <w:rFonts w:ascii="宋体" w:hAnsi="宋体" w:eastAsia="宋体"/>
          <w:b w:val="0"/>
          <w:sz w:val="24"/>
        </w:rPr>
        <w:t>1. 确认生长模型、病虫害模型和销售数据采集功能是否正常运行；</w:t>
      </w:r>
    </w:p>
    <w:p w14:paraId="16BC9F1D">
      <w:pPr>
        <w:spacing w:line="360" w:lineRule="auto"/>
        <w:ind w:left="420" w:hanging="420"/>
      </w:pPr>
      <w:r>
        <w:rPr>
          <w:rFonts w:hint="eastAsia"/>
          <w:b w:val="0"/>
          <w:sz w:val="24"/>
          <w:lang w:val="en-US" w:eastAsia="zh-CN"/>
        </w:rPr>
        <w:t>2</w:t>
      </w:r>
      <w:r>
        <w:rPr>
          <w:rFonts w:ascii="宋体" w:hAnsi="宋体" w:eastAsia="宋体"/>
          <w:b w:val="0"/>
          <w:sz w:val="24"/>
        </w:rPr>
        <w:t>. 确认政府管理端、模型监测大屏和果园移动端能够正常使用；</w:t>
      </w:r>
    </w:p>
    <w:p w14:paraId="78374803">
      <w:pPr>
        <w:spacing w:line="360" w:lineRule="auto"/>
        <w:ind w:left="420" w:hanging="420"/>
      </w:pPr>
      <w:r>
        <w:rPr>
          <w:rFonts w:hint="eastAsia"/>
          <w:b w:val="0"/>
          <w:sz w:val="24"/>
          <w:lang w:val="en-US" w:eastAsia="zh-CN"/>
        </w:rPr>
        <w:t>3</w:t>
      </w:r>
      <w:r>
        <w:rPr>
          <w:rFonts w:ascii="宋体" w:hAnsi="宋体" w:eastAsia="宋体"/>
          <w:b w:val="0"/>
          <w:sz w:val="24"/>
        </w:rPr>
        <w:t>. 确认试点果园已经完成实际试用并形成反馈；</w:t>
      </w:r>
    </w:p>
    <w:p w14:paraId="50103B44">
      <w:pPr>
        <w:spacing w:line="360" w:lineRule="auto"/>
        <w:ind w:left="420" w:hanging="420"/>
      </w:pPr>
      <w:r>
        <w:rPr>
          <w:rFonts w:hint="eastAsia"/>
          <w:b w:val="0"/>
          <w:sz w:val="24"/>
          <w:lang w:val="en-US" w:eastAsia="zh-CN"/>
        </w:rPr>
        <w:t>4</w:t>
      </w:r>
      <w:r>
        <w:rPr>
          <w:rFonts w:ascii="宋体" w:hAnsi="宋体" w:eastAsia="宋体"/>
          <w:b w:val="0"/>
          <w:sz w:val="24"/>
        </w:rPr>
        <w:t>. 确认操作手册、模型说明、培训资料和验收资料齐全。</w:t>
      </w:r>
    </w:p>
    <w:p w14:paraId="15ECB17F">
      <w:pPr>
        <w:spacing w:before="160" w:after="40"/>
        <w:rPr>
          <w:rFonts w:ascii="黑体" w:hAnsi="黑体" w:eastAsia="黑体"/>
          <w:b w:val="0"/>
          <w:sz w:val="24"/>
        </w:rPr>
      </w:pPr>
    </w:p>
    <w:p w14:paraId="13F77219">
      <w:pPr>
        <w:spacing w:before="160" w:after="40"/>
      </w:pPr>
      <w:r>
        <w:rPr>
          <w:rFonts w:ascii="黑体" w:hAnsi="黑体" w:eastAsia="黑体"/>
          <w:b w:val="0"/>
          <w:sz w:val="24"/>
        </w:rPr>
        <w:t>四、需要乡镇配合的工作</w:t>
      </w:r>
    </w:p>
    <w:p w14:paraId="466A770C">
      <w:pPr>
        <w:spacing w:before="80" w:after="40"/>
      </w:pPr>
      <w:r>
        <w:rPr>
          <w:rFonts w:ascii="黑体" w:hAnsi="黑体" w:eastAsia="黑体"/>
          <w:b w:val="0"/>
          <w:sz w:val="24"/>
        </w:rPr>
        <w:t>（一）推荐并落实试点果园</w:t>
      </w:r>
    </w:p>
    <w:p w14:paraId="7BE53869">
      <w:pPr>
        <w:spacing w:line="360" w:lineRule="auto"/>
        <w:ind w:firstLine="420"/>
      </w:pPr>
      <w:r>
        <w:rPr>
          <w:rFonts w:ascii="宋体" w:hAnsi="宋体" w:eastAsia="宋体"/>
          <w:b w:val="0"/>
          <w:sz w:val="24"/>
        </w:rPr>
        <w:t>根据辖区蜜桔种植实际，推荐具有代表性的果园、合作社或种植大户参与试点，并提前向果园主体说明试点目的、需要提供的数据和需要配合的工作。</w:t>
      </w:r>
    </w:p>
    <w:p w14:paraId="478E52B7">
      <w:pPr>
        <w:spacing w:line="360" w:lineRule="auto"/>
        <w:ind w:left="420" w:hanging="420"/>
      </w:pPr>
      <w:r>
        <w:rPr>
          <w:rFonts w:ascii="宋体" w:hAnsi="宋体" w:eastAsia="宋体"/>
          <w:b w:val="0"/>
          <w:sz w:val="24"/>
        </w:rPr>
        <w:t>1. 推荐正常生产经营、配合意愿较强的果园主体；</w:t>
      </w:r>
    </w:p>
    <w:p w14:paraId="606088C6">
      <w:pPr>
        <w:spacing w:line="360" w:lineRule="auto"/>
        <w:ind w:left="420" w:hanging="420"/>
      </w:pPr>
      <w:r>
        <w:rPr>
          <w:rFonts w:ascii="宋体" w:hAnsi="宋体" w:eastAsia="宋体"/>
          <w:b w:val="0"/>
          <w:sz w:val="24"/>
        </w:rPr>
        <w:t>2. 优先推荐基础资料较完整、生产管理较规范或已经安装物联网设备的果园；</w:t>
      </w:r>
    </w:p>
    <w:p w14:paraId="4A202477">
      <w:pPr>
        <w:spacing w:line="360" w:lineRule="auto"/>
        <w:ind w:left="420" w:hanging="420"/>
      </w:pPr>
      <w:r>
        <w:rPr>
          <w:rFonts w:ascii="宋体" w:hAnsi="宋体" w:eastAsia="宋体"/>
          <w:b w:val="0"/>
          <w:sz w:val="24"/>
        </w:rPr>
        <w:t>3. 协助确认试点果园联系人和具体试点地块；</w:t>
      </w:r>
    </w:p>
    <w:p w14:paraId="5FA6E3AC">
      <w:pPr>
        <w:spacing w:line="360" w:lineRule="auto"/>
        <w:ind w:left="420" w:hanging="420"/>
      </w:pPr>
      <w:r>
        <w:rPr>
          <w:rFonts w:ascii="宋体" w:hAnsi="宋体" w:eastAsia="宋体"/>
          <w:b w:val="0"/>
          <w:sz w:val="24"/>
        </w:rPr>
        <w:t>4. 配合项目实施单位开展现场调研和系统初始化。</w:t>
      </w:r>
    </w:p>
    <w:p w14:paraId="0EA6AFF1">
      <w:pPr>
        <w:spacing w:before="80" w:after="40"/>
      </w:pPr>
      <w:r>
        <w:rPr>
          <w:rFonts w:ascii="黑体" w:hAnsi="黑体" w:eastAsia="黑体"/>
          <w:b w:val="0"/>
          <w:sz w:val="24"/>
        </w:rPr>
        <w:t>（二）协助收集和核实果园基础信息</w:t>
      </w:r>
    </w:p>
    <w:p w14:paraId="169AE8DD">
      <w:pPr>
        <w:spacing w:line="360" w:lineRule="auto"/>
        <w:ind w:firstLine="420"/>
      </w:pPr>
      <w:r>
        <w:rPr>
          <w:rFonts w:ascii="宋体" w:hAnsi="宋体" w:eastAsia="宋体"/>
          <w:b w:val="0"/>
          <w:sz w:val="24"/>
        </w:rPr>
        <w:t>协助收集试点果园的基础资料，并对果园主体、地块、面积、品种和树龄等信息进行初步核实。</w:t>
      </w:r>
    </w:p>
    <w:p w14:paraId="36DA5E46">
      <w:pPr>
        <w:spacing w:line="360" w:lineRule="auto"/>
        <w:ind w:left="420" w:hanging="420"/>
      </w:pPr>
      <w:r>
        <w:rPr>
          <w:rFonts w:ascii="宋体" w:hAnsi="宋体" w:eastAsia="宋体"/>
          <w:b w:val="0"/>
          <w:sz w:val="24"/>
        </w:rPr>
        <w:t>1. 果园名称、经营主体和联系方式；</w:t>
      </w:r>
    </w:p>
    <w:p w14:paraId="461C83A9">
      <w:pPr>
        <w:spacing w:line="360" w:lineRule="auto"/>
        <w:ind w:left="420" w:hanging="420"/>
      </w:pPr>
      <w:r>
        <w:rPr>
          <w:rFonts w:ascii="宋体" w:hAnsi="宋体" w:eastAsia="宋体"/>
          <w:b w:val="0"/>
          <w:sz w:val="24"/>
        </w:rPr>
        <w:t>2. 所在村、地块位置、种植面积和种植数量；</w:t>
      </w:r>
    </w:p>
    <w:p w14:paraId="1EEDF5FF">
      <w:pPr>
        <w:spacing w:line="360" w:lineRule="auto"/>
        <w:ind w:left="420" w:hanging="420"/>
      </w:pPr>
      <w:r>
        <w:rPr>
          <w:rFonts w:ascii="宋体" w:hAnsi="宋体" w:eastAsia="宋体"/>
          <w:b w:val="0"/>
          <w:sz w:val="24"/>
        </w:rPr>
        <w:t>3. 南丰蜜桔品种、树龄和当前生长阶段；</w:t>
      </w:r>
    </w:p>
    <w:p w14:paraId="0039F3D5">
      <w:pPr>
        <w:spacing w:line="360" w:lineRule="auto"/>
        <w:ind w:left="420" w:hanging="420"/>
      </w:pPr>
      <w:r>
        <w:rPr>
          <w:rFonts w:ascii="宋体" w:hAnsi="宋体" w:eastAsia="宋体"/>
          <w:b w:val="0"/>
          <w:sz w:val="24"/>
        </w:rPr>
        <w:t>4. 物联网设备安装位置、设备类型和使用情况；</w:t>
      </w:r>
    </w:p>
    <w:p w14:paraId="60A416EB">
      <w:pPr>
        <w:spacing w:line="360" w:lineRule="auto"/>
        <w:ind w:left="420" w:hanging="420"/>
      </w:pPr>
      <w:r>
        <w:rPr>
          <w:rFonts w:ascii="宋体" w:hAnsi="宋体" w:eastAsia="宋体"/>
          <w:b w:val="0"/>
          <w:sz w:val="24"/>
        </w:rPr>
        <w:t>5. 主要灌溉、施肥、修剪和植保方式。</w:t>
      </w:r>
    </w:p>
    <w:p w14:paraId="7D96955C">
      <w:pPr>
        <w:spacing w:before="80" w:after="40"/>
      </w:pPr>
      <w:r>
        <w:rPr>
          <w:rFonts w:ascii="黑体" w:hAnsi="黑体" w:eastAsia="黑体"/>
          <w:b w:val="0"/>
          <w:sz w:val="24"/>
        </w:rPr>
        <w:t>（三）组织提供生产和农事数据</w:t>
      </w:r>
    </w:p>
    <w:p w14:paraId="4E8D7825">
      <w:pPr>
        <w:spacing w:line="360" w:lineRule="auto"/>
        <w:ind w:firstLine="420"/>
      </w:pPr>
      <w:r>
        <w:rPr>
          <w:rFonts w:ascii="宋体" w:hAnsi="宋体" w:eastAsia="宋体"/>
          <w:b w:val="0"/>
          <w:sz w:val="24"/>
        </w:rPr>
        <w:t>组织试点果园提供模型运行和验证所需的基本生产数据，包括环境监测、灌溉、施肥、修剪、植保、病虫害、产量和品质等信息。现有历史数据不完整的，可以从试点开始后逐步记录，不要求一次性补齐多年数据。</w:t>
      </w:r>
    </w:p>
    <w:p w14:paraId="4A71397B">
      <w:pPr>
        <w:spacing w:before="80" w:after="40"/>
      </w:pPr>
      <w:r>
        <w:rPr>
          <w:rFonts w:ascii="黑体" w:hAnsi="黑体" w:eastAsia="黑体"/>
          <w:b w:val="0"/>
          <w:sz w:val="24"/>
        </w:rPr>
        <w:t>（四）协助采集植株和病虫害样本</w:t>
      </w:r>
    </w:p>
    <w:p w14:paraId="33D70F57">
      <w:pPr>
        <w:spacing w:line="360" w:lineRule="auto"/>
        <w:ind w:firstLine="420"/>
      </w:pPr>
      <w:r>
        <w:rPr>
          <w:rFonts w:ascii="宋体" w:hAnsi="宋体" w:eastAsia="宋体"/>
          <w:b w:val="0"/>
          <w:sz w:val="24"/>
        </w:rPr>
        <w:t>组织果园主体配合采集正常植株、异常植株、叶片、枝条、果实和常见病虫害图片，并记录对应的果园、地块和采集时间。有条件的情况下，协调当地农技人员对病虫害类型进行初步确认。</w:t>
      </w:r>
    </w:p>
    <w:p w14:paraId="0FE7302E">
      <w:pPr>
        <w:spacing w:before="80" w:after="40"/>
      </w:pPr>
      <w:r>
        <w:rPr>
          <w:rFonts w:ascii="黑体" w:hAnsi="黑体" w:eastAsia="黑体"/>
          <w:b w:val="0"/>
          <w:sz w:val="24"/>
        </w:rPr>
        <w:t>（五）组织果园主体试用系统</w:t>
      </w:r>
    </w:p>
    <w:p w14:paraId="35F5AD32">
      <w:pPr>
        <w:spacing w:line="360" w:lineRule="auto"/>
        <w:ind w:firstLine="420"/>
      </w:pPr>
      <w:r>
        <w:rPr>
          <w:rFonts w:ascii="宋体" w:hAnsi="宋体" w:eastAsia="宋体"/>
          <w:b w:val="0"/>
          <w:sz w:val="24"/>
        </w:rPr>
        <w:t>组织试点果园使用移动端，实际体验果园信息查看、生长数据录入、综合评价、农事建议、病虫害图片识别、预警接收和销售数据填报等功能。对操作不方便、内容看不懂或建议不符合实际的问题，统一收集并及时反馈。</w:t>
      </w:r>
    </w:p>
    <w:p w14:paraId="0DB3F079">
      <w:pPr>
        <w:spacing w:before="80" w:after="40"/>
      </w:pPr>
      <w:r>
        <w:rPr>
          <w:rFonts w:ascii="黑体" w:hAnsi="黑体" w:eastAsia="黑体"/>
          <w:b w:val="0"/>
          <w:sz w:val="24"/>
        </w:rPr>
        <w:t>（六）协助核实模型结果</w:t>
      </w:r>
    </w:p>
    <w:p w14:paraId="614F814C">
      <w:pPr>
        <w:spacing w:line="360" w:lineRule="auto"/>
        <w:ind w:firstLine="420"/>
      </w:pPr>
      <w:r>
        <w:rPr>
          <w:rFonts w:ascii="宋体" w:hAnsi="宋体" w:eastAsia="宋体"/>
          <w:b w:val="0"/>
          <w:sz w:val="24"/>
        </w:rPr>
        <w:t>系统生成生长评价、病虫害风险和农事建议后，协调当地农技人员或有经验的种植户进行现场核实，重点确认系统判断的问题是否真实存在、风险等级是否合理、建议是否能够执行，并将核实结果用于模型调整。</w:t>
      </w:r>
    </w:p>
    <w:p w14:paraId="2E5497D1">
      <w:pPr>
        <w:spacing w:before="80" w:after="40"/>
      </w:pPr>
      <w:r>
        <w:rPr>
          <w:rFonts w:ascii="黑体" w:hAnsi="黑体" w:eastAsia="黑体"/>
          <w:b w:val="0"/>
          <w:sz w:val="24"/>
        </w:rPr>
        <w:t>（七）汇总销售数据</w:t>
      </w:r>
    </w:p>
    <w:p w14:paraId="4CF7CE50">
      <w:pPr>
        <w:spacing w:line="360" w:lineRule="auto"/>
        <w:ind w:firstLine="420"/>
      </w:pPr>
      <w:r>
        <w:rPr>
          <w:rFonts w:ascii="宋体" w:hAnsi="宋体" w:eastAsia="宋体"/>
          <w:b w:val="0"/>
          <w:sz w:val="24"/>
        </w:rPr>
        <w:t>按照统一统计口径，组织果园、合作社和相关经营主体报送品种、等级、销售数量、平均价格、销售渠道、销售地区和库存等基本信息。乡镇负责初步汇总和核实，避免重复统计或明显遗漏；暂时无法取得的数据应如实说明，不建议估算填报。</w:t>
      </w:r>
    </w:p>
    <w:p w14:paraId="0C456059">
      <w:pPr>
        <w:spacing w:before="80" w:after="40"/>
      </w:pPr>
      <w:r>
        <w:rPr>
          <w:rFonts w:ascii="黑体" w:hAnsi="黑体" w:eastAsia="黑体"/>
          <w:b w:val="0"/>
          <w:sz w:val="24"/>
        </w:rPr>
        <w:t>（八）配合培训和应用反馈</w:t>
      </w:r>
    </w:p>
    <w:p w14:paraId="0F624D2E">
      <w:pPr>
        <w:spacing w:line="360" w:lineRule="auto"/>
        <w:ind w:firstLine="420"/>
      </w:pPr>
      <w:r>
        <w:rPr>
          <w:rFonts w:ascii="宋体" w:hAnsi="宋体" w:eastAsia="宋体"/>
          <w:b w:val="0"/>
          <w:sz w:val="24"/>
        </w:rPr>
        <w:t>协助通知和组织试点果园参加系统培训，督促试点用户按要求完成数据填报和使用反馈。试运行稳定后，可结合实际情况向辖区内其他合作社、精品园和种植大户推广使用。</w:t>
      </w:r>
    </w:p>
    <w:p w14:paraId="4732B479">
      <w:pPr>
        <w:spacing w:before="160" w:after="40"/>
      </w:pPr>
      <w:r>
        <w:rPr>
          <w:rFonts w:ascii="黑体" w:hAnsi="黑体" w:eastAsia="黑体"/>
          <w:b w:val="0"/>
          <w:sz w:val="24"/>
        </w:rPr>
        <w:t>五、资金投入金额</w:t>
      </w:r>
    </w:p>
    <w:p w14:paraId="44A2AF3B">
      <w:pPr>
        <w:spacing w:line="360" w:lineRule="auto"/>
        <w:ind w:firstLine="420"/>
      </w:pPr>
      <w:r>
        <w:rPr>
          <w:rFonts w:ascii="宋体" w:hAnsi="宋体" w:eastAsia="宋体"/>
          <w:b w:val="0"/>
          <w:sz w:val="24"/>
        </w:rPr>
        <w:t>本次整改资金主要用于软件功能完善、模型建设、公开数据采集、数据整理、系统整合、试点应用和运行维护。</w:t>
      </w:r>
    </w:p>
    <w:tbl>
      <w:tblPr>
        <w:tblStyle w:val="3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62"/>
        <w:gridCol w:w="4758"/>
        <w:gridCol w:w="1474"/>
      </w:tblGrid>
      <w:tr w14:paraId="4E4AEC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1762" w:type="dxa"/>
            <w:shd w:val="clear" w:color="auto" w:fill="D9EAF7"/>
            <w:vAlign w:val="center"/>
          </w:tcPr>
          <w:p w14:paraId="7332EE88">
            <w:pPr>
              <w:spacing w:after="0"/>
              <w:jc w:val="center"/>
            </w:pPr>
            <w:r>
              <w:rPr>
                <w:rFonts w:ascii="宋体" w:hAnsi="宋体" w:eastAsia="宋体"/>
                <w:b/>
                <w:sz w:val="21"/>
              </w:rPr>
              <w:t>建设内容</w:t>
            </w:r>
          </w:p>
        </w:tc>
        <w:tc>
          <w:tcPr>
            <w:tcW w:w="4758" w:type="dxa"/>
            <w:shd w:val="clear" w:color="auto" w:fill="D9EAF7"/>
            <w:vAlign w:val="center"/>
          </w:tcPr>
          <w:p w14:paraId="1D2F4F7B">
            <w:pPr>
              <w:spacing w:after="0"/>
              <w:jc w:val="left"/>
            </w:pPr>
            <w:r>
              <w:rPr>
                <w:rFonts w:ascii="宋体" w:hAnsi="宋体" w:eastAsia="宋体"/>
                <w:b/>
                <w:sz w:val="21"/>
              </w:rPr>
              <w:t>主要投入内容</w:t>
            </w:r>
          </w:p>
        </w:tc>
        <w:tc>
          <w:tcPr>
            <w:tcW w:w="1474" w:type="dxa"/>
            <w:shd w:val="clear" w:color="auto" w:fill="D9EAF7"/>
            <w:vAlign w:val="center"/>
          </w:tcPr>
          <w:p w14:paraId="68C212DD">
            <w:pPr>
              <w:spacing w:after="0"/>
              <w:jc w:val="center"/>
            </w:pPr>
            <w:r>
              <w:rPr>
                <w:rFonts w:ascii="宋体" w:hAnsi="宋体" w:eastAsia="宋体"/>
                <w:b/>
                <w:sz w:val="21"/>
              </w:rPr>
              <w:t>预算金额</w:t>
            </w:r>
          </w:p>
        </w:tc>
      </w:tr>
      <w:tr w14:paraId="677994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62" w:type="dxa"/>
            <w:vAlign w:val="center"/>
          </w:tcPr>
          <w:p w14:paraId="30961C2A">
            <w:pPr>
              <w:spacing w:after="0"/>
              <w:jc w:val="center"/>
            </w:pPr>
            <w:r>
              <w:rPr>
                <w:rFonts w:ascii="宋体" w:hAnsi="宋体" w:eastAsia="宋体"/>
                <w:b w:val="0"/>
                <w:sz w:val="21"/>
              </w:rPr>
              <w:t>生长模型功能整改</w:t>
            </w:r>
          </w:p>
        </w:tc>
        <w:tc>
          <w:tcPr>
            <w:tcW w:w="4758" w:type="dxa"/>
            <w:vAlign w:val="center"/>
          </w:tcPr>
          <w:p w14:paraId="374F4097">
            <w:pPr>
              <w:spacing w:after="0"/>
              <w:jc w:val="left"/>
            </w:pPr>
            <w:r>
              <w:rPr>
                <w:rFonts w:ascii="宋体" w:hAnsi="宋体" w:eastAsia="宋体"/>
                <w:b w:val="0"/>
                <w:sz w:val="21"/>
              </w:rPr>
              <w:t>模型计算、综合评价、扣分分析、评价报告和农事建议</w:t>
            </w:r>
          </w:p>
        </w:tc>
        <w:tc>
          <w:tcPr>
            <w:tcW w:w="1474" w:type="dxa"/>
            <w:vAlign w:val="center"/>
          </w:tcPr>
          <w:p w14:paraId="1752DD49">
            <w:pPr>
              <w:spacing w:after="0"/>
              <w:jc w:val="center"/>
            </w:pPr>
          </w:p>
        </w:tc>
      </w:tr>
      <w:tr w14:paraId="612246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62" w:type="dxa"/>
            <w:vAlign w:val="center"/>
          </w:tcPr>
          <w:p w14:paraId="225AFFD6">
            <w:pPr>
              <w:spacing w:after="0"/>
              <w:jc w:val="center"/>
            </w:pPr>
            <w:r>
              <w:rPr>
                <w:rFonts w:ascii="宋体" w:hAnsi="宋体" w:eastAsia="宋体"/>
                <w:b w:val="0"/>
                <w:sz w:val="21"/>
              </w:rPr>
              <w:t>病虫害模型功能整改</w:t>
            </w:r>
          </w:p>
        </w:tc>
        <w:tc>
          <w:tcPr>
            <w:tcW w:w="4758" w:type="dxa"/>
            <w:vAlign w:val="center"/>
          </w:tcPr>
          <w:p w14:paraId="7FE7E167">
            <w:pPr>
              <w:spacing w:after="0"/>
              <w:jc w:val="left"/>
            </w:pPr>
            <w:r>
              <w:rPr>
                <w:rFonts w:ascii="宋体" w:hAnsi="宋体" w:eastAsia="宋体"/>
                <w:b w:val="0"/>
                <w:sz w:val="21"/>
              </w:rPr>
              <w:t>风险预测、预警处置、知识库和图片辅助识别</w:t>
            </w:r>
          </w:p>
        </w:tc>
        <w:tc>
          <w:tcPr>
            <w:tcW w:w="1474" w:type="dxa"/>
            <w:vAlign w:val="center"/>
          </w:tcPr>
          <w:p w14:paraId="04544B72">
            <w:pPr>
              <w:spacing w:after="0"/>
              <w:jc w:val="center"/>
            </w:pPr>
          </w:p>
        </w:tc>
      </w:tr>
      <w:tr w14:paraId="39EDAC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62" w:type="dxa"/>
            <w:vAlign w:val="center"/>
          </w:tcPr>
          <w:p w14:paraId="669D74C2">
            <w:pPr>
              <w:spacing w:after="0"/>
              <w:jc w:val="center"/>
            </w:pPr>
            <w:r>
              <w:rPr>
                <w:rFonts w:ascii="宋体" w:hAnsi="宋体" w:eastAsia="宋体"/>
                <w:b w:val="0"/>
                <w:sz w:val="21"/>
              </w:rPr>
              <w:t>销售及市场数据采集</w:t>
            </w:r>
          </w:p>
        </w:tc>
        <w:tc>
          <w:tcPr>
            <w:tcW w:w="4758" w:type="dxa"/>
            <w:vAlign w:val="center"/>
          </w:tcPr>
          <w:p w14:paraId="345B90AF">
            <w:pPr>
              <w:spacing w:after="0"/>
              <w:jc w:val="left"/>
            </w:pPr>
            <w:r>
              <w:rPr>
                <w:rFonts w:ascii="宋体" w:hAnsi="宋体" w:eastAsia="宋体"/>
                <w:b w:val="0"/>
                <w:sz w:val="21"/>
              </w:rPr>
              <w:t>人工填报、公开网站采集、价格行情和基础统计</w:t>
            </w:r>
          </w:p>
        </w:tc>
        <w:tc>
          <w:tcPr>
            <w:tcW w:w="1474" w:type="dxa"/>
            <w:vAlign w:val="center"/>
          </w:tcPr>
          <w:p w14:paraId="430F1813">
            <w:pPr>
              <w:spacing w:after="0"/>
              <w:jc w:val="center"/>
            </w:pPr>
          </w:p>
        </w:tc>
      </w:tr>
      <w:tr w14:paraId="799A42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62" w:type="dxa"/>
            <w:vAlign w:val="center"/>
          </w:tcPr>
          <w:p w14:paraId="03B21772">
            <w:pPr>
              <w:spacing w:after="0"/>
              <w:jc w:val="center"/>
            </w:pPr>
            <w:r>
              <w:rPr>
                <w:rFonts w:ascii="宋体" w:hAnsi="宋体" w:eastAsia="宋体"/>
                <w:b w:val="0"/>
                <w:sz w:val="21"/>
              </w:rPr>
              <w:t>大屏与移动端功能整合</w:t>
            </w:r>
          </w:p>
        </w:tc>
        <w:tc>
          <w:tcPr>
            <w:tcW w:w="4758" w:type="dxa"/>
            <w:vAlign w:val="center"/>
          </w:tcPr>
          <w:p w14:paraId="5D2CDE90">
            <w:pPr>
              <w:spacing w:after="0"/>
              <w:jc w:val="left"/>
            </w:pPr>
            <w:r>
              <w:rPr>
                <w:rFonts w:ascii="宋体" w:hAnsi="宋体" w:eastAsia="宋体"/>
                <w:b w:val="0"/>
                <w:sz w:val="21"/>
              </w:rPr>
              <w:t>模型监测大屏和蜜桔农业助手相关功能整合</w:t>
            </w:r>
          </w:p>
        </w:tc>
        <w:tc>
          <w:tcPr>
            <w:tcW w:w="1474" w:type="dxa"/>
            <w:vAlign w:val="center"/>
          </w:tcPr>
          <w:p w14:paraId="21A29AC2">
            <w:pPr>
              <w:spacing w:after="0"/>
              <w:jc w:val="center"/>
            </w:pPr>
          </w:p>
        </w:tc>
      </w:tr>
      <w:tr w14:paraId="7170DD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62" w:type="dxa"/>
            <w:vAlign w:val="center"/>
          </w:tcPr>
          <w:p w14:paraId="41B25BE8">
            <w:pPr>
              <w:spacing w:after="0"/>
              <w:jc w:val="center"/>
            </w:pPr>
            <w:r>
              <w:rPr>
                <w:rFonts w:ascii="宋体" w:hAnsi="宋体" w:eastAsia="宋体"/>
                <w:b w:val="0"/>
                <w:sz w:val="21"/>
              </w:rPr>
              <w:t>数据整理与基础接口</w:t>
            </w:r>
          </w:p>
        </w:tc>
        <w:tc>
          <w:tcPr>
            <w:tcW w:w="4758" w:type="dxa"/>
            <w:vAlign w:val="center"/>
          </w:tcPr>
          <w:p w14:paraId="63405490">
            <w:pPr>
              <w:spacing w:after="0"/>
              <w:jc w:val="left"/>
            </w:pPr>
            <w:r>
              <w:rPr>
                <w:rFonts w:ascii="宋体" w:hAnsi="宋体" w:eastAsia="宋体"/>
                <w:b w:val="0"/>
                <w:sz w:val="21"/>
              </w:rPr>
              <w:t>现有数据整理及可用设备、气象等基础接口接入</w:t>
            </w:r>
          </w:p>
        </w:tc>
        <w:tc>
          <w:tcPr>
            <w:tcW w:w="1474" w:type="dxa"/>
            <w:vAlign w:val="center"/>
          </w:tcPr>
          <w:p w14:paraId="10A7F71B">
            <w:pPr>
              <w:spacing w:after="0"/>
              <w:jc w:val="center"/>
            </w:pPr>
          </w:p>
        </w:tc>
      </w:tr>
      <w:tr w14:paraId="4BCD99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62" w:type="dxa"/>
            <w:vAlign w:val="center"/>
          </w:tcPr>
          <w:p w14:paraId="1AA77098">
            <w:pPr>
              <w:spacing w:after="0"/>
              <w:jc w:val="center"/>
            </w:pPr>
            <w:r>
              <w:rPr>
                <w:rFonts w:ascii="宋体" w:hAnsi="宋体" w:eastAsia="宋体"/>
                <w:b w:val="0"/>
                <w:sz w:val="21"/>
              </w:rPr>
              <w:t>试点、培训、测试和验收</w:t>
            </w:r>
          </w:p>
        </w:tc>
        <w:tc>
          <w:tcPr>
            <w:tcW w:w="4758" w:type="dxa"/>
            <w:vAlign w:val="center"/>
          </w:tcPr>
          <w:p w14:paraId="15CF106E">
            <w:pPr>
              <w:spacing w:after="0"/>
              <w:jc w:val="left"/>
            </w:pPr>
            <w:r>
              <w:rPr>
                <w:rFonts w:ascii="宋体" w:hAnsi="宋体" w:eastAsia="宋体"/>
                <w:b w:val="0"/>
                <w:sz w:val="21"/>
              </w:rPr>
              <w:t>试点应用、人员培训、系统测试和验收资料</w:t>
            </w:r>
          </w:p>
        </w:tc>
        <w:tc>
          <w:tcPr>
            <w:tcW w:w="1474" w:type="dxa"/>
            <w:vAlign w:val="center"/>
          </w:tcPr>
          <w:p w14:paraId="1EAD0638">
            <w:pPr>
              <w:spacing w:after="0"/>
              <w:jc w:val="center"/>
            </w:pPr>
          </w:p>
        </w:tc>
      </w:tr>
      <w:tr w14:paraId="7150F3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62" w:type="dxa"/>
            <w:vAlign w:val="center"/>
          </w:tcPr>
          <w:p w14:paraId="0515EA2F">
            <w:pPr>
              <w:spacing w:after="0"/>
              <w:jc w:val="center"/>
            </w:pPr>
            <w:r>
              <w:rPr>
                <w:rFonts w:ascii="宋体" w:hAnsi="宋体" w:eastAsia="宋体"/>
                <w:b w:val="0"/>
                <w:sz w:val="21"/>
              </w:rPr>
              <w:t>运行维护服务</w:t>
            </w:r>
          </w:p>
        </w:tc>
        <w:tc>
          <w:tcPr>
            <w:tcW w:w="4758" w:type="dxa"/>
            <w:vAlign w:val="center"/>
          </w:tcPr>
          <w:p w14:paraId="138C692A">
            <w:pPr>
              <w:spacing w:after="0"/>
              <w:jc w:val="left"/>
            </w:pPr>
            <w:r>
              <w:rPr>
                <w:rFonts w:ascii="宋体" w:hAnsi="宋体" w:eastAsia="宋体"/>
                <w:b w:val="0"/>
                <w:sz w:val="21"/>
              </w:rPr>
              <w:t>系统维护、数据采集维护和模型规则调整</w:t>
            </w:r>
          </w:p>
        </w:tc>
        <w:tc>
          <w:tcPr>
            <w:tcW w:w="1474" w:type="dxa"/>
            <w:vAlign w:val="center"/>
          </w:tcPr>
          <w:p w14:paraId="084AF0D7">
            <w:pPr>
              <w:spacing w:after="0"/>
              <w:jc w:val="center"/>
            </w:pPr>
          </w:p>
        </w:tc>
      </w:tr>
      <w:tr w14:paraId="6B9D9B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62" w:type="dxa"/>
            <w:vAlign w:val="center"/>
          </w:tcPr>
          <w:p w14:paraId="4EA72B7F">
            <w:pPr>
              <w:spacing w:after="0"/>
              <w:jc w:val="center"/>
            </w:pPr>
            <w:r>
              <w:rPr>
                <w:rFonts w:ascii="宋体" w:hAnsi="宋体" w:eastAsia="宋体"/>
                <w:b/>
                <w:sz w:val="21"/>
              </w:rPr>
              <w:t>合计</w:t>
            </w:r>
          </w:p>
        </w:tc>
        <w:tc>
          <w:tcPr>
            <w:tcW w:w="4758" w:type="dxa"/>
            <w:vAlign w:val="center"/>
          </w:tcPr>
          <w:p w14:paraId="5E4E85A3">
            <w:pPr>
              <w:spacing w:after="0"/>
              <w:jc w:val="left"/>
            </w:pPr>
          </w:p>
        </w:tc>
        <w:tc>
          <w:tcPr>
            <w:tcW w:w="1474" w:type="dxa"/>
            <w:vAlign w:val="center"/>
          </w:tcPr>
          <w:p w14:paraId="5D291D7E">
            <w:pPr>
              <w:spacing w:after="0"/>
              <w:jc w:val="center"/>
            </w:pPr>
          </w:p>
        </w:tc>
      </w:tr>
    </w:tbl>
    <w:p w14:paraId="79EC4752">
      <w:pPr>
        <w:spacing w:before="160" w:after="40"/>
      </w:pPr>
      <w:r>
        <w:rPr>
          <w:rFonts w:ascii="黑体" w:hAnsi="黑体" w:eastAsia="黑体"/>
          <w:b w:val="0"/>
          <w:sz w:val="24"/>
        </w:rPr>
        <w:t>六、整改后达到的效果</w:t>
      </w:r>
    </w:p>
    <w:p w14:paraId="0DED1EEA">
      <w:pPr>
        <w:spacing w:before="80" w:after="40"/>
        <w:rPr>
          <w:rFonts w:ascii="黑体" w:hAnsi="黑体" w:eastAsia="黑体"/>
          <w:b w:val="0"/>
          <w:sz w:val="24"/>
        </w:rPr>
      </w:pPr>
      <w:r>
        <w:rPr>
          <w:rFonts w:ascii="黑体" w:hAnsi="黑体" w:eastAsia="黑体"/>
          <w:b w:val="0"/>
          <w:sz w:val="24"/>
        </w:rPr>
        <w:t>（一）提升蜜桔生产管理和病虫害防控能力</w:t>
      </w:r>
    </w:p>
    <w:p w14:paraId="7143E855">
      <w:pPr>
        <w:spacing w:line="360" w:lineRule="auto"/>
        <w:ind w:firstLine="420"/>
        <w:rPr>
          <w:rFonts w:ascii="宋体" w:hAnsi="宋体" w:eastAsia="宋体"/>
          <w:b w:val="0"/>
          <w:sz w:val="24"/>
        </w:rPr>
      </w:pPr>
      <w:r>
        <w:rPr>
          <w:rFonts w:ascii="宋体" w:hAnsi="宋体" w:eastAsia="宋体"/>
          <w:b w:val="0"/>
          <w:sz w:val="24"/>
        </w:rPr>
        <w:t>通过完善南丰蜜桔生长模型和病虫害模型，综合利用果园环境、植株生长、气象监测、农事作业和病虫害图片等数据，对蜜桔生长状况和主要病虫害风险进行分析。</w:t>
      </w:r>
    </w:p>
    <w:p w14:paraId="2917F046">
      <w:pPr>
        <w:spacing w:line="360" w:lineRule="auto"/>
        <w:ind w:firstLine="420"/>
        <w:rPr>
          <w:rFonts w:ascii="宋体" w:hAnsi="宋体" w:eastAsia="宋体"/>
          <w:b w:val="0"/>
          <w:sz w:val="24"/>
        </w:rPr>
      </w:pPr>
      <w:r>
        <w:rPr>
          <w:rFonts w:ascii="宋体" w:hAnsi="宋体" w:eastAsia="宋体"/>
          <w:b w:val="0"/>
          <w:sz w:val="24"/>
        </w:rPr>
        <w:t>果园主体可以通过系统了解蜜桔生长情况、需要关注的问题及相应的生产管理建议，并通过拍照识别辅助判断疑似病虫害。推动果园管理由依靠经验向数据辅助转变，提升生产管理的规范化、精细化和病虫害风险发现能力。</w:t>
      </w:r>
    </w:p>
    <w:p w14:paraId="37705E6A">
      <w:pPr>
        <w:spacing w:before="80" w:after="40"/>
        <w:rPr>
          <w:rFonts w:ascii="黑体" w:hAnsi="黑体" w:eastAsia="黑体"/>
          <w:b w:val="0"/>
          <w:sz w:val="24"/>
        </w:rPr>
      </w:pPr>
      <w:r>
        <w:rPr>
          <w:rFonts w:ascii="黑体" w:hAnsi="黑体" w:eastAsia="黑体"/>
          <w:b w:val="0"/>
          <w:sz w:val="24"/>
        </w:rPr>
        <w:t>（二）增强销售及市场行情监测能力</w:t>
      </w:r>
    </w:p>
    <w:p w14:paraId="28D52E6D">
      <w:pPr>
        <w:spacing w:line="360" w:lineRule="auto"/>
        <w:ind w:firstLine="420"/>
        <w:rPr>
          <w:rFonts w:ascii="宋体" w:hAnsi="宋体" w:eastAsia="宋体"/>
          <w:b w:val="0"/>
          <w:sz w:val="24"/>
        </w:rPr>
      </w:pPr>
      <w:r>
        <w:rPr>
          <w:rFonts w:ascii="宋体" w:hAnsi="宋体" w:eastAsia="宋体"/>
          <w:b w:val="0"/>
          <w:sz w:val="24"/>
        </w:rPr>
        <w:t>通过建立本地销售数据填报与公开网站市场数据采集相结合的机制，逐步汇集蜜桔销售数量、价格、渠道、销售区域、库存以及外部市场行情等数据。</w:t>
      </w:r>
    </w:p>
    <w:p w14:paraId="03B18409">
      <w:pPr>
        <w:spacing w:line="360" w:lineRule="auto"/>
        <w:ind w:firstLine="420"/>
        <w:rPr>
          <w:rFonts w:ascii="宋体" w:hAnsi="宋体" w:eastAsia="宋体"/>
          <w:b w:val="0"/>
          <w:sz w:val="24"/>
        </w:rPr>
      </w:pPr>
      <w:r>
        <w:rPr>
          <w:rFonts w:ascii="宋体" w:hAnsi="宋体" w:eastAsia="宋体"/>
          <w:b w:val="0"/>
          <w:sz w:val="24"/>
        </w:rPr>
        <w:t>系统对相关数据进行清洗、汇总和统计，为果园主体了解市场变化、安排采收和销售提供参考，也帮助政府掌握南丰蜜桔销售进度、市场价格和产业运行情况，提高产业服务和市场分析能力。</w:t>
      </w:r>
    </w:p>
    <w:p w14:paraId="1C80C815">
      <w:pPr>
        <w:spacing w:before="80" w:after="40"/>
        <w:rPr>
          <w:rFonts w:ascii="黑体" w:hAnsi="黑体" w:eastAsia="黑体"/>
          <w:b w:val="0"/>
          <w:sz w:val="24"/>
        </w:rPr>
      </w:pPr>
      <w:r>
        <w:rPr>
          <w:rFonts w:ascii="黑体" w:hAnsi="黑体" w:eastAsia="黑体"/>
          <w:b w:val="0"/>
          <w:sz w:val="24"/>
        </w:rPr>
        <w:t>（三）推动现有平台和数据形成实际应用</w:t>
      </w:r>
    </w:p>
    <w:p w14:paraId="25766D74">
      <w:pPr>
        <w:spacing w:line="360" w:lineRule="auto"/>
        <w:ind w:firstLine="420"/>
        <w:rPr>
          <w:rFonts w:ascii="宋体" w:hAnsi="宋体" w:eastAsia="宋体"/>
          <w:b w:val="0"/>
          <w:sz w:val="24"/>
        </w:rPr>
      </w:pPr>
      <w:r>
        <w:rPr>
          <w:rFonts w:ascii="宋体" w:hAnsi="宋体" w:eastAsia="宋体"/>
          <w:b w:val="0"/>
          <w:sz w:val="24"/>
        </w:rPr>
        <w:t>通过整合现有管理后台、监测大屏、蜜桔农业助手、物联网设备及相关数据，初步形成“数据采集—模型分析—结果展示—农事建议—执行反馈”的应用流程。</w:t>
      </w:r>
    </w:p>
    <w:p w14:paraId="776705FF">
      <w:pPr>
        <w:spacing w:line="360" w:lineRule="auto"/>
        <w:ind w:firstLine="420"/>
        <w:rPr>
          <w:rFonts w:ascii="宋体" w:hAnsi="宋体" w:eastAsia="宋体"/>
          <w:b w:val="0"/>
          <w:sz w:val="24"/>
        </w:rPr>
      </w:pPr>
      <w:r>
        <w:rPr>
          <w:rFonts w:ascii="宋体" w:hAnsi="宋体" w:eastAsia="宋体"/>
          <w:b w:val="0"/>
          <w:sz w:val="24"/>
        </w:rPr>
        <w:t>果园主体可以通过移动端查看评价、预警和建议，政府部门可以通过后台和大屏掌握生产、病虫害和销售情况。推动现有平台由数据展示向生产辅助、风险提示、市场监测和产业管理应用转变，为南丰蜜桔产业后续数字化建设和持续完善奠定基础。</w:t>
      </w:r>
    </w:p>
    <w:p w14:paraId="0795471D"/>
    <w:p w14:paraId="44459583">
      <w:pPr>
        <w:jc w:val="right"/>
      </w:pPr>
    </w:p>
    <w:sectPr>
      <w:pgSz w:w="11906" w:h="16838"/>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Cambria">
    <w:panose1 w:val="02040503050406030204"/>
    <w:charset w:val="00"/>
    <w:family w:val="auto"/>
    <w:pitch w:val="default"/>
    <w:sig w:usb0="E00006FF" w:usb1="420024FF" w:usb2="02000000" w:usb3="00000000" w:csb0="2000019F" w:csb1="00000000"/>
  </w:font>
  <w:font w:name="方正小标宋简体">
    <w:altName w:val="方正舒体"/>
    <w:panose1 w:val="00000000000000000000"/>
    <w:charset w:val="00"/>
    <w:family w:val="auto"/>
    <w:pitch w:val="default"/>
    <w:sig w:usb0="00000000" w:usb1="00000000" w:usb2="00000000" w:usb3="00000000" w:csb0="00000000" w:csb1="00000000"/>
  </w:font>
  <w:font w:name="Arial Unicode MS">
    <w:altName w:val="宋体"/>
    <w:panose1 w:val="020B0604020202020204"/>
    <w:charset w:val="86"/>
    <w:family w:val="auto"/>
    <w:pitch w:val="default"/>
    <w:sig w:usb0="00000000" w:usb1="00000000" w:usb2="0000003F" w:usb3="00000000" w:csb0="603F01FF" w:csb1="FFFF0000"/>
  </w:font>
  <w:font w:name="方正舒体">
    <w:panose1 w:val="02010601030101010101"/>
    <w:charset w:val="86"/>
    <w:family w:val="auto"/>
    <w:pitch w:val="default"/>
    <w:sig w:usb0="00000003" w:usb1="080E0000" w:usb2="00000000" w:usb3="00000000" w:csb0="00040000" w:csb1="00000000"/>
  </w:font>
  <w:font w:name="ＭＳ 明朝">
    <w:altName w:val="FFont-Family"/>
    <w:panose1 w:val="00000000000000000000"/>
    <w:charset w:val="00"/>
    <w:family w:val="auto"/>
    <w:pitch w:val="default"/>
    <w:sig w:usb0="00000000" w:usb1="00000000" w:usb2="00000000" w:usb3="00000000" w:csb0="00000000" w:csb1="00000000"/>
  </w:font>
  <w:font w:name="FFont-Family">
    <w:panose1 w:val="02000509000000000000"/>
    <w:charset w:val="00"/>
    <w:family w:val="auto"/>
    <w:pitch w:val="default"/>
    <w:sig w:usb0="00000001" w:usb1="00000000" w:usb2="00000000" w:usb3="00000000" w:csb0="00000001" w:csb1="00000000"/>
  </w:font>
  <w:font w:name="华文中宋">
    <w:panose1 w:val="02010600040101010101"/>
    <w:charset w:val="86"/>
    <w:family w:val="auto"/>
    <w:pitch w:val="default"/>
    <w:sig w:usb0="00000287" w:usb1="080F0000" w:usb2="00000000" w:usb3="00000000" w:csb0="0004009F" w:csb1="DFD7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pPr>
      <w:r>
        <w:separator/>
      </w:r>
    </w:p>
  </w:footnote>
  <w:footnote w:type="continuationSeparator" w:id="1">
    <w:p>
      <w:pPr>
        <w:spacing w:before="0" w:after="0" w:line="3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8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23265D19"/>
    <w:rsid w:val="34DA6B76"/>
    <w:rsid w:val="5D0E5BDE"/>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uiPriority="99" w:semiHidden="0" w:name="List Bullet 3"/>
    <w:lsdException w:uiPriority="99" w:name="List Bullet 4"/>
    <w:lsdException w:uiPriority="99" w:name="List Bullet 5"/>
    <w:lsdException w:qFormat="1"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qFormat="1" w:unhideWhenUsed="0" w:uiPriority="61" w:semiHidden="0" w:name="Light List"/>
    <w:lsdException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unhideWhenUsed="0" w:uiPriority="66" w:semiHidden="0" w:name="Medium List 2"/>
    <w:lsdException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unhideWhenUsed="0" w:uiPriority="71" w:semiHidden="0" w:name="Colorful Shading"/>
    <w:lsdException w:qFormat="1" w:unhideWhenUsed="0" w:uiPriority="72" w:semiHidden="0" w:name="Colorful List"/>
    <w:lsdException w:unhideWhenUsed="0" w:uiPriority="73" w:semiHidden="0" w:name="Colorful Grid"/>
    <w:lsdException w:qFormat="1" w:unhideWhenUsed="0" w:uiPriority="60" w:semiHidden="0" w:name="Light Shading Accent 1"/>
    <w:lsdException w:qFormat="1" w:unhideWhenUsed="0" w:uiPriority="61" w:semiHidden="0" w:name="Light List Accent 1"/>
    <w:lsdException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unhideWhenUsed="0" w:uiPriority="67" w:semiHidden="0" w:name="Medium Grid 1 Accent 1"/>
    <w:lsdException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qFormat="1" w:unhideWhenUsed="0" w:uiPriority="67" w:semiHidden="0" w:name="Medium Grid 1 Accent 2"/>
    <w:lsdException w:unhideWhenUsed="0" w:uiPriority="68" w:semiHidden="0" w:name="Medium Grid 2 Accent 2"/>
    <w:lsdException w:qFormat="1" w:unhideWhenUsed="0" w:uiPriority="69" w:semiHidden="0" w:name="Medium Grid 3 Accent 2"/>
    <w:lsdException w:unhideWhenUsed="0" w:uiPriority="70" w:semiHidden="0" w:name="Dark List Accent 2"/>
    <w:lsdException w:qFormat="1" w:unhideWhenUsed="0" w:uiPriority="71" w:semiHidden="0" w:name="Colorful Shading Accent 2"/>
    <w:lsdException w:qFormat="1" w:unhideWhenUsed="0" w:uiPriority="72" w:semiHidden="0" w:name="Colorful List Accent 2"/>
    <w:lsdException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unhideWhenUsed="0" w:uiPriority="71" w:semiHidden="0" w:name="Colorful Shading Accent 3"/>
    <w:lsdException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qFormat="1" w:unhideWhenUsed="0" w:uiPriority="67" w:semiHidden="0" w:name="Medium Grid 1 Accent 4"/>
    <w:lsdException w:unhideWhenUsed="0" w:uiPriority="68" w:semiHidden="0" w:name="Medium Grid 2 Accent 4"/>
    <w:lsdException w:unhideWhenUsed="0" w:uiPriority="69" w:semiHidden="0" w:name="Medium Grid 3 Accent 4"/>
    <w:lsdException w:qFormat="1"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qFormat="1" w:unhideWhenUsed="0" w:uiPriority="61" w:semiHidden="0" w:name="Light List Accent 5"/>
    <w:lsdException w:unhideWhenUsed="0" w:uiPriority="62" w:semiHidden="0" w:name="Light Grid Accent 5"/>
    <w:lsdException w:qFormat="1" w:unhideWhenUsed="0" w:uiPriority="63" w:semiHidden="0" w:name="Medium Shading 1 Accent 5"/>
    <w:lsdException w:unhideWhenUsed="0" w:uiPriority="64" w:semiHidden="0" w:name="Medium Shading 2 Accent 5"/>
    <w:lsdException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unhideWhenUsed="0" w:uiPriority="69" w:semiHidden="0" w:name="Medium Grid 3 Accent 5"/>
    <w:lsdException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unhideWhenUsed="0" w:uiPriority="60" w:semiHidden="0" w:name="Light Shading Accent 6"/>
    <w:lsdException w:qFormat="1" w:unhideWhenUsed="0" w:uiPriority="61" w:semiHidden="0" w:name="Light List Accent 6"/>
    <w:lsdException w:unhideWhenUsed="0" w:uiPriority="62" w:semiHidden="0" w:name="Light Grid Accent 6"/>
    <w:lsdException w:qFormat="1" w:unhideWhenUsed="0" w:uiPriority="63" w:semiHidden="0" w:name="Medium Shading 1 Accent 6"/>
    <w:lsdException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0" w:line="360" w:lineRule="auto"/>
    </w:pPr>
    <w:rPr>
      <w:rFonts w:ascii="宋体" w:hAnsi="宋体" w:eastAsia="宋体" w:cstheme="minorBidi"/>
      <w:sz w:val="24"/>
      <w:szCs w:val="22"/>
      <w:lang w:val="en-US" w:eastAsia="en-US" w:bidi="ar-SA"/>
    </w:rPr>
  </w:style>
  <w:style w:type="paragraph" w:styleId="3">
    <w:name w:val="heading 1"/>
    <w:basedOn w:val="1"/>
    <w:next w:val="1"/>
    <w:link w:val="139"/>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40"/>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1"/>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1"/>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2"/>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3"/>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4"/>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5"/>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6"/>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3">
    <w:name w:val="Default Paragraph Font"/>
    <w:semiHidden/>
    <w:unhideWhenUsed/>
    <w:qFormat/>
    <w:uiPriority w:val="1"/>
  </w:style>
  <w:style w:type="table" w:default="1" w:styleId="33">
    <w:name w:val="Normal Table"/>
    <w:semiHidden/>
    <w:unhideWhenUsed/>
    <w:qFormat/>
    <w:uiPriority w:val="99"/>
    <w:tblPr>
      <w:tblCellMar>
        <w:top w:w="0" w:type="dxa"/>
        <w:left w:w="108" w:type="dxa"/>
        <w:bottom w:w="0" w:type="dxa"/>
        <w:right w:w="108" w:type="dxa"/>
      </w:tblCellMar>
    </w:tblPr>
  </w:style>
  <w:style w:type="paragraph" w:styleId="2">
    <w:name w:val="macro"/>
    <w:link w:val="148"/>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7"/>
    <w:unhideWhenUsed/>
    <w:qFormat/>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5"/>
    <w:unhideWhenUsed/>
    <w:qFormat/>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7"/>
    <w:unhideWhenUsed/>
    <w:uiPriority w:val="99"/>
    <w:pPr>
      <w:tabs>
        <w:tab w:val="center" w:pos="4680"/>
        <w:tab w:val="right" w:pos="9360"/>
      </w:tabs>
      <w:spacing w:after="0" w:line="240" w:lineRule="auto"/>
    </w:pPr>
  </w:style>
  <w:style w:type="paragraph" w:styleId="25">
    <w:name w:val="header"/>
    <w:basedOn w:val="1"/>
    <w:link w:val="136"/>
    <w:unhideWhenUsed/>
    <w:uiPriority w:val="99"/>
    <w:pPr>
      <w:tabs>
        <w:tab w:val="center" w:pos="4680"/>
        <w:tab w:val="right" w:pos="9360"/>
      </w:tabs>
      <w:spacing w:after="0" w:line="240" w:lineRule="auto"/>
    </w:pPr>
  </w:style>
  <w:style w:type="paragraph" w:styleId="26">
    <w:name w:val="Subtitle"/>
    <w:basedOn w:val="1"/>
    <w:next w:val="1"/>
    <w:link w:val="143"/>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qFormat/>
    <w:uiPriority w:val="99"/>
    <w:pPr>
      <w:ind w:left="360" w:hanging="360"/>
      <w:contextualSpacing/>
    </w:pPr>
  </w:style>
  <w:style w:type="paragraph" w:styleId="28">
    <w:name w:val="Body Text 2"/>
    <w:basedOn w:val="1"/>
    <w:link w:val="146"/>
    <w:unhideWhenUsed/>
    <w:qFormat/>
    <w:uiPriority w:val="99"/>
    <w:pPr>
      <w:spacing w:after="120" w:line="480" w:lineRule="auto"/>
    </w:pPr>
  </w:style>
  <w:style w:type="paragraph" w:styleId="29">
    <w:name w:val="List Continue 2"/>
    <w:basedOn w:val="1"/>
    <w:unhideWhenUsed/>
    <w:uiPriority w:val="99"/>
    <w:pPr>
      <w:spacing w:after="120"/>
      <w:ind w:left="720"/>
      <w:contextualSpacing/>
    </w:pPr>
  </w:style>
  <w:style w:type="paragraph" w:styleId="30">
    <w:name w:val="Normal (Web)"/>
    <w:basedOn w:val="1"/>
    <w:semiHidden/>
    <w:unhideWhenUsed/>
    <w:uiPriority w:val="99"/>
    <w:pPr>
      <w:spacing w:before="0" w:beforeAutospacing="1" w:after="0" w:afterAutospacing="1"/>
      <w:ind w:left="0" w:right="0"/>
      <w:jc w:val="left"/>
    </w:pPr>
    <w:rPr>
      <w:kern w:val="0"/>
      <w:sz w:val="24"/>
      <w:lang w:val="en-US" w:eastAsia="zh-CN" w:bidi="ar"/>
    </w:rPr>
  </w:style>
  <w:style w:type="paragraph" w:styleId="31">
    <w:name w:val="List Continue 3"/>
    <w:basedOn w:val="1"/>
    <w:unhideWhenUsed/>
    <w:uiPriority w:val="99"/>
    <w:pPr>
      <w:spacing w:after="120"/>
      <w:ind w:left="1080"/>
      <w:contextualSpacing/>
    </w:pPr>
  </w:style>
  <w:style w:type="paragraph" w:styleId="32">
    <w:name w:val="Title"/>
    <w:basedOn w:val="1"/>
    <w:next w:val="1"/>
    <w:link w:val="142"/>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4">
    <w:name w:val="Table Grid"/>
    <w:basedOn w:val="33"/>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5">
    <w:name w:val="Light Shading"/>
    <w:basedOn w:val="33"/>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6">
    <w:name w:val="Light Shading Accent 1"/>
    <w:basedOn w:val="33"/>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7">
    <w:name w:val="Light Shading Accent 2"/>
    <w:basedOn w:val="33"/>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8">
    <w:name w:val="Light Shading Accent 3"/>
    <w:basedOn w:val="33"/>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9">
    <w:name w:val="Light Shading Accent 4"/>
    <w:basedOn w:val="33"/>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0">
    <w:name w:val="Light Shading Accent 5"/>
    <w:basedOn w:val="33"/>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1">
    <w:name w:val="Light Shading Accent 6"/>
    <w:basedOn w:val="33"/>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2">
    <w:name w:val="Light List"/>
    <w:basedOn w:val="33"/>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3">
    <w:name w:val="Light List Accent 1"/>
    <w:basedOn w:val="33"/>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4">
    <w:name w:val="Light List Accent 2"/>
    <w:basedOn w:val="33"/>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5">
    <w:name w:val="Light List Accent 3"/>
    <w:basedOn w:val="33"/>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6">
    <w:name w:val="Light List Accent 4"/>
    <w:basedOn w:val="33"/>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7">
    <w:name w:val="Light List Accent 5"/>
    <w:basedOn w:val="33"/>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8">
    <w:name w:val="Light List Accent 6"/>
    <w:basedOn w:val="33"/>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9">
    <w:name w:val="Light Grid"/>
    <w:basedOn w:val="33"/>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0">
    <w:name w:val="Light Grid Accent 1"/>
    <w:basedOn w:val="33"/>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1">
    <w:name w:val="Light Grid Accent 2"/>
    <w:basedOn w:val="33"/>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2">
    <w:name w:val="Light Grid Accent 3"/>
    <w:basedOn w:val="33"/>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3">
    <w:name w:val="Light Grid Accent 4"/>
    <w:basedOn w:val="33"/>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4">
    <w:name w:val="Light Grid Accent 5"/>
    <w:basedOn w:val="33"/>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5">
    <w:name w:val="Light Grid Accent 6"/>
    <w:basedOn w:val="33"/>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6">
    <w:name w:val="Medium Shading 1"/>
    <w:basedOn w:val="33"/>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7">
    <w:name w:val="Medium Shading 1 Accent 1"/>
    <w:basedOn w:val="33"/>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8">
    <w:name w:val="Medium Shading 1 Accent 2"/>
    <w:basedOn w:val="33"/>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9">
    <w:name w:val="Medium Shading 1 Accent 3"/>
    <w:basedOn w:val="33"/>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0">
    <w:name w:val="Medium Shading 1 Accent 4"/>
    <w:basedOn w:val="33"/>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1">
    <w:name w:val="Medium Shading 1 Accent 5"/>
    <w:basedOn w:val="33"/>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2">
    <w:name w:val="Medium Shading 1 Accent 6"/>
    <w:basedOn w:val="33"/>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3">
    <w:name w:val="Medium Shading 2"/>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1"/>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2"/>
    <w:basedOn w:val="33"/>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3"/>
    <w:basedOn w:val="33"/>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4"/>
    <w:basedOn w:val="33"/>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5"/>
    <w:basedOn w:val="33"/>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6"/>
    <w:basedOn w:val="33"/>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List 1"/>
    <w:basedOn w:val="33"/>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1">
    <w:name w:val="Medium List 1 Accent 1"/>
    <w:basedOn w:val="33"/>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2">
    <w:name w:val="Medium List 1 Accent 2"/>
    <w:basedOn w:val="33"/>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3">
    <w:name w:val="Medium List 1 Accent 3"/>
    <w:basedOn w:val="33"/>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4">
    <w:name w:val="Medium List 1 Accent 4"/>
    <w:basedOn w:val="33"/>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5">
    <w:name w:val="Medium List 1 Accent 5"/>
    <w:basedOn w:val="33"/>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6">
    <w:name w:val="Medium List 1 Accent 6"/>
    <w:basedOn w:val="33"/>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7">
    <w:name w:val="Medium List 2"/>
    <w:basedOn w:val="33"/>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1"/>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2"/>
    <w:basedOn w:val="33"/>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3"/>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4"/>
    <w:basedOn w:val="33"/>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5"/>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6"/>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Grid 1"/>
    <w:basedOn w:val="33"/>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5">
    <w:name w:val="Medium Grid 1 Accent 1"/>
    <w:basedOn w:val="33"/>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6">
    <w:name w:val="Medium Grid 1 Accent 2"/>
    <w:basedOn w:val="33"/>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7">
    <w:name w:val="Medium Grid 1 Accent 3"/>
    <w:basedOn w:val="33"/>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8">
    <w:name w:val="Medium Grid 1 Accent 4"/>
    <w:basedOn w:val="33"/>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9">
    <w:name w:val="Medium Grid 1 Accent 5"/>
    <w:basedOn w:val="33"/>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0">
    <w:name w:val="Medium Grid 1 Accent 6"/>
    <w:basedOn w:val="33"/>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1">
    <w:name w:val="Medium Grid 2"/>
    <w:basedOn w:val="3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2">
    <w:name w:val="Medium Grid 2 Accent 1"/>
    <w:basedOn w:val="33"/>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3">
    <w:name w:val="Medium Grid 2 Accent 2"/>
    <w:basedOn w:val="33"/>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4">
    <w:name w:val="Medium Grid 2 Accent 3"/>
    <w:basedOn w:val="3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5">
    <w:name w:val="Medium Grid 2 Accent 4"/>
    <w:basedOn w:val="33"/>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6">
    <w:name w:val="Medium Grid 2 Accent 5"/>
    <w:basedOn w:val="3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7">
    <w:name w:val="Medium Grid 2 Accent 6"/>
    <w:basedOn w:val="3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8">
    <w:name w:val="Medium Grid 3"/>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9">
    <w:name w:val="Medium Grid 3 Accent 1"/>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0">
    <w:name w:val="Medium Grid 3 Accent 2"/>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1">
    <w:name w:val="Medium Grid 3 Accent 3"/>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2">
    <w:name w:val="Medium Grid 3 Accent 4"/>
    <w:basedOn w:val="33"/>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3">
    <w:name w:val="Medium Grid 3 Accent 5"/>
    <w:basedOn w:val="33"/>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4">
    <w:name w:val="Medium Grid 3 Accent 6"/>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5">
    <w:name w:val="Dark List"/>
    <w:basedOn w:val="33"/>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6">
    <w:name w:val="Dark List Accent 1"/>
    <w:basedOn w:val="33"/>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7">
    <w:name w:val="Dark List Accent 2"/>
    <w:basedOn w:val="33"/>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8">
    <w:name w:val="Dark List Accent 3"/>
    <w:basedOn w:val="33"/>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9">
    <w:name w:val="Dark List Accent 4"/>
    <w:basedOn w:val="33"/>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0">
    <w:name w:val="Dark List Accent 5"/>
    <w:basedOn w:val="33"/>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1">
    <w:name w:val="Dark List Accent 6"/>
    <w:basedOn w:val="33"/>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2">
    <w:name w:val="Colorful Shading"/>
    <w:basedOn w:val="33"/>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1"/>
    <w:basedOn w:val="33"/>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2"/>
    <w:basedOn w:val="33"/>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3"/>
    <w:basedOn w:val="33"/>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6">
    <w:name w:val="Colorful Shading Accent 4"/>
    <w:basedOn w:val="33"/>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5"/>
    <w:basedOn w:val="33"/>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6"/>
    <w:basedOn w:val="33"/>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List"/>
    <w:basedOn w:val="33"/>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0">
    <w:name w:val="Colorful List Accent 1"/>
    <w:basedOn w:val="33"/>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1">
    <w:name w:val="Colorful List Accent 2"/>
    <w:basedOn w:val="33"/>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2">
    <w:name w:val="Colorful List Accent 3"/>
    <w:basedOn w:val="33"/>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3">
    <w:name w:val="Colorful List Accent 4"/>
    <w:basedOn w:val="33"/>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4">
    <w:name w:val="Colorful List Accent 5"/>
    <w:basedOn w:val="33"/>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5">
    <w:name w:val="Colorful List Accent 6"/>
    <w:basedOn w:val="33"/>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6">
    <w:name w:val="Colorful Grid"/>
    <w:basedOn w:val="33"/>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7">
    <w:name w:val="Colorful Grid Accent 1"/>
    <w:basedOn w:val="33"/>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8">
    <w:name w:val="Colorful Grid Accent 2"/>
    <w:basedOn w:val="33"/>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9">
    <w:name w:val="Colorful Grid Accent 3"/>
    <w:basedOn w:val="33"/>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0">
    <w:name w:val="Colorful Grid Accent 4"/>
    <w:basedOn w:val="33"/>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1">
    <w:name w:val="Colorful Grid Accent 5"/>
    <w:basedOn w:val="33"/>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2">
    <w:name w:val="Colorful Grid Accent 6"/>
    <w:basedOn w:val="33"/>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4">
    <w:name w:val="Strong"/>
    <w:basedOn w:val="133"/>
    <w:qFormat/>
    <w:uiPriority w:val="22"/>
    <w:rPr>
      <w:b/>
      <w:bCs/>
    </w:rPr>
  </w:style>
  <w:style w:type="character" w:styleId="135">
    <w:name w:val="Emphasis"/>
    <w:basedOn w:val="133"/>
    <w:qFormat/>
    <w:uiPriority w:val="20"/>
    <w:rPr>
      <w:i/>
      <w:iCs/>
    </w:rPr>
  </w:style>
  <w:style w:type="character" w:customStyle="1" w:styleId="136">
    <w:name w:val="Header Char"/>
    <w:basedOn w:val="133"/>
    <w:link w:val="25"/>
    <w:uiPriority w:val="99"/>
  </w:style>
  <w:style w:type="character" w:customStyle="1" w:styleId="137">
    <w:name w:val="Footer Char"/>
    <w:basedOn w:val="133"/>
    <w:link w:val="24"/>
    <w:uiPriority w:val="99"/>
  </w:style>
  <w:style w:type="paragraph" w:styleId="138">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9">
    <w:name w:val="Heading 1 Char"/>
    <w:basedOn w:val="133"/>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40">
    <w:name w:val="Heading 2 Char"/>
    <w:basedOn w:val="133"/>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1">
    <w:name w:val="Heading 3 Char"/>
    <w:basedOn w:val="133"/>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2">
    <w:name w:val="Title Char"/>
    <w:basedOn w:val="133"/>
    <w:link w:val="32"/>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3">
    <w:name w:val="Subtitle Char"/>
    <w:basedOn w:val="133"/>
    <w:link w:val="2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4">
    <w:name w:val="List Paragraph"/>
    <w:basedOn w:val="1"/>
    <w:qFormat/>
    <w:uiPriority w:val="34"/>
    <w:pPr>
      <w:ind w:left="720"/>
      <w:contextualSpacing/>
    </w:pPr>
  </w:style>
  <w:style w:type="character" w:customStyle="1" w:styleId="145">
    <w:name w:val="Body Text Char"/>
    <w:basedOn w:val="133"/>
    <w:link w:val="19"/>
    <w:qFormat/>
    <w:uiPriority w:val="99"/>
  </w:style>
  <w:style w:type="character" w:customStyle="1" w:styleId="146">
    <w:name w:val="Body Text 2 Char"/>
    <w:basedOn w:val="133"/>
    <w:link w:val="28"/>
    <w:qFormat/>
    <w:uiPriority w:val="99"/>
  </w:style>
  <w:style w:type="character" w:customStyle="1" w:styleId="147">
    <w:name w:val="Body Text 3 Char"/>
    <w:basedOn w:val="133"/>
    <w:link w:val="17"/>
    <w:qFormat/>
    <w:uiPriority w:val="99"/>
    <w:rPr>
      <w:sz w:val="16"/>
      <w:szCs w:val="16"/>
    </w:rPr>
  </w:style>
  <w:style w:type="character" w:customStyle="1" w:styleId="148">
    <w:name w:val="Macro Text Char"/>
    <w:basedOn w:val="133"/>
    <w:link w:val="2"/>
    <w:qFormat/>
    <w:uiPriority w:val="99"/>
    <w:rPr>
      <w:rFonts w:ascii="Courier" w:hAnsi="Courier"/>
      <w:sz w:val="20"/>
      <w:szCs w:val="20"/>
    </w:rPr>
  </w:style>
  <w:style w:type="paragraph" w:styleId="149">
    <w:name w:val="Quote"/>
    <w:basedOn w:val="1"/>
    <w:next w:val="1"/>
    <w:link w:val="150"/>
    <w:qFormat/>
    <w:uiPriority w:val="29"/>
    <w:rPr>
      <w:i/>
      <w:iCs/>
      <w:color w:val="000000" w:themeColor="text1"/>
      <w14:textFill>
        <w14:solidFill>
          <w14:schemeClr w14:val="tx1"/>
        </w14:solidFill>
      </w14:textFill>
    </w:rPr>
  </w:style>
  <w:style w:type="character" w:customStyle="1" w:styleId="150">
    <w:name w:val="Quote Char"/>
    <w:basedOn w:val="133"/>
    <w:link w:val="149"/>
    <w:qFormat/>
    <w:uiPriority w:val="29"/>
    <w:rPr>
      <w:i/>
      <w:iCs/>
      <w:color w:val="000000" w:themeColor="text1"/>
      <w14:textFill>
        <w14:solidFill>
          <w14:schemeClr w14:val="tx1"/>
        </w14:solidFill>
      </w14:textFill>
    </w:rPr>
  </w:style>
  <w:style w:type="character" w:customStyle="1" w:styleId="151">
    <w:name w:val="Heading 4 Char"/>
    <w:basedOn w:val="133"/>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2">
    <w:name w:val="Heading 5 Char"/>
    <w:basedOn w:val="133"/>
    <w:link w:val="7"/>
    <w:semiHidden/>
    <w:qFormat/>
    <w:uiPriority w:val="9"/>
    <w:rPr>
      <w:rFonts w:asciiTheme="majorHAnsi" w:hAnsiTheme="majorHAnsi" w:eastAsiaTheme="majorEastAsia" w:cstheme="majorBidi"/>
      <w:color w:val="254061" w:themeColor="accent1" w:themeShade="80"/>
    </w:rPr>
  </w:style>
  <w:style w:type="character" w:customStyle="1" w:styleId="153">
    <w:name w:val="Heading 6 Char"/>
    <w:basedOn w:val="133"/>
    <w:link w:val="8"/>
    <w:semiHidden/>
    <w:qFormat/>
    <w:uiPriority w:val="9"/>
    <w:rPr>
      <w:rFonts w:asciiTheme="majorHAnsi" w:hAnsiTheme="majorHAnsi" w:eastAsiaTheme="majorEastAsia" w:cstheme="majorBidi"/>
      <w:i/>
      <w:iCs/>
      <w:color w:val="254061" w:themeColor="accent1" w:themeShade="80"/>
    </w:rPr>
  </w:style>
  <w:style w:type="character" w:customStyle="1" w:styleId="154">
    <w:name w:val="Heading 7 Char"/>
    <w:basedOn w:val="133"/>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5">
    <w:name w:val="Heading 8 Char"/>
    <w:basedOn w:val="133"/>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6">
    <w:name w:val="Heading 9 Char"/>
    <w:basedOn w:val="133"/>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7">
    <w:name w:val="Intense Quote"/>
    <w:basedOn w:val="1"/>
    <w:next w:val="1"/>
    <w:link w:val="158"/>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8">
    <w:name w:val="Intense Quote Char"/>
    <w:basedOn w:val="133"/>
    <w:link w:val="157"/>
    <w:qFormat/>
    <w:uiPriority w:val="30"/>
    <w:rPr>
      <w:b/>
      <w:bCs/>
      <w:i/>
      <w:iCs/>
      <w:color w:val="4F81BD" w:themeColor="accent1"/>
      <w14:textFill>
        <w14:solidFill>
          <w14:schemeClr w14:val="accent1"/>
        </w14:solidFill>
      </w14:textFill>
    </w:rPr>
  </w:style>
  <w:style w:type="character" w:customStyle="1" w:styleId="159">
    <w:name w:val="Subtle Emphasis"/>
    <w:basedOn w:val="133"/>
    <w:qFormat/>
    <w:uiPriority w:val="19"/>
    <w:rPr>
      <w:i/>
      <w:iCs/>
      <w:color w:val="808080" w:themeColor="text1" w:themeTint="80"/>
      <w14:textFill>
        <w14:solidFill>
          <w14:schemeClr w14:val="tx1">
            <w14:lumMod w14:val="50000"/>
            <w14:lumOff w14:val="50000"/>
          </w14:schemeClr>
        </w14:solidFill>
      </w14:textFill>
    </w:rPr>
  </w:style>
  <w:style w:type="character" w:customStyle="1" w:styleId="160">
    <w:name w:val="Intense Emphasis"/>
    <w:basedOn w:val="133"/>
    <w:qFormat/>
    <w:uiPriority w:val="21"/>
    <w:rPr>
      <w:b/>
      <w:bCs/>
      <w:i/>
      <w:iCs/>
      <w:color w:val="4F81BD" w:themeColor="accent1"/>
      <w14:textFill>
        <w14:solidFill>
          <w14:schemeClr w14:val="accent1"/>
        </w14:solidFill>
      </w14:textFill>
    </w:rPr>
  </w:style>
  <w:style w:type="character" w:customStyle="1" w:styleId="161">
    <w:name w:val="Subtle Reference"/>
    <w:basedOn w:val="133"/>
    <w:qFormat/>
    <w:uiPriority w:val="31"/>
    <w:rPr>
      <w:smallCaps/>
      <w:color w:val="C0504D" w:themeColor="accent2"/>
      <w:u w:val="single"/>
      <w14:textFill>
        <w14:solidFill>
          <w14:schemeClr w14:val="accent2"/>
        </w14:solidFill>
      </w14:textFill>
    </w:rPr>
  </w:style>
  <w:style w:type="character" w:customStyle="1" w:styleId="162">
    <w:name w:val="Intense Reference"/>
    <w:basedOn w:val="133"/>
    <w:qFormat/>
    <w:uiPriority w:val="32"/>
    <w:rPr>
      <w:b/>
      <w:bCs/>
      <w:smallCaps/>
      <w:color w:val="C0504D" w:themeColor="accent2"/>
      <w:spacing w:val="5"/>
      <w:u w:val="single"/>
      <w14:textFill>
        <w14:solidFill>
          <w14:schemeClr w14:val="accent2"/>
        </w14:solidFill>
      </w14:textFill>
    </w:rPr>
  </w:style>
  <w:style w:type="character" w:customStyle="1" w:styleId="163">
    <w:name w:val="Book Title"/>
    <w:basedOn w:val="133"/>
    <w:qFormat/>
    <w:uiPriority w:val="33"/>
    <w:rPr>
      <w:b/>
      <w:bCs/>
      <w:smallCaps/>
      <w:spacing w:val="5"/>
    </w:rPr>
  </w:style>
  <w:style w:type="paragraph" w:customStyle="1" w:styleId="164">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8</Pages>
  <Words>4784</Words>
  <Characters>4817</Characters>
  <Lines>0</Lines>
  <Paragraphs>0</Paragraphs>
  <TotalTime>18</TotalTime>
  <ScaleCrop>false</ScaleCrop>
  <LinksUpToDate>false</LinksUpToDate>
  <CharactersWithSpaces>4848</CharactersWithSpaces>
  <Application>WPS Office_12.1.0.28022_F1E327BC-269C-435d-A152-05C5408002CA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刘友宝</cp:lastModifiedBy>
  <dcterms:modified xsi:type="dcterms:W3CDTF">2026-08-22T07:54:01Z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eyJoZGlkIjoiZWZhMTdkYjEwNzZkNWY5OWRhZDNlY2EwYzgwNGEwNTMiLCJ1c2VySWQiOiIyNjEwMTA1MzQifQ==</vt:lpwstr>
  </property>
  <property fmtid="{D5CDD505-2E9C-101B-9397-08002B2CF9AE}" pid="3" name="KSOProductBuildVer">
    <vt:lpwstr>2052-12.1.0.28022</vt:lpwstr>
  </property>
  <property fmtid="{D5CDD505-2E9C-101B-9397-08002B2CF9AE}" pid="4" name="ICV">
    <vt:lpwstr>05668BF9DD9145C0866A0220DAF99B94_12</vt:lpwstr>
  </property>
</Properties>
</file>