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商业计划书</w:t>
      </w:r>
    </w:p>
    <w:p>
      <w:pPr>
        <w:spacing w:before="120" w:after="120" w:line="288" w:lineRule="auto"/>
        <w:ind w:left="0"/>
        <w:jc w:val="left"/>
      </w:pPr>
      <w:r>
        <w:rPr>
          <w:rFonts w:eastAsia="等线" w:ascii="Arial" w:cs="Arial" w:hAnsi="Arial"/>
          <w:sz w:val="22"/>
        </w:rPr>
        <w:t>标的主体：长沙市望城区叁竹职业培训学校有限公司</w:t>
        <w:br/>
        <w:t>投资方：湖南外国语职业学院（民办全日制大专院校）</w:t>
        <w:br/>
        <w:t>核心赛道：养老照护九大工种培训 + 省级技能等级认定（养老护理员、健康照护师 - 长期照护师、老年人能力评估师、育婴师、医疗护理员、营养配餐员、保健按摩师、家政服务员、茶艺师）</w:t>
        <w:br/>
      </w:r>
      <w:r>
        <w:rPr>
          <w:rFonts w:eastAsia="等线" w:ascii="Arial" w:cs="Arial" w:hAnsi="Arial"/>
          <w:sz w:val="22"/>
        </w:rPr>
        <w:t>合作模式：湖外全额现金入股持股 40%，原自然人股东持股 60%；校企渊源深厚，前期仅工商注册挂靠校内，无专属划分实训、办公场地，场地仅迎检备用、无实际运营使用；本次股权合作落地后，校方明确划拨专属实训教学区、独立办公区供叁竹常态化使用；过往仅鉴定业务合作意向，无正式协议、无落地执行。</w:t>
      </w:r>
    </w:p>
    <w:p>
      <w:pPr>
        <w:pStyle w:val="2"/>
        <w:spacing w:before="320" w:after="120" w:line="288" w:lineRule="auto"/>
        <w:ind w:left="0"/>
        <w:jc w:val="left"/>
        <w:outlineLvl w:val="1"/>
      </w:pPr>
      <w:bookmarkStart w:name="heading_0" w:id="0"/>
      <w:r>
        <w:rPr>
          <w:rFonts w:eastAsia="等线" w:ascii="Arial" w:cs="Arial" w:hAnsi="Arial"/>
          <w:b w:val="true"/>
          <w:sz w:val="32"/>
        </w:rPr>
        <w:t>目录</w:t>
      </w:r>
      <w:bookmarkEnd w:id="0"/>
    </w:p>
    <w:p>
      <w:pPr>
        <w:spacing w:before="120" w:after="120" w:line="288" w:lineRule="auto"/>
        <w:ind w:left="0"/>
        <w:jc w:val="left"/>
      </w:pPr>
      <w:r>
        <w:rPr>
          <w:rFonts w:eastAsia="等线" w:ascii="Arial" w:cs="Arial" w:hAnsi="Arial"/>
          <w:sz w:val="22"/>
        </w:rPr>
        <w:t>一、执行摘要</w:t>
        <w:br/>
        <w:t>二、校企合作渊源与合作动因</w:t>
        <w:br/>
        <w:t>三、养老照护行业市场与叁竹行业核心优势</w:t>
        <w:br/>
        <w:t>四、叁竹培训公司经营现状、实力与平台价值</w:t>
        <w:br/>
        <w:t>五、湖外配套资源与合作价值</w:t>
        <w:br/>
        <w:t>六、股权架构、估值测算及 40% 股权现金入股建议</w:t>
        <w:br/>
        <w:t>七、校企融合全产业链业务布局</w:t>
        <w:br/>
        <w:t>八、三年发展规划</w:t>
        <w:br/>
        <w:t>九、双方协同价值与长期产业前景</w:t>
        <w:br/>
      </w:r>
      <w:r>
        <w:rPr>
          <w:rFonts w:eastAsia="等线" w:ascii="Arial" w:cs="Arial" w:hAnsi="Arial"/>
          <w:sz w:val="22"/>
        </w:rPr>
        <w:t>十、合规管控与落地实施步骤</w:t>
      </w:r>
    </w:p>
    <w:p>
      <w:pPr>
        <w:pStyle w:val="2"/>
        <w:spacing w:before="320" w:after="120" w:line="288" w:lineRule="auto"/>
        <w:ind w:left="0"/>
        <w:jc w:val="left"/>
        <w:outlineLvl w:val="1"/>
      </w:pPr>
      <w:bookmarkStart w:name="heading_1" w:id="1"/>
      <w:r>
        <w:rPr>
          <w:rFonts w:eastAsia="等线" w:ascii="Arial" w:cs="Arial" w:hAnsi="Arial"/>
          <w:b w:val="true"/>
          <w:sz w:val="32"/>
        </w:rPr>
        <w:t>一、执行摘要</w:t>
      </w:r>
      <w:bookmarkEnd w:id="1"/>
    </w:p>
    <w:p>
      <w:pPr>
        <w:numPr>
          <w:numId w:val="1"/>
        </w:numPr>
        <w:spacing w:before="120" w:after="120" w:line="288" w:lineRule="auto"/>
        <w:ind w:left="0"/>
        <w:jc w:val="left"/>
      </w:pPr>
      <w:r>
        <w:rPr>
          <w:rFonts w:eastAsia="等线" w:ascii="Arial" w:cs="Arial" w:hAnsi="Arial"/>
          <w:sz w:val="22"/>
        </w:rPr>
        <w:t>深厚合作根基</w:t>
        <w:br/>
      </w:r>
      <w:r>
        <w:rPr>
          <w:rFonts w:eastAsia="等线" w:ascii="Arial" w:cs="Arial" w:hAnsi="Arial"/>
          <w:sz w:val="22"/>
        </w:rPr>
        <w:t>湖南外国语职业学院为民办全日制高等职业院校，校内健康管理学院由叁竹董事长李永国与湖外宁平董事长联合创办，双方多年深度交流，互信基础牢固。叁竹仅工商注册地址挂靠湖外校内，校方未实际划分、交付专属实训及办公场地，原有场地仅用于主管部门检查备查，日常经营无固定场地可用；湖外现有健康照护师校内鉴定资质，全流程申报、课程搭建、考评体系均由叁竹全程协助落地。双方仅口头探讨多工种鉴定合作，无签约、无落地项目，本次为全新股权战略合作。</w:t>
      </w:r>
    </w:p>
    <w:p>
      <w:pPr>
        <w:numPr>
          <w:numId w:val="2"/>
        </w:numPr>
        <w:spacing w:before="120" w:after="120" w:line="288" w:lineRule="auto"/>
        <w:ind w:left="0"/>
        <w:jc w:val="left"/>
      </w:pPr>
      <w:r>
        <w:rPr>
          <w:rFonts w:eastAsia="等线" w:ascii="Arial" w:cs="Arial" w:hAnsi="Arial"/>
          <w:sz w:val="22"/>
        </w:rPr>
        <w:t>本次合作核心突破：专属场地正式划拨</w:t>
        <w:br/>
      </w:r>
      <w:r>
        <w:rPr>
          <w:rFonts w:eastAsia="等线" w:ascii="Arial" w:cs="Arial" w:hAnsi="Arial"/>
          <w:sz w:val="22"/>
        </w:rPr>
        <w:t>本次股权合作落地后，湖外将明确划定、交付专属实训教学场地 + 独立配套办公场地，完整匹配培训教学、技能鉴定、日常办公全流程需求，场地合作期内永久免费提供，彻底解决叁竹长期无固定实训、办公场地的经营痛点，同时满足省级鉴定站场地硬件验收硬性标准。</w:t>
      </w:r>
    </w:p>
    <w:p>
      <w:pPr>
        <w:numPr>
          <w:numId w:val="3"/>
        </w:numPr>
        <w:spacing w:before="120" w:after="120" w:line="288" w:lineRule="auto"/>
        <w:ind w:left="0"/>
        <w:jc w:val="left"/>
      </w:pPr>
      <w:r>
        <w:rPr>
          <w:rFonts w:eastAsia="等线" w:ascii="Arial" w:cs="Arial" w:hAnsi="Arial"/>
          <w:sz w:val="22"/>
        </w:rPr>
        <w:t>湖外转型刚需</w:t>
        <w:br/>
      </w:r>
      <w:r>
        <w:rPr>
          <w:rFonts w:eastAsia="等线" w:ascii="Arial" w:cs="Arial" w:hAnsi="Arial"/>
          <w:sz w:val="22"/>
        </w:rPr>
        <w:t>AI 大幅压缩传统外语专业就业空间，民办院校亟需依托养老照护这一国家政策扶持赛道完成专业升级。校内 UBIC 大学养老社区缺少标准化课程、鉴定运营能力、市场化招生与持证人才供给，产业闭环存在明显短板，本次合作可补齐产业运营核心短板。</w:t>
      </w:r>
    </w:p>
    <w:p>
      <w:pPr>
        <w:numPr>
          <w:numId w:val="4"/>
        </w:numPr>
        <w:spacing w:before="120" w:after="120" w:line="288" w:lineRule="auto"/>
        <w:ind w:left="0"/>
        <w:jc w:val="left"/>
      </w:pPr>
      <w:r>
        <w:rPr>
          <w:rFonts w:eastAsia="等线" w:ascii="Arial" w:cs="Arial" w:hAnsi="Arial"/>
          <w:sz w:val="22"/>
        </w:rPr>
        <w:t>叁竹核心行业实力</w:t>
        <w:br/>
      </w:r>
      <w:r>
        <w:rPr>
          <w:rFonts w:eastAsia="等线" w:ascii="Arial" w:cs="Arial" w:hAnsi="Arial"/>
          <w:sz w:val="22"/>
        </w:rPr>
        <w:t>省内养老照护培训稳居行业前三；九大工种完整自研标准化培训体系；全国线上招生咨询服务平台已搭建落地；2025 年全年培训总人次突破 6000 人；线上平台面向全国持续拓客，无形资产与品牌壁垒突出。</w:t>
      </w:r>
    </w:p>
    <w:p>
      <w:pPr>
        <w:numPr>
          <w:numId w:val="5"/>
        </w:numPr>
        <w:spacing w:before="120" w:after="120" w:line="288" w:lineRule="auto"/>
        <w:ind w:left="0"/>
        <w:jc w:val="left"/>
      </w:pPr>
      <w:r>
        <w:rPr>
          <w:rFonts w:eastAsia="等线" w:ascii="Arial" w:cs="Arial" w:hAnsi="Arial"/>
          <w:sz w:val="22"/>
        </w:rPr>
        <w:t>股权合作核心方案</w:t>
        <w:br/>
        <w:t>湖外全部以货币现金入股，持有公司 40% 股权，原自然人股东持股 60% 并全权运营；校方实训、办公场地仅校内台账登记备案，不折价抵扣入股资金，合作后场地正式交付常态化教学、办公、鉴定使用。</w:t>
        <w:br/>
      </w:r>
      <w:r>
        <w:rPr>
          <w:rFonts w:eastAsia="等线" w:ascii="Arial" w:cs="Arial" w:hAnsi="Arial"/>
          <w:sz w:val="22"/>
        </w:rPr>
        <w:t>完整产业闭环：湖外康养在校生→校内专属实训基地实操→省级技能鉴定发证→校内 UBIC 养老社区定向就业→全国养老机构人才输送→养老机构咨询服务。</w:t>
      </w:r>
    </w:p>
    <w:p>
      <w:pPr>
        <w:numPr>
          <w:numId w:val="6"/>
        </w:numPr>
        <w:spacing w:before="120" w:after="120" w:line="288" w:lineRule="auto"/>
        <w:ind w:left="0"/>
        <w:jc w:val="left"/>
      </w:pPr>
      <w:r>
        <w:rPr>
          <w:rFonts w:eastAsia="等线" w:ascii="Arial" w:cs="Arial" w:hAnsi="Arial"/>
          <w:sz w:val="22"/>
        </w:rPr>
        <w:t>估值与现金出资核心结论</w:t>
        <w:br/>
      </w:r>
      <w:r>
        <w:rPr>
          <w:rFonts w:eastAsia="等线" w:ascii="Arial" w:cs="Arial" w:hAnsi="Arial"/>
          <w:sz w:val="22"/>
        </w:rPr>
        <w:t>本次合作估值不引入第三方资产评估机构评估，定价依托双方多年合作积淀、湖外宁平董事长对康养行业的深度研判以及打造校园 UBIC 养老社区全产业链闭环的长期战略目标协商确定。结合公司营收规模、6000 + 年培训人次、省内前三行业口碑、全工种自研课程、成熟全国线上招生平台、鉴定申报实操能力，综合协商确定公司投前估值 3000 万元；湖外持有 40% 股权对应现金出资总额 1200 万元，分两期实缴。资金专项用于多工种省级鉴定资质申报、线上全国平台迭代、市场扩张、考评师资团队扩充。</w:t>
      </w:r>
    </w:p>
    <w:p>
      <w:pPr>
        <w:numPr>
          <w:numId w:val="7"/>
        </w:numPr>
        <w:spacing w:before="120" w:after="120" w:line="288" w:lineRule="auto"/>
        <w:ind w:left="0"/>
        <w:jc w:val="left"/>
      </w:pPr>
      <w:r>
        <w:rPr>
          <w:rFonts w:eastAsia="等线" w:ascii="Arial" w:cs="Arial" w:hAnsi="Arial"/>
          <w:sz w:val="22"/>
        </w:rPr>
        <w:t>项目收益前景</w:t>
        <w:br/>
      </w:r>
      <w:r>
        <w:rPr>
          <w:rFonts w:eastAsia="等线" w:ascii="Arial" w:cs="Arial" w:hAnsi="Arial"/>
          <w:sz w:val="22"/>
        </w:rPr>
        <w:t>老龄化 + 长护险全国落地催生千万级人才缺口，培训、鉴定、人才输送及咨询业务四大板块持续增收；合作后校方闲置实训场地、配套办公区、UBIC 养老社区同步盘活，打造湖南省民办高职院校产教融合标杆项目，股东享有稳定年度分红与长期股权增值双重收益。</w:t>
      </w:r>
    </w:p>
    <w:p>
      <w:pPr>
        <w:pStyle w:val="2"/>
        <w:spacing w:before="320" w:after="120" w:line="288" w:lineRule="auto"/>
        <w:ind w:left="0"/>
        <w:jc w:val="left"/>
        <w:outlineLvl w:val="1"/>
      </w:pPr>
      <w:bookmarkStart w:name="heading_2" w:id="2"/>
      <w:r>
        <w:rPr>
          <w:rFonts w:eastAsia="等线" w:ascii="Arial" w:cs="Arial" w:hAnsi="Arial"/>
          <w:b w:val="true"/>
          <w:sz w:val="32"/>
        </w:rPr>
        <w:t>二、校企合作渊源与合作动因</w:t>
      </w:r>
      <w:bookmarkEnd w:id="2"/>
    </w:p>
    <w:p>
      <w:pPr>
        <w:pStyle w:val="3"/>
        <w:spacing w:before="300" w:after="120" w:line="288" w:lineRule="auto"/>
        <w:ind w:left="0"/>
        <w:jc w:val="left"/>
        <w:outlineLvl w:val="2"/>
      </w:pPr>
      <w:bookmarkStart w:name="heading_3" w:id="3"/>
      <w:r>
        <w:rPr>
          <w:rFonts w:eastAsia="等线" w:ascii="Arial" w:cs="Arial" w:hAnsi="Arial"/>
          <w:b w:val="true"/>
          <w:sz w:val="30"/>
        </w:rPr>
        <w:t>（一）长期合作历史</w:t>
      </w:r>
      <w:bookmarkEnd w:id="3"/>
    </w:p>
    <w:p>
      <w:pPr>
        <w:numPr>
          <w:numId w:val="8"/>
        </w:numPr>
        <w:spacing w:before="120" w:after="120" w:line="288" w:lineRule="auto"/>
        <w:ind w:left="0"/>
        <w:jc w:val="left"/>
      </w:pPr>
      <w:r>
        <w:rPr>
          <w:rFonts w:eastAsia="等线" w:ascii="Arial" w:cs="Arial" w:hAnsi="Arial"/>
          <w:sz w:val="22"/>
        </w:rPr>
        <w:t>共建学院根基：湖外为民办大专院校，其健康管理学院由双方董事长合力申报创办，李永国教授全程参与专业搭建、行业资源导入，退出经营后持续为学院输送产业资源，双方高层对康养产业发展具备统一认知。</w:t>
      </w:r>
    </w:p>
    <w:p>
      <w:pPr>
        <w:numPr>
          <w:numId w:val="9"/>
        </w:numPr>
        <w:spacing w:before="120" w:after="120" w:line="288" w:lineRule="auto"/>
        <w:ind w:left="0"/>
        <w:jc w:val="left"/>
      </w:pPr>
      <w:r>
        <w:rPr>
          <w:rFonts w:eastAsia="等线" w:ascii="Arial" w:cs="Arial" w:hAnsi="Arial"/>
          <w:sz w:val="22"/>
        </w:rPr>
        <w:t>注册挂靠、无专属场地现状：叁竹仅工商地址落户校内，多年来校方未划分独立实训、办公区域，仅预留场地用于迎检，日常培训、办公无固定场地支撑，无场地租金往来。</w:t>
      </w:r>
    </w:p>
    <w:p>
      <w:pPr>
        <w:numPr>
          <w:numId w:val="10"/>
        </w:numPr>
        <w:spacing w:before="120" w:after="120" w:line="288" w:lineRule="auto"/>
        <w:ind w:left="0"/>
        <w:jc w:val="left"/>
      </w:pPr>
      <w:r>
        <w:rPr>
          <w:rFonts w:eastAsia="等线" w:ascii="Arial" w:cs="Arial" w:hAnsi="Arial"/>
          <w:sz w:val="22"/>
        </w:rPr>
        <w:t>鉴定资质共建实绩：湖外健康照护师校内鉴定资质全套申报材料、课程标准、考评流程均由叁竹团队落地，是资质获批核心支撑，印证双方产业配合能力。</w:t>
      </w:r>
    </w:p>
    <w:p>
      <w:pPr>
        <w:numPr>
          <w:numId w:val="11"/>
        </w:numPr>
        <w:spacing w:before="120" w:after="120" w:line="288" w:lineRule="auto"/>
        <w:ind w:left="0"/>
        <w:jc w:val="left"/>
      </w:pPr>
      <w:r>
        <w:rPr>
          <w:rFonts w:eastAsia="等线" w:ascii="Arial" w:cs="Arial" w:hAnsi="Arial"/>
          <w:sz w:val="22"/>
        </w:rPr>
        <w:t>前期仅意向沟通：未签署任何合作协议，无落地项目，本次股权合作为基于长期信任升级的全新深度绑定合作模式。</w:t>
      </w:r>
    </w:p>
    <w:p>
      <w:pPr>
        <w:pStyle w:val="3"/>
        <w:spacing w:before="300" w:after="120" w:line="288" w:lineRule="auto"/>
        <w:ind w:left="0"/>
        <w:jc w:val="left"/>
        <w:outlineLvl w:val="2"/>
      </w:pPr>
      <w:bookmarkStart w:name="heading_4" w:id="4"/>
      <w:r>
        <w:rPr>
          <w:rFonts w:eastAsia="等线" w:ascii="Arial" w:cs="Arial" w:hAnsi="Arial"/>
          <w:b w:val="true"/>
          <w:sz w:val="30"/>
        </w:rPr>
        <w:t>（二）湖外合作动因</w:t>
      </w:r>
      <w:bookmarkEnd w:id="4"/>
    </w:p>
    <w:p>
      <w:pPr>
        <w:numPr>
          <w:numId w:val="12"/>
        </w:numPr>
        <w:spacing w:before="120" w:after="120" w:line="288" w:lineRule="auto"/>
        <w:ind w:left="0"/>
        <w:jc w:val="left"/>
      </w:pPr>
      <w:r>
        <w:rPr>
          <w:rFonts w:eastAsia="等线" w:ascii="Arial" w:cs="Arial" w:hAnsi="Arial"/>
          <w:sz w:val="22"/>
        </w:rPr>
        <w:t>专业转型：作为民办高职院校，传统外语赛道受 AI 冲击，招生、就业承压，养老照护为国家重点扶持朝阳产业，可打造院校王牌特色专业，提升民办院校核心竞争力与招生吸引力。</w:t>
      </w:r>
    </w:p>
    <w:p>
      <w:pPr>
        <w:numPr>
          <w:numId w:val="13"/>
        </w:numPr>
        <w:spacing w:before="120" w:after="120" w:line="288" w:lineRule="auto"/>
        <w:ind w:left="0"/>
        <w:jc w:val="left"/>
      </w:pPr>
      <w:r>
        <w:rPr>
          <w:rFonts w:eastAsia="等线" w:ascii="Arial" w:cs="Arial" w:hAnsi="Arial"/>
          <w:sz w:val="22"/>
        </w:rPr>
        <w:t>盘活存量闲置资产：盘活校内康养实训场地、配套办公用房；UBIC 养老社区缺乏培训体系与持证人力，无法产生产业收益。本次合作一次性将闲置实训 + 办公场地转化为实体产业配套资源，完成校园康养全闭环布局。</w:t>
      </w:r>
    </w:p>
    <w:p>
      <w:pPr>
        <w:numPr>
          <w:numId w:val="14"/>
        </w:numPr>
        <w:spacing w:before="120" w:after="120" w:line="288" w:lineRule="auto"/>
        <w:ind w:left="0"/>
        <w:jc w:val="left"/>
      </w:pPr>
      <w:r>
        <w:rPr>
          <w:rFonts w:eastAsia="等线" w:ascii="Arial" w:cs="Arial" w:hAnsi="Arial"/>
          <w:sz w:val="22"/>
        </w:rPr>
        <w:t>补齐运营短板：校方无市场化培训、全国渠道、省级鉴定申报实操能力，依托叁竹成熟产业体系快速搭建完整康养产业链，落地宁平董事长规划的校园养老社区产业蓝图。</w:t>
      </w:r>
    </w:p>
    <w:p>
      <w:pPr>
        <w:pStyle w:val="3"/>
        <w:spacing w:before="300" w:after="120" w:line="288" w:lineRule="auto"/>
        <w:ind w:left="0"/>
        <w:jc w:val="left"/>
        <w:outlineLvl w:val="2"/>
      </w:pPr>
      <w:bookmarkStart w:name="heading_5" w:id="5"/>
      <w:r>
        <w:rPr>
          <w:rFonts w:eastAsia="等线" w:ascii="Arial" w:cs="Arial" w:hAnsi="Arial"/>
          <w:b w:val="true"/>
          <w:sz w:val="30"/>
        </w:rPr>
        <w:t>（三）叁竹合作动因</w:t>
      </w:r>
      <w:bookmarkEnd w:id="5"/>
    </w:p>
    <w:p>
      <w:pPr>
        <w:numPr>
          <w:numId w:val="15"/>
        </w:numPr>
        <w:spacing w:before="120" w:after="120" w:line="288" w:lineRule="auto"/>
        <w:ind w:left="0"/>
        <w:jc w:val="left"/>
      </w:pPr>
      <w:r>
        <w:rPr>
          <w:rFonts w:eastAsia="等线" w:ascii="Arial" w:cs="Arial" w:hAnsi="Arial"/>
          <w:sz w:val="22"/>
        </w:rPr>
        <w:t>获得专属固定经营场地：合作后校方划拨标准化实训教室 + 独立办公区，彻底解决长期无固定教学、办公场地的痛点，硬件完全满足省级鉴定站验收标准，无需重金新建、租赁场地。</w:t>
      </w:r>
    </w:p>
    <w:p>
      <w:pPr>
        <w:numPr>
          <w:numId w:val="16"/>
        </w:numPr>
        <w:spacing w:before="120" w:after="120" w:line="288" w:lineRule="auto"/>
        <w:ind w:left="0"/>
        <w:jc w:val="left"/>
      </w:pPr>
      <w:r>
        <w:rPr>
          <w:rFonts w:eastAsia="等线" w:ascii="Arial" w:cs="Arial" w:hAnsi="Arial"/>
          <w:sz w:val="22"/>
        </w:rPr>
        <w:t>民办高校资源赋能：依托湖外民办大专院校主体、在校生源、院校品牌，大幅提升多工种省级鉴定资质申报通过率。</w:t>
      </w:r>
    </w:p>
    <w:p>
      <w:pPr>
        <w:numPr>
          <w:numId w:val="17"/>
        </w:numPr>
        <w:spacing w:before="120" w:after="120" w:line="288" w:lineRule="auto"/>
        <w:ind w:left="0"/>
        <w:jc w:val="left"/>
      </w:pPr>
      <w:r>
        <w:rPr>
          <w:rFonts w:eastAsia="等线" w:ascii="Arial" w:cs="Arial" w:hAnsi="Arial"/>
          <w:sz w:val="22"/>
        </w:rPr>
        <w:t>实景实训差异化优势：校内 UBIC 养老社区作为高阶实操场景，拉开与中小型培训机构差距，形成独有竞争壁垒。</w:t>
      </w:r>
    </w:p>
    <w:p>
      <w:pPr>
        <w:pStyle w:val="2"/>
        <w:spacing w:before="320" w:after="120" w:line="288" w:lineRule="auto"/>
        <w:ind w:left="0"/>
        <w:jc w:val="left"/>
        <w:outlineLvl w:val="1"/>
      </w:pPr>
      <w:bookmarkStart w:name="heading_6" w:id="6"/>
      <w:r>
        <w:rPr>
          <w:rFonts w:eastAsia="等线" w:ascii="Arial" w:cs="Arial" w:hAnsi="Arial"/>
          <w:b w:val="true"/>
          <w:sz w:val="32"/>
        </w:rPr>
        <w:t>三、养老照护行业市场与叁竹核心竞争优势</w:t>
      </w:r>
      <w:bookmarkEnd w:id="6"/>
    </w:p>
    <w:p>
      <w:pPr>
        <w:pStyle w:val="3"/>
        <w:spacing w:before="300" w:after="120" w:line="288" w:lineRule="auto"/>
        <w:ind w:left="0"/>
        <w:jc w:val="left"/>
        <w:outlineLvl w:val="2"/>
      </w:pPr>
      <w:bookmarkStart w:name="heading_7" w:id="7"/>
      <w:r>
        <w:rPr>
          <w:rFonts w:eastAsia="等线" w:ascii="Arial" w:cs="Arial" w:hAnsi="Arial"/>
          <w:b w:val="true"/>
          <w:sz w:val="30"/>
        </w:rPr>
        <w:t>（一）行业政策与市场刚需</w:t>
      </w:r>
      <w:bookmarkEnd w:id="7"/>
    </w:p>
    <w:p>
      <w:pPr>
        <w:numPr>
          <w:numId w:val="18"/>
        </w:numPr>
        <w:spacing w:before="120" w:after="120" w:line="288" w:lineRule="auto"/>
        <w:ind w:left="0"/>
        <w:jc w:val="left"/>
      </w:pPr>
      <w:r>
        <w:rPr>
          <w:rFonts w:eastAsia="等线" w:ascii="Arial" w:cs="Arial" w:hAnsi="Arial"/>
          <w:sz w:val="22"/>
        </w:rPr>
        <w:t>政策红利：长护险全国落地，多类照护工种强制持证上岗，考证可申领专项培训补贴；湖南省大力支持民办院校与民办培训机构开展混合所有制产教融合项目。</w:t>
      </w:r>
    </w:p>
    <w:p>
      <w:pPr>
        <w:numPr>
          <w:numId w:val="19"/>
        </w:numPr>
        <w:spacing w:before="120" w:after="120" w:line="288" w:lineRule="auto"/>
        <w:ind w:left="0"/>
        <w:jc w:val="left"/>
      </w:pPr>
      <w:r>
        <w:rPr>
          <w:rFonts w:eastAsia="等线" w:ascii="Arial" w:cs="Arial" w:hAnsi="Arial"/>
          <w:sz w:val="22"/>
        </w:rPr>
        <w:t>市场空间：全国 60 岁以上人口超 3.2 亿，失能半失能老人 4500 万，持证照护人才缺口超 900 万；养老培训、省级技能鉴定、人才输送赛道持续高速增长，省级鉴定机构审批名额稀缺，行业现金流稳定。</w:t>
      </w:r>
    </w:p>
    <w:p>
      <w:pPr>
        <w:pStyle w:val="3"/>
        <w:spacing w:before="300" w:after="120" w:line="288" w:lineRule="auto"/>
        <w:ind w:left="0"/>
        <w:jc w:val="left"/>
        <w:outlineLvl w:val="2"/>
      </w:pPr>
      <w:bookmarkStart w:name="heading_8" w:id="8"/>
      <w:r>
        <w:rPr>
          <w:rFonts w:eastAsia="等线" w:ascii="Arial" w:cs="Arial" w:hAnsi="Arial"/>
          <w:b w:val="true"/>
          <w:sz w:val="30"/>
        </w:rPr>
        <w:t>（二）叁竹行业核心突出优势</w:t>
      </w:r>
      <w:bookmarkEnd w:id="8"/>
    </w:p>
    <w:p>
      <w:pPr>
        <w:numPr>
          <w:numId w:val="20"/>
        </w:numPr>
        <w:spacing w:before="120" w:after="120" w:line="288" w:lineRule="auto"/>
        <w:ind w:left="0"/>
        <w:jc w:val="left"/>
      </w:pPr>
      <w:r>
        <w:rPr>
          <w:rFonts w:eastAsia="等线" w:ascii="Arial" w:cs="Arial" w:hAnsi="Arial"/>
          <w:sz w:val="22"/>
        </w:rPr>
        <w:t>省内头部行业地位</w:t>
        <w:br/>
      </w:r>
      <w:r>
        <w:rPr>
          <w:rFonts w:eastAsia="等线" w:ascii="Arial" w:cs="Arial" w:hAnsi="Arial"/>
          <w:sz w:val="22"/>
        </w:rPr>
        <w:t>养老照护培训规模、口碑稳居湖南省内行业前三，线上线下学员积累充足，在民政、人社、各大康养机构具备高度认可度，品牌壁垒显著。</w:t>
      </w:r>
    </w:p>
    <w:p>
      <w:pPr>
        <w:numPr>
          <w:numId w:val="21"/>
        </w:numPr>
        <w:spacing w:before="120" w:after="120" w:line="288" w:lineRule="auto"/>
        <w:ind w:left="0"/>
        <w:jc w:val="left"/>
      </w:pPr>
      <w:r>
        <w:rPr>
          <w:rFonts w:eastAsia="等线" w:ascii="Arial" w:cs="Arial" w:hAnsi="Arial"/>
          <w:sz w:val="22"/>
        </w:rPr>
        <w:t>完整自研标准化培训体系</w:t>
        <w:br/>
      </w:r>
      <w:r>
        <w:rPr>
          <w:rFonts w:eastAsia="等线" w:ascii="Arial" w:cs="Arial" w:hAnsi="Arial"/>
          <w:sz w:val="22"/>
        </w:rPr>
        <w:t>长期照护师、养老护理员、健康照护师、老年人能力评估师、育婴师、医疗护理员等九大工种全套课程、教材、实训考评标准全部自主搭建完成，拥有独家课程无形资产。</w:t>
      </w:r>
    </w:p>
    <w:p>
      <w:pPr>
        <w:numPr>
          <w:numId w:val="22"/>
        </w:numPr>
        <w:spacing w:before="120" w:after="120" w:line="288" w:lineRule="auto"/>
        <w:ind w:left="0"/>
        <w:jc w:val="left"/>
      </w:pPr>
      <w:r>
        <w:rPr>
          <w:rFonts w:eastAsia="等线" w:ascii="Arial" w:cs="Arial" w:hAnsi="Arial"/>
          <w:sz w:val="22"/>
        </w:rPr>
        <w:t>成熟全国线上招生咨询平台</w:t>
        <w:br/>
      </w:r>
      <w:r>
        <w:rPr>
          <w:rFonts w:eastAsia="等线" w:ascii="Arial" w:cs="Arial" w:hAnsi="Arial"/>
          <w:sz w:val="22"/>
        </w:rPr>
        <w:t>全国线上培训、咨询数字化平台已落地运营，线上获客、全国渠道咨询拥有大量成熟实操案例，突破地域限制，具备面向全国复制扩张的线上运营能力。</w:t>
      </w:r>
    </w:p>
    <w:p>
      <w:pPr>
        <w:numPr>
          <w:numId w:val="23"/>
        </w:numPr>
        <w:spacing w:before="120" w:after="120" w:line="288" w:lineRule="auto"/>
        <w:ind w:left="0"/>
        <w:jc w:val="left"/>
      </w:pPr>
      <w:r>
        <w:rPr>
          <w:rFonts w:eastAsia="等线" w:ascii="Arial" w:cs="Arial" w:hAnsi="Arial"/>
          <w:sz w:val="22"/>
        </w:rPr>
        <w:t>稳定规模化培训交付能力</w:t>
        <w:br/>
      </w:r>
      <w:r>
        <w:rPr>
          <w:rFonts w:eastAsia="等线" w:ascii="Arial" w:cs="Arial" w:hAnsi="Arial"/>
          <w:sz w:val="22"/>
        </w:rPr>
        <w:t>2025 年全年累计培训人次突破 6000 人，培训场次充足，交付体系成熟，可承接院校定向班、社会散客、全国机构批量内训及咨询多类型订单。</w:t>
      </w:r>
    </w:p>
    <w:p>
      <w:pPr>
        <w:numPr>
          <w:numId w:val="24"/>
        </w:numPr>
        <w:spacing w:before="120" w:after="120" w:line="288" w:lineRule="auto"/>
        <w:ind w:left="0"/>
        <w:jc w:val="left"/>
      </w:pPr>
      <w:r>
        <w:rPr>
          <w:rFonts w:eastAsia="等线" w:ascii="Arial" w:cs="Arial" w:hAnsi="Arial"/>
          <w:sz w:val="22"/>
        </w:rPr>
        <w:t>稀缺鉴定申报实操经验</w:t>
        <w:br/>
      </w:r>
      <w:r>
        <w:rPr>
          <w:rFonts w:eastAsia="等线" w:ascii="Arial" w:cs="Arial" w:hAnsi="Arial"/>
          <w:sz w:val="22"/>
        </w:rPr>
        <w:t>具备协助民办大专院校申报技能等级鉴定资质完整落地经验，熟悉人社申报流程、场地标准、考评体系，大幅缩短多工种省级鉴定站申报周期。</w:t>
      </w:r>
    </w:p>
    <w:p>
      <w:pPr>
        <w:pStyle w:val="3"/>
        <w:spacing w:before="300" w:after="120" w:line="288" w:lineRule="auto"/>
        <w:ind w:left="0"/>
        <w:jc w:val="left"/>
        <w:outlineLvl w:val="2"/>
      </w:pPr>
      <w:bookmarkStart w:name="heading_9" w:id="9"/>
      <w:r>
        <w:rPr>
          <w:rFonts w:eastAsia="等线" w:ascii="Arial" w:cs="Arial" w:hAnsi="Arial"/>
          <w:b w:val="true"/>
          <w:sz w:val="30"/>
        </w:rPr>
        <w:t>（三）行业普遍短板</w:t>
      </w:r>
      <w:bookmarkEnd w:id="9"/>
    </w:p>
    <w:p>
      <w:pPr>
        <w:spacing w:before="120" w:after="120" w:line="288" w:lineRule="auto"/>
        <w:ind w:left="0"/>
        <w:jc w:val="left"/>
      </w:pPr>
      <w:r>
        <w:rPr>
          <w:rFonts w:eastAsia="等线" w:ascii="Arial" w:cs="Arial" w:hAnsi="Arial"/>
          <w:sz w:val="22"/>
        </w:rPr>
        <w:t>多数小型培训机构无自研完整课程、无标准化固定实训办公场地、无线上全国拓客能力、无鉴定申报实操经验、无实体养老就业场景；叁竹本次合作后补齐场地短板，同时具备头部品牌、全套课程、全国线上平台、鉴定运营能力、医养产业配套，竞争壁垒难以复制。</w:t>
      </w:r>
    </w:p>
    <w:p>
      <w:pPr>
        <w:pStyle w:val="2"/>
        <w:spacing w:before="320" w:after="120" w:line="288" w:lineRule="auto"/>
        <w:ind w:left="0"/>
        <w:jc w:val="left"/>
        <w:outlineLvl w:val="1"/>
      </w:pPr>
      <w:bookmarkStart w:name="heading_10" w:id="10"/>
      <w:r>
        <w:rPr>
          <w:rFonts w:eastAsia="等线" w:ascii="Arial" w:cs="Arial" w:hAnsi="Arial"/>
          <w:b w:val="true"/>
          <w:sz w:val="32"/>
        </w:rPr>
        <w:t>四、长沙市望城区叁竹职业培训学校有限公司现状</w:t>
      </w:r>
      <w:bookmarkEnd w:id="10"/>
    </w:p>
    <w:p>
      <w:pPr>
        <w:numPr>
          <w:numId w:val="25"/>
        </w:numPr>
        <w:spacing w:before="120" w:after="120" w:line="288" w:lineRule="auto"/>
        <w:ind w:left="0"/>
        <w:jc w:val="left"/>
      </w:pPr>
      <w:r>
        <w:rPr>
          <w:rFonts w:eastAsia="等线" w:ascii="Arial" w:cs="Arial" w:hAnsi="Arial"/>
          <w:sz w:val="22"/>
        </w:rPr>
        <w:t>股权与注册场地现状</w:t>
        <w:br/>
      </w:r>
      <w:r>
        <w:rPr>
          <w:rFonts w:eastAsia="等线" w:ascii="Arial" w:cs="Arial" w:hAnsi="Arial"/>
          <w:sz w:val="22"/>
        </w:rPr>
        <w:t>增资前为自然人全资持股，仅工商地址挂靠湖外校内，无校方划拨的专属实训、办公场地；增资扩股落地后，校方统一划定独立教学实训区、配套办公区交付公司长期使用。增资后原股东持股 60%，湖外现金入股持股 40%。配套自有居家照护门店、综合门诊部，提供学员实习、临床实训支撑。</w:t>
      </w:r>
    </w:p>
    <w:p>
      <w:pPr>
        <w:numPr>
          <w:numId w:val="26"/>
        </w:numPr>
        <w:spacing w:before="120" w:after="120" w:line="288" w:lineRule="auto"/>
        <w:ind w:left="0"/>
        <w:jc w:val="left"/>
      </w:pPr>
      <w:r>
        <w:rPr>
          <w:rFonts w:eastAsia="等线" w:ascii="Arial" w:cs="Arial" w:hAnsi="Arial"/>
          <w:sz w:val="22"/>
        </w:rPr>
        <w:t>核心业务板块</w:t>
        <w:br/>
        <w:t>①线下标准化养老照护技能培训，省内行业前三，2025 年培训 6000 + 人次；</w:t>
        <w:br/>
        <w:t>②九大工种全套自研课程体系输出；</w:t>
        <w:br/>
        <w:t>③全国线上招生、咨询数字化平台运营，具备全国拓客成熟案例；</w:t>
        <w:br/>
        <w:t>④协助院校申报技能鉴定资质，规划联合湖外申报多工种省级技能等级认定；</w:t>
        <w:br/>
      </w:r>
      <w:r>
        <w:rPr>
          <w:rFonts w:eastAsia="等线" w:ascii="Arial" w:cs="Arial" w:hAnsi="Arial"/>
          <w:sz w:val="22"/>
        </w:rPr>
        <w:t>⑤养老持证人才定向输送至养老院、长护险服务商。</w:t>
      </w:r>
    </w:p>
    <w:p>
      <w:pPr>
        <w:numPr>
          <w:numId w:val="27"/>
        </w:numPr>
        <w:spacing w:before="120" w:after="120" w:line="288" w:lineRule="auto"/>
        <w:ind w:left="0"/>
        <w:jc w:val="left"/>
      </w:pPr>
      <w:r>
        <w:rPr>
          <w:rFonts w:eastAsia="等线" w:ascii="Arial" w:cs="Arial" w:hAnsi="Arial"/>
          <w:sz w:val="22"/>
        </w:rPr>
        <w:t>资产与估值协商基础</w:t>
        <w:br/>
        <w:t>公司核心高价值资产均为无形资产：九大工种课程著作权、成熟鉴定申报运营体系、省内头部品牌口碑、全国线上招生平台、全国康养机构渠道、稳定专业运营团队；</w:t>
        <w:br/>
        <w:t>过往经营长期缺少固定实训、办公场地，场地租赁成本偏高；合作后零场地租金，大幅优化盈利空间；营收包含培训费、机构定制内训，后续新增鉴定考评费、人才就业安置服务费。</w:t>
        <w:br/>
      </w:r>
      <w:r>
        <w:rPr>
          <w:rFonts w:eastAsia="等线" w:ascii="Arial" w:cs="Arial" w:hAnsi="Arial"/>
          <w:sz w:val="22"/>
        </w:rPr>
        <w:t>本次投前 3000 万估值不经过第三方资产评估机构出具报告，系双方基于多年合作信任、康养行业发展前景、湖外打造 UBIC 养老社区完整产业链的战略规划，结合叁竹现有业务规模、无形资产价值共同协商议定。</w:t>
      </w:r>
    </w:p>
    <w:p>
      <w:pPr>
        <w:pStyle w:val="2"/>
        <w:spacing w:before="320" w:after="120" w:line="288" w:lineRule="auto"/>
        <w:ind w:left="0"/>
        <w:jc w:val="left"/>
        <w:outlineLvl w:val="1"/>
      </w:pPr>
      <w:bookmarkStart w:name="heading_11" w:id="11"/>
      <w:r>
        <w:rPr>
          <w:rFonts w:eastAsia="等线" w:ascii="Arial" w:cs="Arial" w:hAnsi="Arial"/>
          <w:b w:val="true"/>
          <w:sz w:val="32"/>
        </w:rPr>
        <w:t>五、湖南外国语职业学院配套资源与合作价值</w:t>
      </w:r>
      <w:bookmarkEnd w:id="11"/>
    </w:p>
    <w:p>
      <w:pPr>
        <w:pStyle w:val="3"/>
        <w:spacing w:before="300" w:after="120" w:line="288" w:lineRule="auto"/>
        <w:ind w:left="0"/>
        <w:jc w:val="left"/>
        <w:outlineLvl w:val="2"/>
      </w:pPr>
      <w:bookmarkStart w:name="heading_12" w:id="12"/>
      <w:r>
        <w:rPr>
          <w:rFonts w:eastAsia="等线" w:ascii="Arial" w:cs="Arial" w:hAnsi="Arial"/>
          <w:b w:val="true"/>
          <w:sz w:val="30"/>
        </w:rPr>
        <w:t>（一）专属实训 + 办公场地（本次合作新增明确约定，不纳入股权作价）</w:t>
      </w:r>
      <w:bookmarkEnd w:id="12"/>
    </w:p>
    <w:p>
      <w:pPr>
        <w:numPr>
          <w:numId w:val="28"/>
        </w:numPr>
        <w:spacing w:before="120" w:after="120" w:line="288" w:lineRule="auto"/>
        <w:ind w:left="0"/>
        <w:jc w:val="left"/>
      </w:pPr>
      <w:r>
        <w:rPr>
          <w:rFonts w:eastAsia="等线" w:ascii="Arial" w:cs="Arial" w:hAnsi="Arial"/>
          <w:sz w:val="22"/>
        </w:rPr>
        <w:t>前期现状：多年仅工商挂靠，未划分任何专属实训、办公区域，场地仅用于迎检，无常态化使用权限。</w:t>
      </w:r>
    </w:p>
    <w:p>
      <w:pPr>
        <w:numPr>
          <w:numId w:val="29"/>
        </w:numPr>
        <w:spacing w:before="120" w:after="120" w:line="288" w:lineRule="auto"/>
        <w:ind w:left="0"/>
        <w:jc w:val="left"/>
      </w:pPr>
      <w:r>
        <w:rPr>
          <w:rFonts w:eastAsia="等线" w:ascii="Arial" w:cs="Arial" w:hAnsi="Arial"/>
          <w:sz w:val="22"/>
        </w:rPr>
        <w:t>合作落地后明确划拨约定</w:t>
        <w:br/>
        <w:t>股权变更完成、双方签订场地配套补充协议后，湖外一次性划定专属区域永久无偿交付叁竹使用：</w:t>
        <w:br/>
        <w:t>（1）标准化实训教学区：健康管理学院全套养老护理、能力评估、育婴实训实训室，配套全套人社鉴定标准设备，满足理论授课、实操训练、统一鉴定考试全流程；</w:t>
        <w:br/>
        <w:t>（2）独立配套办公区：划分专属办公用房，用于公司行政、招生、财务、考评团队日常办公、档案存放、资质资料管理；</w:t>
        <w:br/>
      </w:r>
      <w:r>
        <w:rPr>
          <w:rFonts w:eastAsia="等线" w:ascii="Arial" w:cs="Arial" w:hAnsi="Arial"/>
          <w:sz w:val="22"/>
        </w:rPr>
        <w:t>（3）使用规则：场地、设备仅在校内国有资产台账登记备案，登记价值不抵扣湖外 40% 股权对应现金出资；合作全程免收租金、场地管理费，仅由叁竹承担水电、实训耗材成本。</w:t>
      </w:r>
    </w:p>
    <w:p>
      <w:pPr>
        <w:numPr>
          <w:numId w:val="30"/>
        </w:numPr>
        <w:spacing w:before="120" w:after="120" w:line="288" w:lineRule="auto"/>
        <w:ind w:left="0"/>
        <w:jc w:val="left"/>
      </w:pPr>
      <w:r>
        <w:rPr>
          <w:rFonts w:eastAsia="等线" w:ascii="Arial" w:cs="Arial" w:hAnsi="Arial"/>
          <w:sz w:val="22"/>
        </w:rPr>
        <w:t>场地核心价值：一次性补齐叁竹经营硬件短板，达到省级技能鉴定站场地验收硬性标准，无需额外投入场地租赁、装修费用。</w:t>
      </w:r>
    </w:p>
    <w:p>
      <w:pPr>
        <w:pStyle w:val="3"/>
        <w:spacing w:before="300" w:after="120" w:line="288" w:lineRule="auto"/>
        <w:ind w:left="0"/>
        <w:jc w:val="left"/>
        <w:outlineLvl w:val="2"/>
      </w:pPr>
      <w:bookmarkStart w:name="heading_13" w:id="13"/>
      <w:r>
        <w:rPr>
          <w:rFonts w:eastAsia="等线" w:ascii="Arial" w:cs="Arial" w:hAnsi="Arial"/>
          <w:b w:val="true"/>
          <w:sz w:val="30"/>
        </w:rPr>
        <w:t>（二）独有产业资源：校内 UBIC 养老社区</w:t>
      </w:r>
      <w:bookmarkEnd w:id="13"/>
    </w:p>
    <w:p>
      <w:pPr>
        <w:spacing w:before="120" w:after="120" w:line="288" w:lineRule="auto"/>
        <w:ind w:left="0"/>
        <w:jc w:val="left"/>
      </w:pPr>
      <w:r>
        <w:rPr>
          <w:rFonts w:eastAsia="等线" w:ascii="Arial" w:cs="Arial" w:hAnsi="Arial"/>
          <w:sz w:val="22"/>
        </w:rPr>
        <w:t>为湖外宁平董事长重点规划产业板块，可提供真实老年照护实景实训场景，承接高阶实操培训；结业持证学员优先入职社区，解决社区人力缺口；项目可申报省级嵌入式养老、产教融合专项扶持资金，完善民办院校康养产业闭环。</w:t>
      </w:r>
    </w:p>
    <w:p>
      <w:pPr>
        <w:pStyle w:val="3"/>
        <w:spacing w:before="300" w:after="120" w:line="288" w:lineRule="auto"/>
        <w:ind w:left="0"/>
        <w:jc w:val="left"/>
        <w:outlineLvl w:val="2"/>
      </w:pPr>
      <w:bookmarkStart w:name="heading_14" w:id="14"/>
      <w:r>
        <w:rPr>
          <w:rFonts w:eastAsia="等线" w:ascii="Arial" w:cs="Arial" w:hAnsi="Arial"/>
          <w:b w:val="true"/>
          <w:sz w:val="30"/>
        </w:rPr>
        <w:t>（三）软性赋能资源（无资金投入）</w:t>
      </w:r>
      <w:bookmarkEnd w:id="14"/>
    </w:p>
    <w:p>
      <w:pPr>
        <w:numPr>
          <w:numId w:val="31"/>
        </w:numPr>
        <w:spacing w:before="120" w:after="120" w:line="288" w:lineRule="auto"/>
        <w:ind w:left="0"/>
        <w:jc w:val="left"/>
      </w:pPr>
      <w:r>
        <w:rPr>
          <w:rFonts w:eastAsia="等线" w:ascii="Arial" w:cs="Arial" w:hAnsi="Arial"/>
          <w:sz w:val="22"/>
        </w:rPr>
        <w:t>稳定生源：健康管理学院医护专业全体在校生；</w:t>
      </w:r>
    </w:p>
    <w:p>
      <w:pPr>
        <w:numPr>
          <w:numId w:val="32"/>
        </w:numPr>
        <w:spacing w:before="120" w:after="120" w:line="288" w:lineRule="auto"/>
        <w:ind w:left="0"/>
        <w:jc w:val="left"/>
      </w:pPr>
      <w:r>
        <w:rPr>
          <w:rFonts w:eastAsia="等线" w:ascii="Arial" w:cs="Arial" w:hAnsi="Arial"/>
          <w:sz w:val="22"/>
        </w:rPr>
        <w:t>专业师资：校内医护、康养教师参与实训教学、考评员队伍建设；</w:t>
      </w:r>
    </w:p>
    <w:p>
      <w:pPr>
        <w:numPr>
          <w:numId w:val="33"/>
        </w:numPr>
        <w:spacing w:before="120" w:after="120" w:line="288" w:lineRule="auto"/>
        <w:ind w:left="0"/>
        <w:jc w:val="left"/>
      </w:pPr>
      <w:r>
        <w:rPr>
          <w:rFonts w:eastAsia="等线" w:ascii="Arial" w:cs="Arial" w:hAnsi="Arial"/>
          <w:sz w:val="22"/>
        </w:rPr>
        <w:t>申报主体资质：民办大专院校身份提升省级多工种鉴定资质申报通过率；</w:t>
      </w:r>
    </w:p>
    <w:p>
      <w:pPr>
        <w:numPr>
          <w:numId w:val="34"/>
        </w:numPr>
        <w:spacing w:before="120" w:after="120" w:line="288" w:lineRule="auto"/>
        <w:ind w:left="0"/>
        <w:jc w:val="left"/>
      </w:pPr>
      <w:r>
        <w:rPr>
          <w:rFonts w:eastAsia="等线" w:ascii="Arial" w:cs="Arial" w:hAnsi="Arial"/>
          <w:sz w:val="22"/>
        </w:rPr>
        <w:t>院校品牌背书：提升培训、鉴定公信力，便于对接民政、人社、医保官方项目。</w:t>
      </w:r>
    </w:p>
    <w:p>
      <w:pPr>
        <w:pStyle w:val="2"/>
        <w:spacing w:before="320" w:after="120" w:line="288" w:lineRule="auto"/>
        <w:ind w:left="0"/>
        <w:jc w:val="left"/>
        <w:outlineLvl w:val="1"/>
      </w:pPr>
      <w:bookmarkStart w:name="heading_15" w:id="15"/>
      <w:r>
        <w:rPr>
          <w:rFonts w:eastAsia="等线" w:ascii="Arial" w:cs="Arial" w:hAnsi="Arial"/>
          <w:b w:val="true"/>
          <w:sz w:val="32"/>
        </w:rPr>
        <w:t>六、股权架构、估值测算及 40% 股权现金入股建议</w:t>
      </w:r>
      <w:bookmarkEnd w:id="15"/>
    </w:p>
    <w:p>
      <w:pPr>
        <w:pStyle w:val="3"/>
        <w:spacing w:before="300" w:after="120" w:line="288" w:lineRule="auto"/>
        <w:ind w:left="0"/>
        <w:jc w:val="left"/>
        <w:outlineLvl w:val="2"/>
      </w:pPr>
      <w:bookmarkStart w:name="heading_16" w:id="16"/>
      <w:r>
        <w:rPr>
          <w:rFonts w:eastAsia="等线" w:ascii="Arial" w:cs="Arial" w:hAnsi="Arial"/>
          <w:b w:val="true"/>
          <w:sz w:val="30"/>
        </w:rPr>
        <w:t>（一）工商变更后股权架构</w:t>
      </w:r>
      <w:bookmarkEnd w:id="16"/>
    </w:p>
    <w:p>
      <w:pPr>
        <w:spacing w:before="120" w:after="120" w:line="288" w:lineRule="auto"/>
        <w:ind w:left="0"/>
        <w:jc w:val="left"/>
      </w:pPr>
      <w:r>
        <w:rPr>
          <w:rFonts w:eastAsia="等线" w:ascii="Arial" w:cs="Arial" w:hAnsi="Arial"/>
          <w:sz w:val="22"/>
        </w:rPr>
        <w:t>长沙市望城区叁竹职业培训学校有限公司</w:t>
        <w:br/>
        <w:t>原自然人股东：60%（控股，统筹运营、市场、全国线上平台扩张、产业落地）</w:t>
        <w:br/>
      </w:r>
      <w:r>
        <w:rPr>
          <w:rFonts w:eastAsia="等线" w:ascii="Arial" w:cs="Arial" w:hAnsi="Arial"/>
          <w:sz w:val="22"/>
        </w:rPr>
        <w:t>湖南外国语职业学院：40%（全额现金出资，享有分红权、重大经营事项监督权、场地联合使用权）</w:t>
      </w:r>
    </w:p>
    <w:p>
      <w:pPr>
        <w:pStyle w:val="3"/>
        <w:spacing w:before="300" w:after="120" w:line="288" w:lineRule="auto"/>
        <w:ind w:left="0"/>
        <w:jc w:val="left"/>
        <w:outlineLvl w:val="2"/>
      </w:pPr>
      <w:bookmarkStart w:name="heading_17" w:id="17"/>
      <w:r>
        <w:rPr>
          <w:rFonts w:eastAsia="等线" w:ascii="Arial" w:cs="Arial" w:hAnsi="Arial"/>
          <w:b w:val="true"/>
          <w:sz w:val="30"/>
        </w:rPr>
        <w:t>（二）估值协商逻辑</w:t>
      </w:r>
      <w:bookmarkEnd w:id="17"/>
    </w:p>
    <w:p>
      <w:pPr>
        <w:numPr>
          <w:numId w:val="35"/>
        </w:numPr>
        <w:spacing w:before="120" w:after="120" w:line="288" w:lineRule="auto"/>
        <w:ind w:left="0"/>
        <w:jc w:val="left"/>
      </w:pPr>
      <w:r>
        <w:rPr>
          <w:rFonts w:eastAsia="等线" w:ascii="Arial" w:cs="Arial" w:hAnsi="Arial"/>
          <w:sz w:val="22"/>
        </w:rPr>
        <w:t>估值定价方式说明：本次合作不聘请第三方资产评估机构开展专项评估，全部定价依托双方长期合作基础、湖外高层对康养赛道的深度判断、打造校园 UBIC 养老社区完整产业闭环的战略目标，结合企业经营现状综合协商确定。</w:t>
      </w:r>
    </w:p>
    <w:p>
      <w:pPr>
        <w:numPr>
          <w:numId w:val="36"/>
        </w:numPr>
        <w:spacing w:before="120" w:after="120" w:line="288" w:lineRule="auto"/>
        <w:ind w:left="0"/>
        <w:jc w:val="left"/>
      </w:pPr>
      <w:r>
        <w:rPr>
          <w:rFonts w:eastAsia="等线" w:ascii="Arial" w:cs="Arial" w:hAnsi="Arial"/>
          <w:sz w:val="22"/>
        </w:rPr>
        <w:t>价值参考维度：</w:t>
        <w:br/>
        <w:t>①省内前三行业品牌 + 年 6000 + 稳定培训人次，具备持续稳定经营性现金流；</w:t>
        <w:br/>
        <w:t>②九大工种全套自研课程体系，属于不可复制核心无形资产；</w:t>
        <w:br/>
        <w:t>③已落地可全国复制的线上招生咨询数字化平台，具备跨区域扩张成长价值；</w:t>
        <w:br/>
      </w:r>
      <w:r>
        <w:rPr>
          <w:rFonts w:eastAsia="等线" w:ascii="Arial" w:cs="Arial" w:hAnsi="Arial"/>
          <w:sz w:val="22"/>
        </w:rPr>
        <w:t>④成熟的技能鉴定全流程申报、运营实操能力，是民办院校补齐康养产业运营能力的核心稀缺资源；</w:t>
      </w:r>
    </w:p>
    <w:p>
      <w:pPr>
        <w:numPr>
          <w:numId w:val="37"/>
        </w:numPr>
        <w:spacing w:before="120" w:after="120" w:line="288" w:lineRule="auto"/>
        <w:ind w:left="0"/>
        <w:jc w:val="left"/>
      </w:pPr>
      <w:r>
        <w:rPr>
          <w:rFonts w:eastAsia="等线" w:ascii="Arial" w:cs="Arial" w:hAnsi="Arial"/>
          <w:sz w:val="22"/>
        </w:rPr>
        <w:t>综合协商投前公允估值：3000 万元；</w:t>
        <w:br/>
      </w:r>
      <w:r>
        <w:rPr>
          <w:rFonts w:eastAsia="等线" w:ascii="Arial" w:cs="Arial" w:hAnsi="Arial"/>
          <w:sz w:val="22"/>
        </w:rPr>
        <w:t>本次合作划拨的实训、办公场地为配套免费资源，仅校内台账备案，不纳入企业估值作价。</w:t>
      </w:r>
    </w:p>
    <w:p>
      <w:pPr>
        <w:pStyle w:val="3"/>
        <w:spacing w:before="300" w:after="120" w:line="288" w:lineRule="auto"/>
        <w:ind w:left="0"/>
        <w:jc w:val="left"/>
        <w:outlineLvl w:val="2"/>
      </w:pPr>
      <w:bookmarkStart w:name="heading_18" w:id="18"/>
      <w:r>
        <w:rPr>
          <w:rFonts w:eastAsia="等线" w:ascii="Arial" w:cs="Arial" w:hAnsi="Arial"/>
          <w:b w:val="true"/>
          <w:sz w:val="30"/>
        </w:rPr>
        <w:t>（三）40% 股权现金入股金额建议</w:t>
      </w:r>
      <w:bookmarkEnd w:id="18"/>
    </w:p>
    <w:p>
      <w:pPr>
        <w:numPr>
          <w:numId w:val="38"/>
        </w:numPr>
        <w:spacing w:before="120" w:after="120" w:line="288" w:lineRule="auto"/>
        <w:ind w:left="0"/>
        <w:jc w:val="left"/>
      </w:pPr>
      <w:r>
        <w:rPr>
          <w:rFonts w:eastAsia="等线" w:ascii="Arial" w:cs="Arial" w:hAnsi="Arial"/>
          <w:sz w:val="22"/>
        </w:rPr>
        <w:t>湖外持有 40% 股权对应总认缴出资额 = 3000 万 ×40%=1200 万元；</w:t>
      </w:r>
    </w:p>
    <w:p>
      <w:pPr>
        <w:numPr>
          <w:numId w:val="39"/>
        </w:numPr>
        <w:spacing w:before="120" w:after="120" w:line="288" w:lineRule="auto"/>
        <w:ind w:left="0"/>
        <w:jc w:val="left"/>
      </w:pPr>
      <w:r>
        <w:rPr>
          <w:rFonts w:eastAsia="等线" w:ascii="Arial" w:cs="Arial" w:hAnsi="Arial"/>
          <w:sz w:val="22"/>
        </w:rPr>
        <w:t>出资规则：全部为货币现金，校内实训、办公场地设备仅校内资产备案，不抵充任何入股资金；</w:t>
      </w:r>
    </w:p>
    <w:p>
      <w:pPr>
        <w:numPr>
          <w:numId w:val="40"/>
        </w:numPr>
        <w:spacing w:before="120" w:after="120" w:line="288" w:lineRule="auto"/>
        <w:ind w:left="0"/>
        <w:jc w:val="left"/>
      </w:pPr>
      <w:r>
        <w:rPr>
          <w:rFonts w:eastAsia="等线" w:ascii="Arial" w:cs="Arial" w:hAnsi="Arial"/>
          <w:sz w:val="22"/>
        </w:rPr>
        <w:t>资金专项用途：多工种省级鉴定资质申报、线上全国平台迭代升级、市场渠道拓展、运营与考评团队扩充、实训耗材储备、实训场地标准化改造；</w:t>
      </w:r>
    </w:p>
    <w:p>
      <w:pPr>
        <w:numPr>
          <w:numId w:val="41"/>
        </w:numPr>
        <w:spacing w:before="120" w:after="120" w:line="288" w:lineRule="auto"/>
        <w:ind w:left="0"/>
        <w:jc w:val="left"/>
      </w:pPr>
      <w:r>
        <w:rPr>
          <w:rFonts w:eastAsia="等线" w:ascii="Arial" w:cs="Arial" w:hAnsi="Arial"/>
          <w:sz w:val="22"/>
        </w:rPr>
        <w:t>实缴分期建议（降低院校一次性资金压力）：</w:t>
        <w:br/>
        <w:t>①工商股权变更完成后，实缴 60%，即 720 万元；</w:t>
        <w:br/>
      </w:r>
      <w:r>
        <w:rPr>
          <w:rFonts w:eastAsia="等线" w:ascii="Arial" w:cs="Arial" w:hAnsi="Arial"/>
          <w:sz w:val="22"/>
        </w:rPr>
        <w:t>②省级技能鉴定资质申报材料递交人社厅后，实缴剩余 40%，即 480 万元；</w:t>
      </w:r>
    </w:p>
    <w:p>
      <w:pPr>
        <w:numPr>
          <w:numId w:val="42"/>
        </w:numPr>
        <w:spacing w:before="120" w:after="120" w:line="288" w:lineRule="auto"/>
        <w:ind w:left="0"/>
        <w:jc w:val="left"/>
      </w:pPr>
      <w:r>
        <w:rPr>
          <w:rFonts w:eastAsia="等线" w:ascii="Arial" w:cs="Arial" w:hAnsi="Arial"/>
          <w:sz w:val="22"/>
        </w:rPr>
        <w:t>资金监管：设立专项资金台账，湖外可全程查阅、监督资金使用明细，保障资金全部用于双方约定产业发展事项。</w:t>
      </w:r>
    </w:p>
    <w:p>
      <w:pPr>
        <w:pStyle w:val="2"/>
        <w:spacing w:before="320" w:after="120" w:line="288" w:lineRule="auto"/>
        <w:ind w:left="0"/>
        <w:jc w:val="left"/>
        <w:outlineLvl w:val="1"/>
      </w:pPr>
      <w:bookmarkStart w:name="heading_19" w:id="19"/>
      <w:r>
        <w:rPr>
          <w:rFonts w:eastAsia="等线" w:ascii="Arial" w:cs="Arial" w:hAnsi="Arial"/>
          <w:b w:val="true"/>
          <w:sz w:val="32"/>
        </w:rPr>
        <w:t>七、融合后全产业链业务布局</w:t>
      </w:r>
      <w:bookmarkEnd w:id="19"/>
    </w:p>
    <w:p>
      <w:pPr>
        <w:numPr>
          <w:numId w:val="43"/>
        </w:numPr>
        <w:spacing w:before="120" w:after="120" w:line="288" w:lineRule="auto"/>
        <w:ind w:left="0"/>
        <w:jc w:val="left"/>
      </w:pPr>
      <w:r>
        <w:rPr>
          <w:rFonts w:eastAsia="等线" w:ascii="Arial" w:cs="Arial" w:hAnsi="Arial"/>
          <w:sz w:val="22"/>
        </w:rPr>
        <w:t>养老照护技能培训双渠道运营</w:t>
        <w:br/>
      </w:r>
      <w:r>
        <w:rPr>
          <w:rFonts w:eastAsia="等线" w:ascii="Arial" w:cs="Arial" w:hAnsi="Arial"/>
          <w:sz w:val="22"/>
        </w:rPr>
        <w:t>依托校方划拨专属实训教室开展线下教学，开设校内康养学生定向培训班、社会人员市场化培训、全国养老机构批量定制内训、全国养老机构咨询服务，同步申领人社技能培训补贴；依托线上全国咨询平台持续拓展外省生源。</w:t>
      </w:r>
    </w:p>
    <w:p>
      <w:pPr>
        <w:numPr>
          <w:numId w:val="44"/>
        </w:numPr>
        <w:spacing w:before="120" w:after="120" w:line="288" w:lineRule="auto"/>
        <w:ind w:left="0"/>
        <w:jc w:val="left"/>
      </w:pPr>
      <w:r>
        <w:rPr>
          <w:rFonts w:eastAsia="等线" w:ascii="Arial" w:cs="Arial" w:hAnsi="Arial"/>
          <w:sz w:val="22"/>
        </w:rPr>
        <w:t>多工种省级技能等级鉴定</w:t>
        <w:br/>
      </w:r>
      <w:r>
        <w:rPr>
          <w:rFonts w:eastAsia="等线" w:ascii="Arial" w:cs="Arial" w:hAnsi="Arial"/>
          <w:sz w:val="22"/>
        </w:rPr>
        <w:t>以湖外为申报主体，叁竹全权负责申报、教学、考务、财务全流程运营；校方划拨专属实训基地设立标准化官方考点，配套独立办公区处理考务、档案管理工作，开展全工种等级考核发证。</w:t>
      </w:r>
    </w:p>
    <w:p>
      <w:pPr>
        <w:numPr>
          <w:numId w:val="45"/>
        </w:numPr>
        <w:spacing w:before="120" w:after="120" w:line="288" w:lineRule="auto"/>
        <w:ind w:left="0"/>
        <w:jc w:val="left"/>
      </w:pPr>
      <w:r>
        <w:rPr>
          <w:rFonts w:eastAsia="等线" w:ascii="Arial" w:cs="Arial" w:hAnsi="Arial"/>
          <w:sz w:val="22"/>
        </w:rPr>
        <w:t>线上全国平台持续扩张</w:t>
        <w:br/>
      </w:r>
      <w:r>
        <w:rPr>
          <w:rFonts w:eastAsia="等线" w:ascii="Arial" w:cs="Arial" w:hAnsi="Arial"/>
          <w:sz w:val="22"/>
        </w:rPr>
        <w:t>升级现有全国线上招生咨询系统，面向全国输出课程、培训、考证一体化服务，打造线上获客、线下校内实训鉴定的全国连锁模式。</w:t>
      </w:r>
    </w:p>
    <w:p>
      <w:pPr>
        <w:numPr>
          <w:numId w:val="46"/>
        </w:numPr>
        <w:spacing w:before="120" w:after="120" w:line="288" w:lineRule="auto"/>
        <w:ind w:left="0"/>
        <w:jc w:val="left"/>
      </w:pPr>
      <w:r>
        <w:rPr>
          <w:rFonts w:eastAsia="等线" w:ascii="Arial" w:cs="Arial" w:hAnsi="Arial"/>
          <w:sz w:val="22"/>
        </w:rPr>
        <w:t>校内 UBIC 养老社区配套产业</w:t>
        <w:br/>
      </w:r>
      <w:r>
        <w:rPr>
          <w:rFonts w:eastAsia="等线" w:ascii="Arial" w:cs="Arial" w:hAnsi="Arial"/>
          <w:sz w:val="22"/>
        </w:rPr>
        <w:t>养老社区作为高阶实景实训基地，持证学员优先入职；同步开展康养研学、老年人能力评估增值服务，双向反哺培训业务营收，落地湖外校园康养全产业链战略规划。</w:t>
      </w:r>
    </w:p>
    <w:p>
      <w:pPr>
        <w:pStyle w:val="2"/>
        <w:spacing w:before="320" w:after="120" w:line="288" w:lineRule="auto"/>
        <w:ind w:left="0"/>
        <w:jc w:val="left"/>
        <w:outlineLvl w:val="1"/>
      </w:pPr>
      <w:bookmarkStart w:name="heading_20" w:id="20"/>
      <w:r>
        <w:rPr>
          <w:rFonts w:eastAsia="等线" w:ascii="Arial" w:cs="Arial" w:hAnsi="Arial"/>
          <w:b w:val="true"/>
          <w:sz w:val="32"/>
        </w:rPr>
        <w:t>八、三年发展规划</w:t>
      </w:r>
      <w:bookmarkEnd w:id="20"/>
    </w:p>
    <w:p>
      <w:pPr>
        <w:pStyle w:val="3"/>
        <w:spacing w:before="300" w:after="120" w:line="288" w:lineRule="auto"/>
        <w:ind w:left="0"/>
        <w:jc w:val="left"/>
        <w:outlineLvl w:val="2"/>
      </w:pPr>
      <w:bookmarkStart w:name="heading_21" w:id="21"/>
      <w:r>
        <w:rPr>
          <w:rFonts w:eastAsia="等线" w:ascii="Arial" w:cs="Arial" w:hAnsi="Arial"/>
          <w:b w:val="true"/>
          <w:sz w:val="30"/>
        </w:rPr>
        <w:t>第 1-2 年（资质落地、场地标准化建设期）</w:t>
      </w:r>
      <w:bookmarkEnd w:id="21"/>
    </w:p>
    <w:p>
      <w:pPr>
        <w:spacing w:before="120" w:after="120" w:line="288" w:lineRule="auto"/>
        <w:ind w:left="0"/>
        <w:jc w:val="left"/>
      </w:pPr>
      <w:r>
        <w:rPr>
          <w:rFonts w:eastAsia="等线" w:ascii="Arial" w:cs="Arial" w:hAnsi="Arial"/>
          <w:sz w:val="22"/>
        </w:rPr>
        <w:t>依托校方划拨实训、办公场地完成标准化考点改造；完成多工种省级鉴定资质申报落地；线上全国平台完成功能迭代；依托湖内生源稳定年培训规模保持 6000 人次以上；搭建省内各地市招生网点，第二年末实现整体盈亏平衡。</w:t>
      </w:r>
    </w:p>
    <w:p>
      <w:pPr>
        <w:pStyle w:val="3"/>
        <w:spacing w:before="300" w:after="120" w:line="288" w:lineRule="auto"/>
        <w:ind w:left="0"/>
        <w:jc w:val="left"/>
        <w:outlineLvl w:val="2"/>
      </w:pPr>
      <w:bookmarkStart w:name="heading_22" w:id="22"/>
      <w:r>
        <w:rPr>
          <w:rFonts w:eastAsia="等线" w:ascii="Arial" w:cs="Arial" w:hAnsi="Arial"/>
          <w:b w:val="true"/>
          <w:sz w:val="30"/>
        </w:rPr>
        <w:t>第 3 年（省内规模化盈利阶段）</w:t>
      </w:r>
      <w:bookmarkEnd w:id="22"/>
    </w:p>
    <w:p>
      <w:pPr>
        <w:spacing w:before="120" w:after="120" w:line="288" w:lineRule="auto"/>
        <w:ind w:left="0"/>
        <w:jc w:val="left"/>
      </w:pPr>
      <w:r>
        <w:rPr>
          <w:rFonts w:eastAsia="等线" w:ascii="Arial" w:cs="Arial" w:hAnsi="Arial"/>
          <w:sz w:val="22"/>
        </w:rPr>
        <w:t>省内养老机构批量内训业务全面铺开；培训、鉴定、线上全国咨询、人才输送四大板块稳定盈利；项目获评省级民办院校产教融合示范项目，申报专项扶持资金。</w:t>
      </w:r>
    </w:p>
    <w:p>
      <w:pPr>
        <w:pStyle w:val="3"/>
        <w:spacing w:before="300" w:after="120" w:line="288" w:lineRule="auto"/>
        <w:ind w:left="0"/>
        <w:jc w:val="left"/>
        <w:outlineLvl w:val="2"/>
      </w:pPr>
      <w:bookmarkStart w:name="heading_23" w:id="23"/>
      <w:r>
        <w:rPr>
          <w:rFonts w:eastAsia="等线" w:ascii="Arial" w:cs="Arial" w:hAnsi="Arial"/>
          <w:b w:val="true"/>
          <w:sz w:val="30"/>
        </w:rPr>
        <w:t>第 4-5 年（全国平台复制扩张）</w:t>
      </w:r>
      <w:bookmarkEnd w:id="23"/>
    </w:p>
    <w:p>
      <w:pPr>
        <w:spacing w:before="120" w:after="120" w:line="288" w:lineRule="auto"/>
        <w:ind w:left="0"/>
        <w:jc w:val="left"/>
      </w:pPr>
      <w:r>
        <w:rPr>
          <w:rFonts w:eastAsia="等线" w:ascii="Arial" w:cs="Arial" w:hAnsi="Arial"/>
          <w:sz w:val="22"/>
        </w:rPr>
        <w:t>依托成熟线上招生咨询平台，对外输出 “民办院校专属实训办公基地 + 校园 UBIC 养老社区 + 培训鉴定” 标准化运营模式，在外省搭建合作分站，承接全国长护险城市批量培训订单，公司股权价值持续提升。</w:t>
      </w:r>
    </w:p>
    <w:p>
      <w:pPr>
        <w:pStyle w:val="2"/>
        <w:spacing w:before="320" w:after="120" w:line="288" w:lineRule="auto"/>
        <w:ind w:left="0"/>
        <w:jc w:val="left"/>
        <w:outlineLvl w:val="1"/>
      </w:pPr>
      <w:bookmarkStart w:name="heading_24" w:id="24"/>
      <w:r>
        <w:rPr>
          <w:rFonts w:eastAsia="等线" w:ascii="Arial" w:cs="Arial" w:hAnsi="Arial"/>
          <w:b w:val="true"/>
          <w:sz w:val="32"/>
        </w:rPr>
        <w:t>九、双方协同价值与产业前景</w:t>
      </w:r>
      <w:bookmarkEnd w:id="24"/>
    </w:p>
    <w:p>
      <w:pPr>
        <w:pStyle w:val="3"/>
        <w:spacing w:before="300" w:after="120" w:line="288" w:lineRule="auto"/>
        <w:ind w:left="0"/>
        <w:jc w:val="left"/>
        <w:outlineLvl w:val="2"/>
      </w:pPr>
      <w:bookmarkStart w:name="heading_25" w:id="25"/>
      <w:r>
        <w:rPr>
          <w:rFonts w:eastAsia="等线" w:ascii="Arial" w:cs="Arial" w:hAnsi="Arial"/>
          <w:b w:val="true"/>
          <w:sz w:val="30"/>
        </w:rPr>
        <w:t>（一）对湖南外国语职业学院</w:t>
      </w:r>
      <w:bookmarkEnd w:id="25"/>
    </w:p>
    <w:p>
      <w:pPr>
        <w:numPr>
          <w:numId w:val="47"/>
        </w:numPr>
        <w:spacing w:before="120" w:after="120" w:line="288" w:lineRule="auto"/>
        <w:ind w:left="0"/>
        <w:jc w:val="left"/>
      </w:pPr>
      <w:r>
        <w:rPr>
          <w:rFonts w:eastAsia="等线" w:ascii="Arial" w:cs="Arial" w:hAnsi="Arial"/>
          <w:sz w:val="22"/>
        </w:rPr>
        <w:t>破解民办院校传统外语专业发展瓶颈，打造高就业、政策扶持的康养特色王牌专业，提升院校招生竞争力与社会口碑；</w:t>
      </w:r>
    </w:p>
    <w:p>
      <w:pPr>
        <w:numPr>
          <w:numId w:val="48"/>
        </w:numPr>
        <w:spacing w:before="120" w:after="120" w:line="288" w:lineRule="auto"/>
        <w:ind w:left="0"/>
        <w:jc w:val="left"/>
      </w:pPr>
      <w:r>
        <w:rPr>
          <w:rFonts w:eastAsia="等线" w:ascii="Arial" w:cs="Arial" w:hAnsi="Arial"/>
          <w:sz w:val="22"/>
        </w:rPr>
        <w:t>一次性盘活实训教室与配套办公用房、UBIC 养老社区，将静态闲置资产转化为可持续盈利产业载体，落地宁平董事长校园康养闭环布局规划；</w:t>
      </w:r>
    </w:p>
    <w:p>
      <w:pPr>
        <w:numPr>
          <w:numId w:val="49"/>
        </w:numPr>
        <w:spacing w:before="120" w:after="120" w:line="288" w:lineRule="auto"/>
        <w:ind w:left="0"/>
        <w:jc w:val="left"/>
      </w:pPr>
      <w:r>
        <w:rPr>
          <w:rFonts w:eastAsia="等线" w:ascii="Arial" w:cs="Arial" w:hAnsi="Arial"/>
          <w:sz w:val="22"/>
        </w:rPr>
        <w:t>仅现金入股即可共享省内头部培训 + 全国线上平台全部业务分红，无需额外投入场地、设备采购成本；</w:t>
      </w:r>
    </w:p>
    <w:p>
      <w:pPr>
        <w:numPr>
          <w:numId w:val="50"/>
        </w:numPr>
        <w:spacing w:before="120" w:after="120" w:line="288" w:lineRule="auto"/>
        <w:ind w:left="0"/>
        <w:jc w:val="left"/>
      </w:pPr>
      <w:r>
        <w:rPr>
          <w:rFonts w:eastAsia="等线" w:ascii="Arial" w:cs="Arial" w:hAnsi="Arial"/>
          <w:sz w:val="22"/>
        </w:rPr>
        <w:t>搭建 “在校学习 — 技能考证 — 社区就业” 完整人才培养闭环，大幅提升康养专业就业率，树立民办高职院校产教融合标杆。</w:t>
      </w:r>
    </w:p>
    <w:p>
      <w:pPr>
        <w:pStyle w:val="3"/>
        <w:spacing w:before="300" w:after="120" w:line="288" w:lineRule="auto"/>
        <w:ind w:left="0"/>
        <w:jc w:val="left"/>
        <w:outlineLvl w:val="2"/>
      </w:pPr>
      <w:bookmarkStart w:name="heading_26" w:id="26"/>
      <w:r>
        <w:rPr>
          <w:rFonts w:eastAsia="等线" w:ascii="Arial" w:cs="Arial" w:hAnsi="Arial"/>
          <w:b w:val="true"/>
          <w:sz w:val="30"/>
        </w:rPr>
        <w:t>（二）对叁竹职业培训学校有限公司</w:t>
      </w:r>
      <w:bookmarkEnd w:id="26"/>
    </w:p>
    <w:p>
      <w:pPr>
        <w:numPr>
          <w:numId w:val="51"/>
        </w:numPr>
        <w:spacing w:before="120" w:after="120" w:line="288" w:lineRule="auto"/>
        <w:ind w:left="0"/>
        <w:jc w:val="left"/>
      </w:pPr>
      <w:r>
        <w:rPr>
          <w:rFonts w:eastAsia="等线" w:ascii="Arial" w:cs="Arial" w:hAnsi="Arial"/>
          <w:sz w:val="22"/>
        </w:rPr>
        <w:t>长期稳定获得校方专属实训教学区 + 独立办公区，零租金使用，省去每年大额场地租赁、办公场地投入，硬件完全符合省级鉴定验收标准，解决多年无固定经营场地核心痛点；</w:t>
      </w:r>
    </w:p>
    <w:p>
      <w:pPr>
        <w:numPr>
          <w:numId w:val="52"/>
        </w:numPr>
        <w:spacing w:before="120" w:after="120" w:line="288" w:lineRule="auto"/>
        <w:ind w:left="0"/>
        <w:jc w:val="left"/>
      </w:pPr>
      <w:r>
        <w:rPr>
          <w:rFonts w:eastAsia="等线" w:ascii="Arial" w:cs="Arial" w:hAnsi="Arial"/>
          <w:sz w:val="22"/>
        </w:rPr>
        <w:t>绑定民办大专院校稳定生源、院校品牌、鉴定申报主体资质，大幅降低市场获客、资质申报难度；</w:t>
      </w:r>
    </w:p>
    <w:p>
      <w:pPr>
        <w:numPr>
          <w:numId w:val="53"/>
        </w:numPr>
        <w:spacing w:before="120" w:after="120" w:line="288" w:lineRule="auto"/>
        <w:ind w:left="0"/>
        <w:jc w:val="left"/>
      </w:pPr>
      <w:r>
        <w:rPr>
          <w:rFonts w:eastAsia="等线" w:ascii="Arial" w:cs="Arial" w:hAnsi="Arial"/>
          <w:sz w:val="22"/>
        </w:rPr>
        <w:t>校内 UBIC 养老社区提供独家实景实训场景，进一步巩固省内前三行业领先地位；</w:t>
      </w:r>
    </w:p>
    <w:p>
      <w:pPr>
        <w:numPr>
          <w:numId w:val="54"/>
        </w:numPr>
        <w:spacing w:before="120" w:after="120" w:line="288" w:lineRule="auto"/>
        <w:ind w:left="0"/>
        <w:jc w:val="left"/>
      </w:pPr>
      <w:r>
        <w:rPr>
          <w:rFonts w:eastAsia="等线" w:ascii="Arial" w:cs="Arial" w:hAnsi="Arial"/>
          <w:sz w:val="22"/>
        </w:rPr>
        <w:t>借助院校渠道对接政府人社、民政项目，叠加自有全国线上平台双向发力，加速全国市场布局，持续放大平台长期价值。</w:t>
      </w:r>
    </w:p>
    <w:p>
      <w:pPr>
        <w:pStyle w:val="3"/>
        <w:spacing w:before="300" w:after="120" w:line="288" w:lineRule="auto"/>
        <w:ind w:left="0"/>
        <w:jc w:val="left"/>
        <w:outlineLvl w:val="2"/>
      </w:pPr>
      <w:bookmarkStart w:name="heading_27" w:id="27"/>
      <w:r>
        <w:rPr>
          <w:rFonts w:eastAsia="等线" w:ascii="Arial" w:cs="Arial" w:hAnsi="Arial"/>
          <w:b w:val="true"/>
          <w:sz w:val="30"/>
        </w:rPr>
        <w:t>（三）长期产业前景</w:t>
      </w:r>
      <w:bookmarkEnd w:id="27"/>
    </w:p>
    <w:p>
      <w:pPr>
        <w:spacing w:before="120" w:after="120" w:line="288" w:lineRule="auto"/>
        <w:ind w:left="0"/>
        <w:jc w:val="left"/>
      </w:pPr>
      <w:r>
        <w:rPr>
          <w:rFonts w:eastAsia="等线" w:ascii="Arial" w:cs="Arial" w:hAnsi="Arial"/>
          <w:sz w:val="22"/>
        </w:rPr>
        <w:t>人口老龄化、长护险全国落地为行业二十年长期稳定驱动，养老照护持证人才刚需长期存在；AI 冲击下民办院校康养赛道转型为不可逆趋势。本次合作依托双方多年共建学院的深厚互信，基于高层对康养产业统一战略认知协商确定合作估值，采用现金入股 + 校方划拨专属实训、办公场地永久免费使用的轻量化合作模式，兼顾湖内民办院校资产管理合规要求与叁竹线上全国扩张的市场化发展需求，构建独家 “民办院校专属实训办公基地 + 校园嵌入式养老 + 线下培训 + 全国线上数字化平台 + 技能鉴定” 完整产业闭环，兼具政策合规性、盈利稳定性与长期股权增值空间。</w:t>
      </w:r>
    </w:p>
    <w:p>
      <w:pPr>
        <w:pStyle w:val="2"/>
        <w:spacing w:before="320" w:after="120" w:line="288" w:lineRule="auto"/>
        <w:ind w:left="0"/>
        <w:jc w:val="left"/>
        <w:outlineLvl w:val="1"/>
      </w:pPr>
      <w:bookmarkStart w:name="heading_28" w:id="28"/>
      <w:r>
        <w:rPr>
          <w:rFonts w:eastAsia="等线" w:ascii="Arial" w:cs="Arial" w:hAnsi="Arial"/>
          <w:b w:val="true"/>
          <w:sz w:val="32"/>
        </w:rPr>
        <w:t>十、合规管控与落地实施步骤</w:t>
      </w:r>
      <w:bookmarkEnd w:id="28"/>
    </w:p>
    <w:p>
      <w:pPr>
        <w:pStyle w:val="3"/>
        <w:spacing w:before="300" w:after="120" w:line="288" w:lineRule="auto"/>
        <w:ind w:left="0"/>
        <w:jc w:val="left"/>
        <w:outlineLvl w:val="2"/>
      </w:pPr>
      <w:bookmarkStart w:name="heading_29" w:id="29"/>
      <w:r>
        <w:rPr>
          <w:rFonts w:eastAsia="等线" w:ascii="Arial" w:cs="Arial" w:hAnsi="Arial"/>
          <w:b w:val="true"/>
          <w:sz w:val="30"/>
        </w:rPr>
        <w:t>（一）合规风险管控</w:t>
      </w:r>
      <w:bookmarkEnd w:id="29"/>
    </w:p>
    <w:p>
      <w:pPr>
        <w:numPr>
          <w:numId w:val="55"/>
        </w:numPr>
        <w:spacing w:before="120" w:after="120" w:line="288" w:lineRule="auto"/>
        <w:ind w:left="0"/>
        <w:jc w:val="left"/>
      </w:pPr>
      <w:r>
        <w:rPr>
          <w:rFonts w:eastAsia="等线" w:ascii="Arial" w:cs="Arial" w:hAnsi="Arial"/>
          <w:sz w:val="22"/>
        </w:rPr>
        <w:t>资产合规：实训、办公场地仅在校内国有资产台账登记备案、不抵充股权出资，签署书面无偿配套使用协议，明确场地划分范围、使用年限、用途，资产登记文件完整归档；本次合作估值为双方战略协商定价，无第三方资产评估报告，相关协商过程、沟通纪要留存归档作为合作定价依据。</w:t>
      </w:r>
    </w:p>
    <w:p>
      <w:pPr>
        <w:numPr>
          <w:numId w:val="56"/>
        </w:numPr>
        <w:spacing w:before="120" w:after="120" w:line="288" w:lineRule="auto"/>
        <w:ind w:left="0"/>
        <w:jc w:val="left"/>
      </w:pPr>
      <w:r>
        <w:rPr>
          <w:rFonts w:eastAsia="等线" w:ascii="Arial" w:cs="Arial" w:hAnsi="Arial"/>
          <w:sz w:val="22"/>
        </w:rPr>
        <w:t>股权财务合规：公司独立对公账户，每季度出具完整财务报表供湖外查阅，大额资金支出由双方股东协商决议；入股资金专款专用，建立专项台账接受湖外监督。</w:t>
      </w:r>
    </w:p>
    <w:p>
      <w:pPr>
        <w:numPr>
          <w:numId w:val="57"/>
        </w:numPr>
        <w:spacing w:before="120" w:after="120" w:line="288" w:lineRule="auto"/>
        <w:ind w:left="0"/>
        <w:jc w:val="left"/>
      </w:pPr>
      <w:r>
        <w:rPr>
          <w:rFonts w:eastAsia="等线" w:ascii="Arial" w:cs="Arial" w:hAnsi="Arial"/>
          <w:sz w:val="22"/>
        </w:rPr>
        <w:t>办学鉴定合规：培训、考评全流程严格遵循人社、教育主管部门标准，湖外配合完成资质年审、现场核查；</w:t>
      </w:r>
    </w:p>
    <w:p>
      <w:pPr>
        <w:numPr>
          <w:numId w:val="58"/>
        </w:numPr>
        <w:spacing w:before="120" w:after="120" w:line="288" w:lineRule="auto"/>
        <w:ind w:left="0"/>
        <w:jc w:val="left"/>
      </w:pPr>
      <w:r>
        <w:rPr>
          <w:rFonts w:eastAsia="等线" w:ascii="Arial" w:cs="Arial" w:hAnsi="Arial"/>
          <w:sz w:val="22"/>
        </w:rPr>
        <w:t>历史合作区分：明确过往仅口头合作意向、无专属场地交付，无生效协议，全部权责、场地使用、股权估值、出资约定以本次增资扩股协议、场地配套补充协议、新版公司章程为准，避免权责冲突。</w:t>
      </w:r>
    </w:p>
    <w:p>
      <w:pPr>
        <w:pStyle w:val="3"/>
        <w:spacing w:before="300" w:after="120" w:line="288" w:lineRule="auto"/>
        <w:ind w:left="0"/>
        <w:jc w:val="left"/>
        <w:outlineLvl w:val="2"/>
      </w:pPr>
      <w:bookmarkStart w:name="heading_30" w:id="30"/>
      <w:r>
        <w:rPr>
          <w:rFonts w:eastAsia="等线" w:ascii="Arial" w:cs="Arial" w:hAnsi="Arial"/>
          <w:b w:val="true"/>
          <w:sz w:val="30"/>
        </w:rPr>
        <w:t>（二）分阶段落地步骤</w:t>
      </w:r>
      <w:bookmarkEnd w:id="30"/>
    </w:p>
    <w:p>
      <w:pPr>
        <w:numPr>
          <w:numId w:val="59"/>
        </w:numPr>
        <w:spacing w:before="120" w:after="120" w:line="288" w:lineRule="auto"/>
        <w:ind w:left="0"/>
        <w:jc w:val="left"/>
      </w:pPr>
      <w:r>
        <w:rPr>
          <w:rFonts w:eastAsia="等线" w:ascii="Arial" w:cs="Arial" w:hAnsi="Arial"/>
          <w:sz w:val="22"/>
        </w:rPr>
        <w:t>第一阶段（1 个月内）：湖内完成实训、办公场地校内资产备案登记、院校对外股权投资内部审批；划定明确实训、办公区域并出具场地划分平面图；整理双方估值协商沟通记录、产业战略共识材料归档；叁竹全体自然人股东召开股东会，表决通过 1200 万元现金增资入股方案。</w:t>
      </w:r>
    </w:p>
    <w:p>
      <w:pPr>
        <w:numPr>
          <w:numId w:val="60"/>
        </w:numPr>
        <w:spacing w:before="120" w:after="120" w:line="288" w:lineRule="auto"/>
        <w:ind w:left="0"/>
        <w:jc w:val="left"/>
      </w:pPr>
      <w:r>
        <w:rPr>
          <w:rFonts w:eastAsia="等线" w:ascii="Arial" w:cs="Arial" w:hAnsi="Arial"/>
          <w:sz w:val="22"/>
        </w:rPr>
        <w:t>第二阶段（1-2 个月）：签署《增资扩股协议》《实训及办公场地无偿配套使用补充协议》（附场地划分图纸）及新版公司章程；湖外完成首期 720 万元现金实缴；市场监管局完成股权变更登记，同步更新办学许可备案信息；校方正式交付划定实训、办公场地给叁竹入驻运营。</w:t>
      </w:r>
    </w:p>
    <w:p>
      <w:pPr>
        <w:numPr>
          <w:numId w:val="61"/>
        </w:numPr>
        <w:spacing w:before="120" w:after="120" w:line="288" w:lineRule="auto"/>
        <w:ind w:left="0"/>
        <w:jc w:val="left"/>
      </w:pPr>
      <w:r>
        <w:rPr>
          <w:rFonts w:eastAsia="等线" w:ascii="Arial" w:cs="Arial" w:hAnsi="Arial"/>
          <w:sz w:val="22"/>
        </w:rPr>
        <w:t>第三阶段（同步推进）：以湖外为主体申报多工种省级技能鉴定资质；依托新划拨场地完成标准化考点改造；迭代升级全国线上招生咨询平台；整合校内生源、实训场地、UBIC 养老社区资源，制定年度招生、培训、考评运营方案；建立季度股东对账机制，按 60%/40% 股权统一分配净利润。</w:t>
      </w:r>
    </w:p>
    <w:p>
      <w:pPr>
        <w:numPr>
          <w:numId w:val="62"/>
        </w:numPr>
        <w:spacing w:before="120" w:after="120" w:line="288" w:lineRule="auto"/>
        <w:ind w:left="0"/>
        <w:jc w:val="left"/>
      </w:pPr>
      <w:r>
        <w:rPr>
          <w:rFonts w:eastAsia="等线" w:ascii="Arial" w:cs="Arial" w:hAnsi="Arial"/>
          <w:sz w:val="22"/>
        </w:rPr>
        <w:t>第四阶段（长期常态化）：省内合作网点全面落地，依托线上平台对外输出标准化康养人才培养模式，拓展全国机构咨询业务，稳步推进全国业务布局扩张。</w:t>
      </w:r>
    </w:p>
    <w:p>
      <w:pPr>
        <w:spacing w:before="120" w:after="120" w:line="288" w:lineRule="auto"/>
        <w:ind w:left="0"/>
        <w:jc w:val="left"/>
      </w:pPr>
      <w:r>
        <w:rPr>
          <w:rFonts w:eastAsia="等线" w:ascii="Arial" w:cs="Arial" w:hAnsi="Arial"/>
          <w:sz w:val="22"/>
        </w:rPr>
        <w:t>|（注：部分内容可能由 AI 生成）</w:t>
      </w:r>
    </w:p>
    <w:sectPr>
      <w:footerReference w:type="default" r:id="rId3"/>
      <w:headerReference w:type="default" r:id="rId5"/>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563311">
    <w:lvl>
      <w:start w:val="1"/>
      <w:numFmt w:val="decimal"/>
      <w:suff w:val="tab"/>
      <w:lvlText w:val="%1."/>
      <w:rPr>
        <w:color w:val="3370ff"/>
      </w:rPr>
    </w:lvl>
  </w:abstractNum>
  <w:abstractNum w:abstractNumId="563312">
    <w:lvl>
      <w:start w:val="2"/>
      <w:numFmt w:val="decimal"/>
      <w:suff w:val="tab"/>
      <w:lvlText w:val="%1."/>
      <w:rPr>
        <w:color w:val="3370ff"/>
      </w:rPr>
    </w:lvl>
  </w:abstractNum>
  <w:abstractNum w:abstractNumId="563313">
    <w:lvl>
      <w:start w:val="3"/>
      <w:numFmt w:val="decimal"/>
      <w:suff w:val="tab"/>
      <w:lvlText w:val="%1."/>
      <w:rPr>
        <w:color w:val="3370ff"/>
      </w:rPr>
    </w:lvl>
  </w:abstractNum>
  <w:abstractNum w:abstractNumId="563314">
    <w:lvl>
      <w:start w:val="4"/>
      <w:numFmt w:val="decimal"/>
      <w:suff w:val="tab"/>
      <w:lvlText w:val="%1."/>
      <w:rPr>
        <w:color w:val="3370ff"/>
      </w:rPr>
    </w:lvl>
  </w:abstractNum>
  <w:abstractNum w:abstractNumId="563315">
    <w:lvl>
      <w:start w:val="5"/>
      <w:numFmt w:val="decimal"/>
      <w:suff w:val="tab"/>
      <w:lvlText w:val="%1."/>
      <w:rPr>
        <w:color w:val="3370ff"/>
      </w:rPr>
    </w:lvl>
  </w:abstractNum>
  <w:abstractNum w:abstractNumId="563316">
    <w:lvl>
      <w:start w:val="6"/>
      <w:numFmt w:val="decimal"/>
      <w:suff w:val="tab"/>
      <w:lvlText w:val="%1."/>
      <w:rPr>
        <w:color w:val="3370ff"/>
      </w:rPr>
    </w:lvl>
  </w:abstractNum>
  <w:abstractNum w:abstractNumId="563317">
    <w:lvl>
      <w:start w:val="7"/>
      <w:numFmt w:val="decimal"/>
      <w:suff w:val="tab"/>
      <w:lvlText w:val="%1."/>
      <w:rPr>
        <w:color w:val="3370ff"/>
      </w:rPr>
    </w:lvl>
  </w:abstractNum>
  <w:abstractNum w:abstractNumId="563318">
    <w:lvl>
      <w:start w:val="1"/>
      <w:numFmt w:val="decimal"/>
      <w:suff w:val="tab"/>
      <w:lvlText w:val="%1."/>
      <w:rPr>
        <w:color w:val="3370ff"/>
      </w:rPr>
    </w:lvl>
  </w:abstractNum>
  <w:abstractNum w:abstractNumId="563319">
    <w:lvl>
      <w:start w:val="2"/>
      <w:numFmt w:val="decimal"/>
      <w:suff w:val="tab"/>
      <w:lvlText w:val="%1."/>
      <w:rPr>
        <w:color w:val="3370ff"/>
      </w:rPr>
    </w:lvl>
  </w:abstractNum>
  <w:abstractNum w:abstractNumId="563320">
    <w:lvl>
      <w:start w:val="3"/>
      <w:numFmt w:val="decimal"/>
      <w:suff w:val="tab"/>
      <w:lvlText w:val="%1."/>
      <w:rPr>
        <w:color w:val="3370ff"/>
      </w:rPr>
    </w:lvl>
  </w:abstractNum>
  <w:abstractNum w:abstractNumId="563321">
    <w:lvl>
      <w:start w:val="4"/>
      <w:numFmt w:val="decimal"/>
      <w:suff w:val="tab"/>
      <w:lvlText w:val="%1."/>
      <w:rPr>
        <w:color w:val="3370ff"/>
      </w:rPr>
    </w:lvl>
  </w:abstractNum>
  <w:abstractNum w:abstractNumId="563322">
    <w:lvl>
      <w:start w:val="1"/>
      <w:numFmt w:val="decimal"/>
      <w:suff w:val="tab"/>
      <w:lvlText w:val="%1."/>
      <w:rPr>
        <w:color w:val="3370ff"/>
      </w:rPr>
    </w:lvl>
  </w:abstractNum>
  <w:abstractNum w:abstractNumId="563323">
    <w:lvl>
      <w:start w:val="2"/>
      <w:numFmt w:val="decimal"/>
      <w:suff w:val="tab"/>
      <w:lvlText w:val="%1."/>
      <w:rPr>
        <w:color w:val="3370ff"/>
      </w:rPr>
    </w:lvl>
  </w:abstractNum>
  <w:abstractNum w:abstractNumId="563324">
    <w:lvl>
      <w:start w:val="3"/>
      <w:numFmt w:val="decimal"/>
      <w:suff w:val="tab"/>
      <w:lvlText w:val="%1."/>
      <w:rPr>
        <w:color w:val="3370ff"/>
      </w:rPr>
    </w:lvl>
  </w:abstractNum>
  <w:abstractNum w:abstractNumId="563325">
    <w:lvl>
      <w:start w:val="1"/>
      <w:numFmt w:val="decimal"/>
      <w:suff w:val="tab"/>
      <w:lvlText w:val="%1."/>
      <w:rPr>
        <w:color w:val="3370ff"/>
      </w:rPr>
    </w:lvl>
  </w:abstractNum>
  <w:abstractNum w:abstractNumId="563326">
    <w:lvl>
      <w:start w:val="2"/>
      <w:numFmt w:val="decimal"/>
      <w:suff w:val="tab"/>
      <w:lvlText w:val="%1."/>
      <w:rPr>
        <w:color w:val="3370ff"/>
      </w:rPr>
    </w:lvl>
  </w:abstractNum>
  <w:abstractNum w:abstractNumId="563327">
    <w:lvl>
      <w:start w:val="3"/>
      <w:numFmt w:val="decimal"/>
      <w:suff w:val="tab"/>
      <w:lvlText w:val="%1."/>
      <w:rPr>
        <w:color w:val="3370ff"/>
      </w:rPr>
    </w:lvl>
  </w:abstractNum>
  <w:abstractNum w:abstractNumId="563328">
    <w:lvl>
      <w:start w:val="1"/>
      <w:numFmt w:val="decimal"/>
      <w:suff w:val="tab"/>
      <w:lvlText w:val="%1."/>
      <w:rPr>
        <w:color w:val="3370ff"/>
      </w:rPr>
    </w:lvl>
  </w:abstractNum>
  <w:abstractNum w:abstractNumId="563329">
    <w:lvl>
      <w:start w:val="2"/>
      <w:numFmt w:val="decimal"/>
      <w:suff w:val="tab"/>
      <w:lvlText w:val="%1."/>
      <w:rPr>
        <w:color w:val="3370ff"/>
      </w:rPr>
    </w:lvl>
  </w:abstractNum>
  <w:abstractNum w:abstractNumId="563330">
    <w:lvl>
      <w:start w:val="1"/>
      <w:numFmt w:val="decimal"/>
      <w:suff w:val="tab"/>
      <w:lvlText w:val="%1."/>
      <w:rPr>
        <w:color w:val="3370ff"/>
      </w:rPr>
    </w:lvl>
  </w:abstractNum>
  <w:abstractNum w:abstractNumId="563331">
    <w:lvl>
      <w:start w:val="2"/>
      <w:numFmt w:val="decimal"/>
      <w:suff w:val="tab"/>
      <w:lvlText w:val="%1."/>
      <w:rPr>
        <w:color w:val="3370ff"/>
      </w:rPr>
    </w:lvl>
  </w:abstractNum>
  <w:abstractNum w:abstractNumId="563332">
    <w:lvl>
      <w:start w:val="3"/>
      <w:numFmt w:val="decimal"/>
      <w:suff w:val="tab"/>
      <w:lvlText w:val="%1."/>
      <w:rPr>
        <w:color w:val="3370ff"/>
      </w:rPr>
    </w:lvl>
  </w:abstractNum>
  <w:abstractNum w:abstractNumId="563333">
    <w:lvl>
      <w:start w:val="4"/>
      <w:numFmt w:val="decimal"/>
      <w:suff w:val="tab"/>
      <w:lvlText w:val="%1."/>
      <w:rPr>
        <w:color w:val="3370ff"/>
      </w:rPr>
    </w:lvl>
  </w:abstractNum>
  <w:abstractNum w:abstractNumId="563334">
    <w:lvl>
      <w:start w:val="5"/>
      <w:numFmt w:val="decimal"/>
      <w:suff w:val="tab"/>
      <w:lvlText w:val="%1."/>
      <w:rPr>
        <w:color w:val="3370ff"/>
      </w:rPr>
    </w:lvl>
  </w:abstractNum>
  <w:abstractNum w:abstractNumId="563335">
    <w:lvl>
      <w:start w:val="1"/>
      <w:numFmt w:val="decimal"/>
      <w:suff w:val="tab"/>
      <w:lvlText w:val="%1."/>
      <w:rPr>
        <w:color w:val="3370ff"/>
      </w:rPr>
    </w:lvl>
  </w:abstractNum>
  <w:abstractNum w:abstractNumId="563336">
    <w:lvl>
      <w:start w:val="2"/>
      <w:numFmt w:val="decimal"/>
      <w:suff w:val="tab"/>
      <w:lvlText w:val="%1."/>
      <w:rPr>
        <w:color w:val="3370ff"/>
      </w:rPr>
    </w:lvl>
  </w:abstractNum>
  <w:abstractNum w:abstractNumId="563337">
    <w:lvl>
      <w:start w:val="3"/>
      <w:numFmt w:val="decimal"/>
      <w:suff w:val="tab"/>
      <w:lvlText w:val="%1."/>
      <w:rPr>
        <w:color w:val="3370ff"/>
      </w:rPr>
    </w:lvl>
  </w:abstractNum>
  <w:abstractNum w:abstractNumId="563338">
    <w:lvl>
      <w:start w:val="1"/>
      <w:numFmt w:val="decimal"/>
      <w:suff w:val="tab"/>
      <w:lvlText w:val="%1."/>
      <w:rPr>
        <w:color w:val="3370ff"/>
      </w:rPr>
    </w:lvl>
  </w:abstractNum>
  <w:abstractNum w:abstractNumId="563339">
    <w:lvl>
      <w:start w:val="2"/>
      <w:numFmt w:val="decimal"/>
      <w:suff w:val="tab"/>
      <w:lvlText w:val="%1."/>
      <w:rPr>
        <w:color w:val="3370ff"/>
      </w:rPr>
    </w:lvl>
  </w:abstractNum>
  <w:abstractNum w:abstractNumId="563340">
    <w:lvl>
      <w:start w:val="3"/>
      <w:numFmt w:val="decimal"/>
      <w:suff w:val="tab"/>
      <w:lvlText w:val="%1."/>
      <w:rPr>
        <w:color w:val="3370ff"/>
      </w:rPr>
    </w:lvl>
  </w:abstractNum>
  <w:abstractNum w:abstractNumId="563341">
    <w:lvl>
      <w:start w:val="1"/>
      <w:numFmt w:val="decimal"/>
      <w:suff w:val="tab"/>
      <w:lvlText w:val="%1."/>
      <w:rPr>
        <w:color w:val="3370ff"/>
      </w:rPr>
    </w:lvl>
  </w:abstractNum>
  <w:abstractNum w:abstractNumId="563342">
    <w:lvl>
      <w:start w:val="2"/>
      <w:numFmt w:val="decimal"/>
      <w:suff w:val="tab"/>
      <w:lvlText w:val="%1."/>
      <w:rPr>
        <w:color w:val="3370ff"/>
      </w:rPr>
    </w:lvl>
  </w:abstractNum>
  <w:abstractNum w:abstractNumId="563343">
    <w:lvl>
      <w:start w:val="3"/>
      <w:numFmt w:val="decimal"/>
      <w:suff w:val="tab"/>
      <w:lvlText w:val="%1."/>
      <w:rPr>
        <w:color w:val="3370ff"/>
      </w:rPr>
    </w:lvl>
  </w:abstractNum>
  <w:abstractNum w:abstractNumId="563344">
    <w:lvl>
      <w:start w:val="4"/>
      <w:numFmt w:val="decimal"/>
      <w:suff w:val="tab"/>
      <w:lvlText w:val="%1."/>
      <w:rPr>
        <w:color w:val="3370ff"/>
      </w:rPr>
    </w:lvl>
  </w:abstractNum>
  <w:abstractNum w:abstractNumId="563345">
    <w:lvl>
      <w:start w:val="1"/>
      <w:numFmt w:val="decimal"/>
      <w:suff w:val="tab"/>
      <w:lvlText w:val="%1."/>
      <w:rPr>
        <w:color w:val="3370ff"/>
      </w:rPr>
    </w:lvl>
  </w:abstractNum>
  <w:abstractNum w:abstractNumId="563346">
    <w:lvl>
      <w:start w:val="2"/>
      <w:numFmt w:val="decimal"/>
      <w:suff w:val="tab"/>
      <w:lvlText w:val="%1."/>
      <w:rPr>
        <w:color w:val="3370ff"/>
      </w:rPr>
    </w:lvl>
  </w:abstractNum>
  <w:abstractNum w:abstractNumId="563347">
    <w:lvl>
      <w:start w:val="3"/>
      <w:numFmt w:val="decimal"/>
      <w:suff w:val="tab"/>
      <w:lvlText w:val="%1."/>
      <w:rPr>
        <w:color w:val="3370ff"/>
      </w:rPr>
    </w:lvl>
  </w:abstractNum>
  <w:abstractNum w:abstractNumId="563348">
    <w:lvl>
      <w:start w:val="1"/>
      <w:numFmt w:val="decimal"/>
      <w:suff w:val="tab"/>
      <w:lvlText w:val="%1."/>
      <w:rPr>
        <w:color w:val="3370ff"/>
      </w:rPr>
    </w:lvl>
  </w:abstractNum>
  <w:abstractNum w:abstractNumId="563349">
    <w:lvl>
      <w:start w:val="2"/>
      <w:numFmt w:val="decimal"/>
      <w:suff w:val="tab"/>
      <w:lvlText w:val="%1."/>
      <w:rPr>
        <w:color w:val="3370ff"/>
      </w:rPr>
    </w:lvl>
  </w:abstractNum>
  <w:abstractNum w:abstractNumId="563350">
    <w:lvl>
      <w:start w:val="3"/>
      <w:numFmt w:val="decimal"/>
      <w:suff w:val="tab"/>
      <w:lvlText w:val="%1."/>
      <w:rPr>
        <w:color w:val="3370ff"/>
      </w:rPr>
    </w:lvl>
  </w:abstractNum>
  <w:abstractNum w:abstractNumId="563351">
    <w:lvl>
      <w:start w:val="4"/>
      <w:numFmt w:val="decimal"/>
      <w:suff w:val="tab"/>
      <w:lvlText w:val="%1."/>
      <w:rPr>
        <w:color w:val="3370ff"/>
      </w:rPr>
    </w:lvl>
  </w:abstractNum>
  <w:abstractNum w:abstractNumId="563352">
    <w:lvl>
      <w:start w:val="5"/>
      <w:numFmt w:val="decimal"/>
      <w:suff w:val="tab"/>
      <w:lvlText w:val="%1."/>
      <w:rPr>
        <w:color w:val="3370ff"/>
      </w:rPr>
    </w:lvl>
  </w:abstractNum>
  <w:abstractNum w:abstractNumId="563353">
    <w:lvl>
      <w:start w:val="1"/>
      <w:numFmt w:val="decimal"/>
      <w:suff w:val="tab"/>
      <w:lvlText w:val="%1."/>
      <w:rPr>
        <w:color w:val="3370ff"/>
      </w:rPr>
    </w:lvl>
  </w:abstractNum>
  <w:abstractNum w:abstractNumId="563354">
    <w:lvl>
      <w:start w:val="2"/>
      <w:numFmt w:val="decimal"/>
      <w:suff w:val="tab"/>
      <w:lvlText w:val="%1."/>
      <w:rPr>
        <w:color w:val="3370ff"/>
      </w:rPr>
    </w:lvl>
  </w:abstractNum>
  <w:abstractNum w:abstractNumId="563355">
    <w:lvl>
      <w:start w:val="3"/>
      <w:numFmt w:val="decimal"/>
      <w:suff w:val="tab"/>
      <w:lvlText w:val="%1."/>
      <w:rPr>
        <w:color w:val="3370ff"/>
      </w:rPr>
    </w:lvl>
  </w:abstractNum>
  <w:abstractNum w:abstractNumId="563356">
    <w:lvl>
      <w:start w:val="4"/>
      <w:numFmt w:val="decimal"/>
      <w:suff w:val="tab"/>
      <w:lvlText w:val="%1."/>
      <w:rPr>
        <w:color w:val="3370ff"/>
      </w:rPr>
    </w:lvl>
  </w:abstractNum>
  <w:abstractNum w:abstractNumId="563357">
    <w:lvl>
      <w:start w:val="1"/>
      <w:numFmt w:val="decimal"/>
      <w:suff w:val="tab"/>
      <w:lvlText w:val="%1."/>
      <w:rPr>
        <w:color w:val="3370ff"/>
      </w:rPr>
    </w:lvl>
  </w:abstractNum>
  <w:abstractNum w:abstractNumId="563358">
    <w:lvl>
      <w:start w:val="2"/>
      <w:numFmt w:val="decimal"/>
      <w:suff w:val="tab"/>
      <w:lvlText w:val="%1."/>
      <w:rPr>
        <w:color w:val="3370ff"/>
      </w:rPr>
    </w:lvl>
  </w:abstractNum>
  <w:abstractNum w:abstractNumId="563359">
    <w:lvl>
      <w:start w:val="3"/>
      <w:numFmt w:val="decimal"/>
      <w:suff w:val="tab"/>
      <w:lvlText w:val="%1."/>
      <w:rPr>
        <w:color w:val="3370ff"/>
      </w:rPr>
    </w:lvl>
  </w:abstractNum>
  <w:abstractNum w:abstractNumId="563360">
    <w:lvl>
      <w:start w:val="4"/>
      <w:numFmt w:val="decimal"/>
      <w:suff w:val="tab"/>
      <w:lvlText w:val="%1."/>
      <w:rPr>
        <w:color w:val="3370ff"/>
      </w:rPr>
    </w:lvl>
  </w:abstractNum>
  <w:abstractNum w:abstractNumId="563361">
    <w:lvl>
      <w:start w:val="1"/>
      <w:numFmt w:val="decimal"/>
      <w:suff w:val="tab"/>
      <w:lvlText w:val="%1."/>
      <w:rPr>
        <w:color w:val="3370ff"/>
      </w:rPr>
    </w:lvl>
  </w:abstractNum>
  <w:abstractNum w:abstractNumId="563362">
    <w:lvl>
      <w:start w:val="2"/>
      <w:numFmt w:val="decimal"/>
      <w:suff w:val="tab"/>
      <w:lvlText w:val="%1."/>
      <w:rPr>
        <w:color w:val="3370ff"/>
      </w:rPr>
    </w:lvl>
  </w:abstractNum>
  <w:abstractNum w:abstractNumId="563363">
    <w:lvl>
      <w:start w:val="3"/>
      <w:numFmt w:val="decimal"/>
      <w:suff w:val="tab"/>
      <w:lvlText w:val="%1."/>
      <w:rPr>
        <w:color w:val="3370ff"/>
      </w:rPr>
    </w:lvl>
  </w:abstractNum>
  <w:abstractNum w:abstractNumId="563364">
    <w:lvl>
      <w:start w:val="4"/>
      <w:numFmt w:val="decimal"/>
      <w:suff w:val="tab"/>
      <w:lvlText w:val="%1."/>
      <w:rPr>
        <w:color w:val="3370ff"/>
      </w:rPr>
    </w:lvl>
  </w:abstractNum>
  <w:abstractNum w:abstractNumId="563365">
    <w:lvl>
      <w:start w:val="1"/>
      <w:numFmt w:val="decimal"/>
      <w:suff w:val="tab"/>
      <w:lvlText w:val="%1."/>
      <w:rPr>
        <w:color w:val="3370ff"/>
      </w:rPr>
    </w:lvl>
  </w:abstractNum>
  <w:abstractNum w:abstractNumId="563366">
    <w:lvl>
      <w:start w:val="2"/>
      <w:numFmt w:val="decimal"/>
      <w:suff w:val="tab"/>
      <w:lvlText w:val="%1."/>
      <w:rPr>
        <w:color w:val="3370ff"/>
      </w:rPr>
    </w:lvl>
  </w:abstractNum>
  <w:abstractNum w:abstractNumId="563367">
    <w:lvl>
      <w:start w:val="3"/>
      <w:numFmt w:val="decimal"/>
      <w:suff w:val="tab"/>
      <w:lvlText w:val="%1."/>
      <w:rPr>
        <w:color w:val="3370ff"/>
      </w:rPr>
    </w:lvl>
  </w:abstractNum>
  <w:abstractNum w:abstractNumId="563368">
    <w:lvl>
      <w:start w:val="4"/>
      <w:numFmt w:val="decimal"/>
      <w:suff w:val="tab"/>
      <w:lvlText w:val="%1."/>
      <w:rPr>
        <w:color w:val="3370ff"/>
      </w:rPr>
    </w:lvl>
  </w:abstractNum>
  <w:abstractNum w:abstractNumId="563369">
    <w:lvl>
      <w:start w:val="1"/>
      <w:numFmt w:val="decimal"/>
      <w:suff w:val="tab"/>
      <w:lvlText w:val="%1."/>
      <w:rPr>
        <w:color w:val="3370ff"/>
      </w:rPr>
    </w:lvl>
  </w:abstractNum>
  <w:abstractNum w:abstractNumId="563370">
    <w:lvl>
      <w:start w:val="2"/>
      <w:numFmt w:val="decimal"/>
      <w:suff w:val="tab"/>
      <w:lvlText w:val="%1."/>
      <w:rPr>
        <w:color w:val="3370ff"/>
      </w:rPr>
    </w:lvl>
  </w:abstractNum>
  <w:abstractNum w:abstractNumId="563371">
    <w:lvl>
      <w:start w:val="3"/>
      <w:numFmt w:val="decimal"/>
      <w:suff w:val="tab"/>
      <w:lvlText w:val="%1."/>
      <w:rPr>
        <w:color w:val="3370ff"/>
      </w:rPr>
    </w:lvl>
  </w:abstractNum>
  <w:abstractNum w:abstractNumId="563372">
    <w:lvl>
      <w:start w:val="4"/>
      <w:numFmt w:val="decimal"/>
      <w:suff w:val="tab"/>
      <w:lvlText w:val="%1."/>
      <w:rPr>
        <w:color w:val="3370ff"/>
      </w:rPr>
    </w:lvl>
  </w:abstractNum>
  <w:num w:numId="1">
    <w:abstractNumId w:val="563311"/>
  </w:num>
  <w:num w:numId="2">
    <w:abstractNumId w:val="563312"/>
  </w:num>
  <w:num w:numId="3">
    <w:abstractNumId w:val="563313"/>
  </w:num>
  <w:num w:numId="4">
    <w:abstractNumId w:val="563314"/>
  </w:num>
  <w:num w:numId="5">
    <w:abstractNumId w:val="563315"/>
  </w:num>
  <w:num w:numId="6">
    <w:abstractNumId w:val="563316"/>
  </w:num>
  <w:num w:numId="7">
    <w:abstractNumId w:val="563317"/>
  </w:num>
  <w:num w:numId="8">
    <w:abstractNumId w:val="563318"/>
  </w:num>
  <w:num w:numId="9">
    <w:abstractNumId w:val="563319"/>
  </w:num>
  <w:num w:numId="10">
    <w:abstractNumId w:val="563320"/>
  </w:num>
  <w:num w:numId="11">
    <w:abstractNumId w:val="563321"/>
  </w:num>
  <w:num w:numId="12">
    <w:abstractNumId w:val="563322"/>
  </w:num>
  <w:num w:numId="13">
    <w:abstractNumId w:val="563323"/>
  </w:num>
  <w:num w:numId="14">
    <w:abstractNumId w:val="563324"/>
  </w:num>
  <w:num w:numId="15">
    <w:abstractNumId w:val="563325"/>
  </w:num>
  <w:num w:numId="16">
    <w:abstractNumId w:val="563326"/>
  </w:num>
  <w:num w:numId="17">
    <w:abstractNumId w:val="563327"/>
  </w:num>
  <w:num w:numId="18">
    <w:abstractNumId w:val="563328"/>
  </w:num>
  <w:num w:numId="19">
    <w:abstractNumId w:val="563329"/>
  </w:num>
  <w:num w:numId="20">
    <w:abstractNumId w:val="563330"/>
  </w:num>
  <w:num w:numId="21">
    <w:abstractNumId w:val="563331"/>
  </w:num>
  <w:num w:numId="22">
    <w:abstractNumId w:val="563332"/>
  </w:num>
  <w:num w:numId="23">
    <w:abstractNumId w:val="563333"/>
  </w:num>
  <w:num w:numId="24">
    <w:abstractNumId w:val="563334"/>
  </w:num>
  <w:num w:numId="25">
    <w:abstractNumId w:val="563335"/>
  </w:num>
  <w:num w:numId="26">
    <w:abstractNumId w:val="563336"/>
  </w:num>
  <w:num w:numId="27">
    <w:abstractNumId w:val="563337"/>
  </w:num>
  <w:num w:numId="28">
    <w:abstractNumId w:val="563338"/>
  </w:num>
  <w:num w:numId="29">
    <w:abstractNumId w:val="563339"/>
  </w:num>
  <w:num w:numId="30">
    <w:abstractNumId w:val="563340"/>
  </w:num>
  <w:num w:numId="31">
    <w:abstractNumId w:val="563341"/>
  </w:num>
  <w:num w:numId="32">
    <w:abstractNumId w:val="563342"/>
  </w:num>
  <w:num w:numId="33">
    <w:abstractNumId w:val="563343"/>
  </w:num>
  <w:num w:numId="34">
    <w:abstractNumId w:val="563344"/>
  </w:num>
  <w:num w:numId="35">
    <w:abstractNumId w:val="563345"/>
  </w:num>
  <w:num w:numId="36">
    <w:abstractNumId w:val="563346"/>
  </w:num>
  <w:num w:numId="37">
    <w:abstractNumId w:val="563347"/>
  </w:num>
  <w:num w:numId="38">
    <w:abstractNumId w:val="563348"/>
  </w:num>
  <w:num w:numId="39">
    <w:abstractNumId w:val="563349"/>
  </w:num>
  <w:num w:numId="40">
    <w:abstractNumId w:val="563350"/>
  </w:num>
  <w:num w:numId="41">
    <w:abstractNumId w:val="563351"/>
  </w:num>
  <w:num w:numId="42">
    <w:abstractNumId w:val="563352"/>
  </w:num>
  <w:num w:numId="43">
    <w:abstractNumId w:val="563353"/>
  </w:num>
  <w:num w:numId="44">
    <w:abstractNumId w:val="563354"/>
  </w:num>
  <w:num w:numId="45">
    <w:abstractNumId w:val="563355"/>
  </w:num>
  <w:num w:numId="46">
    <w:abstractNumId w:val="563356"/>
  </w:num>
  <w:num w:numId="47">
    <w:abstractNumId w:val="563357"/>
  </w:num>
  <w:num w:numId="48">
    <w:abstractNumId w:val="563358"/>
  </w:num>
  <w:num w:numId="49">
    <w:abstractNumId w:val="563359"/>
  </w:num>
  <w:num w:numId="50">
    <w:abstractNumId w:val="563360"/>
  </w:num>
  <w:num w:numId="51">
    <w:abstractNumId w:val="563361"/>
  </w:num>
  <w:num w:numId="52">
    <w:abstractNumId w:val="563362"/>
  </w:num>
  <w:num w:numId="53">
    <w:abstractNumId w:val="563363"/>
  </w:num>
  <w:num w:numId="54">
    <w:abstractNumId w:val="563364"/>
  </w:num>
  <w:num w:numId="55">
    <w:abstractNumId w:val="563365"/>
  </w:num>
  <w:num w:numId="56">
    <w:abstractNumId w:val="563366"/>
  </w:num>
  <w:num w:numId="57">
    <w:abstractNumId w:val="563367"/>
  </w:num>
  <w:num w:numId="58">
    <w:abstractNumId w:val="563368"/>
  </w:num>
  <w:num w:numId="59">
    <w:abstractNumId w:val="563369"/>
  </w:num>
  <w:num w:numId="60">
    <w:abstractNumId w:val="563370"/>
  </w:num>
  <w:num w:numId="61">
    <w:abstractNumId w:val="563371"/>
  </w:num>
  <w:num w:numId="62">
    <w:abstractNumId w:val="563372"/>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2026-08-16T03:10:04Z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{"Label":"1","ContentProducer":"001191110102MACQD9K64010000","ProduceID":"7674461419030646007","ReservedCode1":"","ContentPropagator":"","PropagateID":"","ReservedCode2":""}</vt:lpwstr>
  </property>
</Properties>
</file>