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9DF1A">
      <w:pPr>
        <w:spacing w:before="480" w:after="480" w:line="288" w:lineRule="auto"/>
        <w:ind w:left="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52"/>
        </w:rPr>
        <w:t>南丰蜜桔</w:t>
      </w:r>
      <w:r>
        <w:rPr>
          <w:rFonts w:hint="eastAsia" w:asciiTheme="majorEastAsia" w:hAnsiTheme="majorEastAsia" w:eastAsiaTheme="majorEastAsia" w:cstheme="majorEastAsia"/>
          <w:b/>
          <w:sz w:val="52"/>
          <w:lang w:val="en-US" w:eastAsia="zh-CN"/>
        </w:rPr>
        <w:t>模型管理</w:t>
      </w:r>
      <w:r>
        <w:rPr>
          <w:rFonts w:hint="eastAsia" w:asciiTheme="majorEastAsia" w:hAnsiTheme="majorEastAsia" w:eastAsiaTheme="majorEastAsia" w:cstheme="majorEastAsia"/>
          <w:b/>
          <w:sz w:val="52"/>
        </w:rPr>
        <w:t>系统建设方案</w:t>
      </w:r>
    </w:p>
    <w:p w14:paraId="04470F8C">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0" w:name="heading_0"/>
      <w:r>
        <w:rPr>
          <w:rFonts w:hint="eastAsia" w:asciiTheme="majorEastAsia" w:hAnsiTheme="majorEastAsia" w:eastAsiaTheme="majorEastAsia" w:cstheme="majorEastAsia"/>
          <w:b/>
          <w:sz w:val="32"/>
          <w:szCs w:val="32"/>
        </w:rPr>
        <w:t>一、项目概况</w:t>
      </w:r>
      <w:bookmarkEnd w:id="0"/>
    </w:p>
    <w:p w14:paraId="526F423F">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1" w:name="heading_1"/>
      <w:r>
        <w:rPr>
          <w:rFonts w:hint="eastAsia" w:asciiTheme="majorEastAsia" w:hAnsiTheme="majorEastAsia" w:eastAsiaTheme="majorEastAsia" w:cstheme="majorEastAsia"/>
          <w:b/>
          <w:sz w:val="30"/>
          <w:szCs w:val="30"/>
        </w:rPr>
        <w:t>1、引言</w:t>
      </w:r>
      <w:bookmarkEnd w:id="1"/>
    </w:p>
    <w:p w14:paraId="367C7586">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南丰蜜桔是南丰县特色优势农业产业，是助力地方乡村振兴、农业增效、农户增收的核心支柱产业。当前南丰蜜桔种植产业仍存在传统种植模式粗放、生长环境管控不精准、农事管理缺乏科学依据、病虫害防控滞后、气象灾害抵御能力弱</w:t>
      </w:r>
      <w:r>
        <w:rPr>
          <w:rFonts w:hint="eastAsia" w:asciiTheme="majorEastAsia" w:hAnsiTheme="majorEastAsia" w:eastAsiaTheme="majorEastAsia" w:cstheme="majorEastAsia"/>
          <w:sz w:val="22"/>
          <w:lang w:eastAsia="zh-CN"/>
        </w:rPr>
        <w:t>、</w:t>
      </w:r>
      <w:r>
        <w:rPr>
          <w:rFonts w:hint="eastAsia" w:asciiTheme="majorEastAsia" w:hAnsiTheme="majorEastAsia" w:eastAsiaTheme="majorEastAsia" w:cstheme="majorEastAsia"/>
          <w:sz w:val="22"/>
          <w:lang w:val="en-US" w:eastAsia="zh-CN"/>
        </w:rPr>
        <w:t>数字化应用工具不足</w:t>
      </w:r>
      <w:r>
        <w:rPr>
          <w:rFonts w:hint="eastAsia" w:asciiTheme="majorEastAsia" w:hAnsiTheme="majorEastAsia" w:eastAsiaTheme="majorEastAsia" w:cstheme="majorEastAsia"/>
          <w:sz w:val="22"/>
        </w:rPr>
        <w:t>等痛点问题，导致蜜桔品质参差不齐、产量稳定性不足、病虫害及气象灾害损失难以有效规避，制约了南丰蜜桔产业标准化、智能化、高品质化发展。</w:t>
      </w:r>
    </w:p>
    <w:p w14:paraId="394FA9EB">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为破解产业发展瓶颈，</w:t>
      </w:r>
      <w:r>
        <w:rPr>
          <w:rFonts w:hint="eastAsia" w:asciiTheme="majorEastAsia" w:hAnsiTheme="majorEastAsia" w:eastAsiaTheme="majorEastAsia" w:cstheme="majorEastAsia"/>
          <w:sz w:val="22"/>
          <w:lang w:val="en-US" w:eastAsia="zh-CN"/>
        </w:rPr>
        <w:t>基于现有的南丰蜜桔全产业链大数据平台的数据基底和相关业务应用，</w:t>
      </w:r>
      <w:r>
        <w:rPr>
          <w:rFonts w:hint="eastAsia" w:asciiTheme="majorEastAsia" w:hAnsiTheme="majorEastAsia" w:eastAsiaTheme="majorEastAsia" w:cstheme="majorEastAsia"/>
          <w:sz w:val="22"/>
        </w:rPr>
        <w:t>依托现有果园物联网监测设备、气象监测系统基础硬件资源，结合人工智能、物联网、大数据等现代信息技术，本项目聚焦南丰蜜桔种植端核心需求，面向涉农企业、果园、种植合作社、种植大户等涉农主体，由农业农村局牵头建设南丰蜜桔生长模型和病虫害防控模型智能化系统。通过构建标准化、数字化的蜜桔生长管控体系和病虫害防灾减灾体系，实现蜜桔种植全周期科学管控、病虫害精准预警防治、气象灾害提前预判防范、农事操作智能指导，全面提升南丰蜜桔品质与产业抗风险能力，推动传统蜜桔种植产业向智慧农业转型升级。</w:t>
      </w:r>
    </w:p>
    <w:p w14:paraId="5E0875F2">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2" w:name="heading_2"/>
      <w:r>
        <w:rPr>
          <w:rFonts w:hint="eastAsia" w:asciiTheme="majorEastAsia" w:hAnsiTheme="majorEastAsia" w:eastAsiaTheme="majorEastAsia" w:cstheme="majorEastAsia"/>
          <w:b/>
          <w:sz w:val="30"/>
          <w:szCs w:val="30"/>
        </w:rPr>
        <w:t>2、系统建设目标</w:t>
      </w:r>
      <w:bookmarkEnd w:id="2"/>
    </w:p>
    <w:p w14:paraId="4CC83BE2">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本项目以</w:t>
      </w:r>
      <w:r>
        <w:rPr>
          <w:rFonts w:hint="eastAsia" w:asciiTheme="majorEastAsia" w:hAnsiTheme="majorEastAsia" w:eastAsiaTheme="majorEastAsia" w:cstheme="majorEastAsia"/>
          <w:b/>
          <w:sz w:val="22"/>
        </w:rPr>
        <w:t>提质、稳产、防灾、增效</w:t>
      </w:r>
      <w:r>
        <w:rPr>
          <w:rFonts w:hint="eastAsia" w:asciiTheme="majorEastAsia" w:hAnsiTheme="majorEastAsia" w:eastAsiaTheme="majorEastAsia" w:cstheme="majorEastAsia"/>
          <w:sz w:val="22"/>
        </w:rPr>
        <w:t>为核心建设目标，依托大数据分析、AI智能建模、物联网精准监测技术，搭建集数据采集、模型运算、智能分析、预警防控、农事指导、可视化展示、移动端服务于一体的南丰蜜桔智慧种植管理系统，具体建设目标如下：</w:t>
      </w:r>
    </w:p>
    <w:p w14:paraId="760CB06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bCs/>
          <w:sz w:val="22"/>
        </w:rPr>
        <w:t>（1）构建精准化南丰蜜桔生长模型。</w:t>
      </w:r>
      <w:r>
        <w:rPr>
          <w:rFonts w:hint="eastAsia" w:asciiTheme="majorEastAsia" w:hAnsiTheme="majorEastAsia" w:eastAsiaTheme="majorEastAsia" w:cstheme="majorEastAsia"/>
          <w:sz w:val="22"/>
        </w:rPr>
        <w:t>整合土壤、气候、光照、温度、湿度等环境数据，结合蜜桔幼苗期、生长期、开花期、落果期、果实膨大期、成熟期全生长周期状态数据及农事管理数据，建立环境、管理、生长状态、产量品质的最优关联模型，实现种苗选育、施肥、灌溉、剪枝等农事操作的精准指导，精准管控蜜桔甜度、果形、大小、色泽等品质指标，全面提升蜜桔优品率。</w:t>
      </w:r>
    </w:p>
    <w:p w14:paraId="7FFA297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bCs/>
          <w:sz w:val="22"/>
        </w:rPr>
        <w:t>（2）搭建专业化病虫害防控模型与数据库。</w:t>
      </w:r>
      <w:r>
        <w:rPr>
          <w:rFonts w:hint="eastAsia" w:asciiTheme="majorEastAsia" w:hAnsiTheme="majorEastAsia" w:eastAsiaTheme="majorEastAsia" w:cstheme="majorEastAsia"/>
          <w:sz w:val="22"/>
        </w:rPr>
        <w:t>覆盖南丰蜜桔常见病害、虫害类型，建立标准化病虫害数据库，结合物联网实时监测数据、气象环境数据，实现病虫害提前预警、实时报警、智能研判、科学防治，全面提升果园病虫害防控能力。打通本地化气象监测设备与气象系统数据接口，实时捕捉气候环境变化，精准预判气象灾害风险，输出针对性防范措施，最大限度降低气象灾害对蜜桔种植的损失。</w:t>
      </w:r>
    </w:p>
    <w:p w14:paraId="232C5D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bCs/>
          <w:sz w:val="22"/>
        </w:rPr>
        <w:t>（</w:t>
      </w:r>
      <w:r>
        <w:rPr>
          <w:rFonts w:hint="eastAsia" w:asciiTheme="majorEastAsia" w:hAnsiTheme="majorEastAsia" w:eastAsiaTheme="majorEastAsia" w:cstheme="majorEastAsia"/>
          <w:b/>
          <w:bCs/>
          <w:sz w:val="22"/>
          <w:lang w:val="en-US" w:eastAsia="zh-CN"/>
        </w:rPr>
        <w:t>3</w:t>
      </w:r>
      <w:r>
        <w:rPr>
          <w:rFonts w:hint="eastAsia" w:asciiTheme="majorEastAsia" w:hAnsiTheme="majorEastAsia" w:eastAsiaTheme="majorEastAsia" w:cstheme="majorEastAsia"/>
          <w:b/>
          <w:bCs/>
          <w:sz w:val="22"/>
        </w:rPr>
        <w:t>）提供个性化农事智能建议。</w:t>
      </w:r>
      <w:r>
        <w:rPr>
          <w:rFonts w:hint="eastAsia" w:asciiTheme="majorEastAsia" w:hAnsiTheme="majorEastAsia" w:eastAsiaTheme="majorEastAsia" w:cstheme="majorEastAsia"/>
          <w:sz w:val="22"/>
        </w:rPr>
        <w:t>支持农户手动录入果园土壤养分、土壤墒情、温湿度等自定义数据，结合系统模型，提供可落地的农事操作</w:t>
      </w:r>
      <w:r>
        <w:rPr>
          <w:rFonts w:hint="eastAsia" w:asciiTheme="majorEastAsia" w:hAnsiTheme="majorEastAsia" w:eastAsiaTheme="majorEastAsia" w:cstheme="majorEastAsia"/>
          <w:sz w:val="22"/>
          <w:lang w:val="en-US" w:eastAsia="zh-CN"/>
        </w:rPr>
        <w:t>建议</w:t>
      </w:r>
      <w:r>
        <w:rPr>
          <w:rFonts w:hint="eastAsia" w:asciiTheme="majorEastAsia" w:hAnsiTheme="majorEastAsia" w:eastAsiaTheme="majorEastAsia" w:cstheme="majorEastAsia"/>
          <w:sz w:val="22"/>
        </w:rPr>
        <w:t>。</w:t>
      </w:r>
    </w:p>
    <w:p w14:paraId="08BE69A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bCs/>
          <w:sz w:val="22"/>
        </w:rPr>
        <w:t>（</w:t>
      </w:r>
      <w:r>
        <w:rPr>
          <w:rFonts w:hint="eastAsia" w:asciiTheme="majorEastAsia" w:hAnsiTheme="majorEastAsia" w:eastAsiaTheme="majorEastAsia" w:cstheme="majorEastAsia"/>
          <w:b/>
          <w:bCs/>
          <w:sz w:val="22"/>
          <w:lang w:val="en-US" w:eastAsia="zh-CN"/>
        </w:rPr>
        <w:t>4</w:t>
      </w:r>
      <w:r>
        <w:rPr>
          <w:rFonts w:hint="eastAsia" w:asciiTheme="majorEastAsia" w:hAnsiTheme="majorEastAsia" w:eastAsiaTheme="majorEastAsia" w:cstheme="majorEastAsia"/>
          <w:b/>
          <w:bCs/>
          <w:sz w:val="22"/>
        </w:rPr>
        <w:t>）搭建政企双向服务体系。</w:t>
      </w:r>
      <w:r>
        <w:rPr>
          <w:rFonts w:hint="eastAsia" w:asciiTheme="majorEastAsia" w:hAnsiTheme="majorEastAsia" w:eastAsiaTheme="majorEastAsia" w:cstheme="majorEastAsia"/>
          <w:sz w:val="22"/>
        </w:rPr>
        <w:t>面向农业农村局工作人员提供后台数字化管理能力，实现模型、数据、预警、用户、规则的一体化管控；面向种植端涉农主体提供轻量化微信小程序服务，实现便民化、常态化的种植服务赋能。</w:t>
      </w:r>
    </w:p>
    <w:p w14:paraId="7015C4BE">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3" w:name="heading_3"/>
      <w:r>
        <w:rPr>
          <w:rFonts w:hint="eastAsia" w:asciiTheme="majorEastAsia" w:hAnsiTheme="majorEastAsia" w:eastAsiaTheme="majorEastAsia" w:cstheme="majorEastAsia"/>
          <w:b/>
          <w:sz w:val="30"/>
          <w:szCs w:val="30"/>
        </w:rPr>
        <w:t>3、项目交付时间</w:t>
      </w:r>
      <w:bookmarkEnd w:id="3"/>
    </w:p>
    <w:p w14:paraId="4604EA30">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本项目整体建设周期为</w:t>
      </w:r>
      <w:r>
        <w:rPr>
          <w:rFonts w:hint="eastAsia" w:asciiTheme="majorEastAsia" w:hAnsiTheme="majorEastAsia" w:eastAsiaTheme="majorEastAsia" w:cstheme="majorEastAsia"/>
          <w:b/>
          <w:sz w:val="22"/>
        </w:rPr>
        <w:t>90个</w:t>
      </w:r>
      <w:r>
        <w:rPr>
          <w:rFonts w:hint="eastAsia" w:asciiTheme="majorEastAsia" w:hAnsiTheme="majorEastAsia" w:eastAsiaTheme="majorEastAsia" w:cstheme="majorEastAsia"/>
          <w:b/>
          <w:sz w:val="22"/>
          <w:lang w:eastAsia="zh-CN"/>
        </w:rPr>
        <w:t>工作</w:t>
      </w:r>
      <w:r>
        <w:rPr>
          <w:rFonts w:hint="eastAsia" w:asciiTheme="majorEastAsia" w:hAnsiTheme="majorEastAsia" w:eastAsiaTheme="majorEastAsia" w:cstheme="majorEastAsia"/>
          <w:b/>
          <w:sz w:val="22"/>
        </w:rPr>
        <w:t>日</w:t>
      </w:r>
      <w:r>
        <w:rPr>
          <w:rFonts w:hint="eastAsia" w:asciiTheme="majorEastAsia" w:hAnsiTheme="majorEastAsia" w:eastAsiaTheme="majorEastAsia" w:cstheme="majorEastAsia"/>
          <w:sz w:val="22"/>
        </w:rPr>
        <w:t>，自项目合同签订</w:t>
      </w:r>
      <w:r>
        <w:rPr>
          <w:rFonts w:hint="eastAsia" w:asciiTheme="majorEastAsia" w:hAnsiTheme="majorEastAsia" w:eastAsiaTheme="majorEastAsia" w:cstheme="majorEastAsia"/>
          <w:sz w:val="22"/>
          <w:lang w:val="en-US" w:eastAsia="zh-CN"/>
        </w:rPr>
        <w:t>后</w:t>
      </w:r>
      <w:r>
        <w:rPr>
          <w:rFonts w:hint="eastAsia" w:asciiTheme="majorEastAsia" w:hAnsiTheme="majorEastAsia" w:eastAsiaTheme="majorEastAsia" w:cstheme="majorEastAsia"/>
          <w:sz w:val="22"/>
        </w:rPr>
        <w:t>次日起计算，分阶段完成需求落地、开发测试、部署上线、验收交付全流程工作，具体交付节点如下：</w:t>
      </w:r>
    </w:p>
    <w:p w14:paraId="42FD42B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（1）前期调研与方案细化：10个</w:t>
      </w:r>
      <w:r>
        <w:rPr>
          <w:rFonts w:hint="eastAsia" w:asciiTheme="majorEastAsia" w:hAnsiTheme="majorEastAsia" w:eastAsiaTheme="majorEastAsia" w:cstheme="majorEastAsia"/>
          <w:sz w:val="22"/>
          <w:lang w:eastAsia="zh-CN"/>
        </w:rPr>
        <w:t>工作</w:t>
      </w:r>
      <w:r>
        <w:rPr>
          <w:rFonts w:hint="eastAsia" w:asciiTheme="majorEastAsia" w:hAnsiTheme="majorEastAsia" w:eastAsiaTheme="majorEastAsia" w:cstheme="majorEastAsia"/>
          <w:sz w:val="22"/>
        </w:rPr>
        <w:t>日；</w:t>
      </w:r>
    </w:p>
    <w:p w14:paraId="1C11B3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（2）数据对接与数据库搭建：20个</w:t>
      </w:r>
      <w:r>
        <w:rPr>
          <w:rFonts w:hint="eastAsia" w:asciiTheme="majorEastAsia" w:hAnsiTheme="majorEastAsia" w:eastAsiaTheme="majorEastAsia" w:cstheme="majorEastAsia"/>
          <w:sz w:val="22"/>
          <w:lang w:eastAsia="zh-CN"/>
        </w:rPr>
        <w:t>工作</w:t>
      </w:r>
      <w:r>
        <w:rPr>
          <w:rFonts w:hint="eastAsia" w:asciiTheme="majorEastAsia" w:hAnsiTheme="majorEastAsia" w:eastAsiaTheme="majorEastAsia" w:cstheme="majorEastAsia"/>
          <w:sz w:val="22"/>
        </w:rPr>
        <w:t>日；</w:t>
      </w:r>
    </w:p>
    <w:p w14:paraId="343E58D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（3）核心模型开发与系统功能开发：40个</w:t>
      </w:r>
      <w:r>
        <w:rPr>
          <w:rFonts w:hint="eastAsia" w:asciiTheme="majorEastAsia" w:hAnsiTheme="majorEastAsia" w:eastAsiaTheme="majorEastAsia" w:cstheme="majorEastAsia"/>
          <w:sz w:val="22"/>
          <w:lang w:eastAsia="zh-CN"/>
        </w:rPr>
        <w:t>工作</w:t>
      </w:r>
      <w:r>
        <w:rPr>
          <w:rFonts w:hint="eastAsia" w:asciiTheme="majorEastAsia" w:hAnsiTheme="majorEastAsia" w:eastAsiaTheme="majorEastAsia" w:cstheme="majorEastAsia"/>
          <w:sz w:val="22"/>
        </w:rPr>
        <w:t>日；</w:t>
      </w:r>
    </w:p>
    <w:p w14:paraId="1BD3783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（4）系统测试、部署、培训与试运行：15个</w:t>
      </w:r>
      <w:r>
        <w:rPr>
          <w:rFonts w:hint="eastAsia" w:asciiTheme="majorEastAsia" w:hAnsiTheme="majorEastAsia" w:eastAsiaTheme="majorEastAsia" w:cstheme="majorEastAsia"/>
          <w:sz w:val="22"/>
          <w:lang w:eastAsia="zh-CN"/>
        </w:rPr>
        <w:t>工作</w:t>
      </w:r>
      <w:r>
        <w:rPr>
          <w:rFonts w:hint="eastAsia" w:asciiTheme="majorEastAsia" w:hAnsiTheme="majorEastAsia" w:eastAsiaTheme="majorEastAsia" w:cstheme="majorEastAsia"/>
          <w:sz w:val="22"/>
        </w:rPr>
        <w:t>日；</w:t>
      </w:r>
    </w:p>
    <w:p w14:paraId="2C4F09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（5）项目验收与正式交付：5个</w:t>
      </w:r>
      <w:r>
        <w:rPr>
          <w:rFonts w:hint="eastAsia" w:asciiTheme="majorEastAsia" w:hAnsiTheme="majorEastAsia" w:eastAsiaTheme="majorEastAsia" w:cstheme="majorEastAsia"/>
          <w:sz w:val="22"/>
          <w:lang w:eastAsia="zh-CN"/>
        </w:rPr>
        <w:t>工作</w:t>
      </w:r>
      <w:r>
        <w:rPr>
          <w:rFonts w:hint="eastAsia" w:asciiTheme="majorEastAsia" w:hAnsiTheme="majorEastAsia" w:eastAsiaTheme="majorEastAsia" w:cstheme="majorEastAsia"/>
          <w:sz w:val="22"/>
        </w:rPr>
        <w:t>日。</w:t>
      </w:r>
    </w:p>
    <w:p w14:paraId="10B0ED80">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4" w:name="heading_4"/>
      <w:r>
        <w:rPr>
          <w:rFonts w:hint="eastAsia" w:asciiTheme="majorEastAsia" w:hAnsiTheme="majorEastAsia" w:eastAsiaTheme="majorEastAsia" w:cstheme="majorEastAsia"/>
          <w:b/>
          <w:sz w:val="32"/>
          <w:szCs w:val="32"/>
        </w:rPr>
        <w:t>二、功能需求</w:t>
      </w:r>
      <w:bookmarkEnd w:id="4"/>
    </w:p>
    <w:p w14:paraId="155D4A64">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根据</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中心“一平台一系统”建设规范</w:t>
      </w:r>
      <w:r>
        <w:rPr>
          <w:rFonts w:hint="eastAsia" w:asciiTheme="majorEastAsia" w:hAnsiTheme="majorEastAsia" w:eastAsiaTheme="majorEastAsia" w:cstheme="majorEastAsia"/>
          <w:sz w:val="22"/>
          <w:lang w:val="en-US" w:eastAsia="zh-CN"/>
        </w:rPr>
        <w:t>和整改要求</w:t>
      </w:r>
      <w:r>
        <w:rPr>
          <w:rFonts w:hint="eastAsia" w:asciiTheme="majorEastAsia" w:hAnsiTheme="majorEastAsia" w:eastAsiaTheme="majorEastAsia" w:cstheme="majorEastAsia"/>
          <w:sz w:val="22"/>
        </w:rPr>
        <w:t>，本系统作为</w:t>
      </w:r>
      <w:r>
        <w:rPr>
          <w:rFonts w:hint="eastAsia" w:asciiTheme="majorEastAsia" w:hAnsiTheme="majorEastAsia" w:eastAsiaTheme="majorEastAsia" w:cstheme="majorEastAsia"/>
          <w:b/>
          <w:sz w:val="22"/>
        </w:rPr>
        <w:t>南丰蜜桔产业链接大数据平台下属</w:t>
      </w:r>
      <w:r>
        <w:rPr>
          <w:rFonts w:hint="eastAsia" w:asciiTheme="majorEastAsia" w:hAnsiTheme="majorEastAsia" w:eastAsiaTheme="majorEastAsia" w:cstheme="majorEastAsia"/>
          <w:b/>
          <w:sz w:val="22"/>
          <w:lang w:val="en-US" w:eastAsia="zh-CN"/>
        </w:rPr>
        <w:t>模型</w:t>
      </w:r>
      <w:r>
        <w:rPr>
          <w:rFonts w:hint="eastAsia" w:asciiTheme="majorEastAsia" w:hAnsiTheme="majorEastAsia" w:eastAsiaTheme="majorEastAsia" w:cstheme="majorEastAsia"/>
          <w:b/>
          <w:sz w:val="22"/>
        </w:rPr>
        <w:t>应用子系统</w:t>
      </w:r>
      <w:r>
        <w:rPr>
          <w:rFonts w:hint="eastAsia" w:asciiTheme="majorEastAsia" w:hAnsiTheme="majorEastAsia" w:eastAsiaTheme="majorEastAsia" w:cstheme="majorEastAsia"/>
          <w:sz w:val="22"/>
        </w:rPr>
        <w:t>，不重复建设基础数据底座与通用后台能力，依托现有</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平台统一数据资源、统一权限体系、统一集成规范开展建设。系统整体功能架构为</w:t>
      </w:r>
      <w:r>
        <w:rPr>
          <w:rFonts w:hint="eastAsia" w:asciiTheme="majorEastAsia" w:hAnsiTheme="majorEastAsia" w:eastAsiaTheme="majorEastAsia" w:cstheme="majorEastAsia"/>
          <w:b/>
          <w:sz w:val="22"/>
        </w:rPr>
        <w:t>三大核心模块</w:t>
      </w:r>
      <w:r>
        <w:rPr>
          <w:rFonts w:hint="eastAsia" w:asciiTheme="majorEastAsia" w:hAnsiTheme="majorEastAsia" w:eastAsiaTheme="majorEastAsia" w:cstheme="majorEastAsia"/>
          <w:sz w:val="22"/>
        </w:rPr>
        <w:t>：模型后台管理系统、微信小程序、</w:t>
      </w:r>
      <w:r>
        <w:rPr>
          <w:rFonts w:hint="eastAsia" w:asciiTheme="majorEastAsia" w:hAnsiTheme="majorEastAsia" w:eastAsiaTheme="majorEastAsia" w:cstheme="majorEastAsia"/>
          <w:sz w:val="22"/>
          <w:lang w:eastAsia="zh-CN"/>
        </w:rPr>
        <w:t>模型成效展示中心</w:t>
      </w:r>
      <w:r>
        <w:rPr>
          <w:rFonts w:hint="eastAsia" w:asciiTheme="majorEastAsia" w:hAnsiTheme="majorEastAsia" w:eastAsiaTheme="majorEastAsia" w:cstheme="majorEastAsia"/>
          <w:sz w:val="22"/>
        </w:rPr>
        <w:t>。所有模型运算、农事服务、预警展示、产业应用数据均向上汇聚至产业大数据平台，实现全域数据共享、业务联动、统一管控。</w:t>
      </w:r>
    </w:p>
    <w:p w14:paraId="370F04BF">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系统整体三大核心建设模块，分别为模型后台管理系统、</w:t>
      </w:r>
      <w:r>
        <w:rPr>
          <w:rFonts w:hint="eastAsia" w:asciiTheme="majorEastAsia" w:hAnsiTheme="majorEastAsia" w:eastAsiaTheme="majorEastAsia" w:cstheme="majorEastAsia"/>
          <w:sz w:val="22"/>
          <w:lang w:eastAsia="zh-CN"/>
        </w:rPr>
        <w:t>模型成效展示</w:t>
      </w:r>
      <w:r>
        <w:rPr>
          <w:rFonts w:hint="eastAsia" w:asciiTheme="majorEastAsia" w:hAnsiTheme="majorEastAsia" w:eastAsiaTheme="majorEastAsia" w:cstheme="majorEastAsia"/>
          <w:sz w:val="22"/>
        </w:rPr>
        <w:t>、微信小程序。依托上级产业大数据平台统一底座，</w:t>
      </w:r>
      <w:r>
        <w:rPr>
          <w:rFonts w:hint="eastAsia" w:asciiTheme="majorEastAsia" w:hAnsiTheme="majorEastAsia" w:eastAsiaTheme="majorEastAsia" w:cstheme="majorEastAsia"/>
          <w:sz w:val="22"/>
          <w:lang w:val="en-US" w:eastAsia="zh-CN"/>
        </w:rPr>
        <w:t>进行数据存储、分类、清洗及备份管理等</w:t>
      </w:r>
      <w:r>
        <w:rPr>
          <w:rFonts w:hint="eastAsia" w:asciiTheme="majorEastAsia" w:hAnsiTheme="majorEastAsia" w:eastAsiaTheme="majorEastAsia" w:cstheme="majorEastAsia"/>
          <w:sz w:val="22"/>
        </w:rPr>
        <w:t>，完全契合</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“一平台一系统”集约建设要求。</w:t>
      </w:r>
    </w:p>
    <w:p w14:paraId="44C49247">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5" w:name="heading_5"/>
      <w:r>
        <w:rPr>
          <w:rFonts w:hint="eastAsia" w:asciiTheme="majorEastAsia" w:hAnsiTheme="majorEastAsia" w:eastAsiaTheme="majorEastAsia" w:cstheme="majorEastAsia"/>
          <w:b/>
          <w:sz w:val="30"/>
          <w:szCs w:val="30"/>
        </w:rPr>
        <w:t>1、模型后台管理系统</w:t>
      </w:r>
      <w:bookmarkEnd w:id="5"/>
    </w:p>
    <w:p w14:paraId="35905A3A">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本模块面向农业农村局</w:t>
      </w:r>
      <w:r>
        <w:rPr>
          <w:rFonts w:hint="eastAsia" w:asciiTheme="majorEastAsia" w:hAnsiTheme="majorEastAsia" w:eastAsiaTheme="majorEastAsia" w:cstheme="majorEastAsia"/>
          <w:sz w:val="22"/>
          <w:lang w:val="en-US" w:eastAsia="zh-CN"/>
        </w:rPr>
        <w:t>业务</w:t>
      </w:r>
      <w:r>
        <w:rPr>
          <w:rFonts w:hint="eastAsia" w:asciiTheme="majorEastAsia" w:hAnsiTheme="majorEastAsia" w:eastAsiaTheme="majorEastAsia" w:cstheme="majorEastAsia"/>
          <w:sz w:val="22"/>
        </w:rPr>
        <w:t>管理人员使用，依托产业大数据平台现有数据资源、系统底座建设，聚焦</w:t>
      </w:r>
      <w:r>
        <w:rPr>
          <w:rFonts w:hint="eastAsia" w:asciiTheme="majorEastAsia" w:hAnsiTheme="majorEastAsia" w:eastAsiaTheme="majorEastAsia" w:cstheme="majorEastAsia"/>
          <w:b/>
          <w:sz w:val="22"/>
        </w:rPr>
        <w:t>南丰蜜桔专属模型业务管控</w:t>
      </w:r>
      <w:r>
        <w:rPr>
          <w:rFonts w:hint="eastAsia" w:asciiTheme="majorEastAsia" w:hAnsiTheme="majorEastAsia" w:eastAsiaTheme="majorEastAsia" w:cstheme="majorEastAsia"/>
          <w:sz w:val="22"/>
        </w:rPr>
        <w:t>，集成蜜桔生长模型、病虫害防控模型全生命周期管理及专项业务管理能力，复用现有平台通用管理能力，不重复建设基础数据采集、基础存储、基础权限底座。系统核心承载两大AI模型的参数配置、运算调度、规则维护、预警处置、农事策略管理、应用数据统计等专项业务功能，是本项目的核心业务管控与智能运算中枢。</w:t>
      </w:r>
    </w:p>
    <w:p w14:paraId="670127BE">
      <w:pPr>
        <w:spacing w:before="300" w:after="120" w:line="288" w:lineRule="auto"/>
        <w:ind w:left="0"/>
        <w:jc w:val="left"/>
        <w:outlineLvl w:val="2"/>
        <w:rPr>
          <w:rFonts w:hint="eastAsia" w:asciiTheme="majorEastAsia" w:hAnsiTheme="majorEastAsia" w:eastAsiaTheme="majorEastAsia" w:cstheme="majorEastAsia"/>
          <w:sz w:val="28"/>
          <w:szCs w:val="28"/>
        </w:rPr>
      </w:pPr>
      <w:bookmarkStart w:id="6" w:name="heading_6"/>
      <w:r>
        <w:rPr>
          <w:rFonts w:hint="eastAsia" w:asciiTheme="majorEastAsia" w:hAnsiTheme="majorEastAsia" w:eastAsiaTheme="majorEastAsia" w:cstheme="majorEastAsia"/>
          <w:b/>
          <w:sz w:val="28"/>
          <w:szCs w:val="28"/>
        </w:rPr>
        <w:t>（1）蜜桔生长模型管理</w:t>
      </w:r>
      <w:bookmarkEnd w:id="6"/>
    </w:p>
    <w:p w14:paraId="521501DF">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依托产业大数据平台汇聚的土壤、气象、光照、温湿度、农事操作等标准化数据，对南丰蜜桔全生长周期模型进行运维管控。支持模型版本迭代、算法参数调优、各生长阶段（幼苗期、生长期、开花期、落果期、膨大期、成熟期）阈值配置、品质关联规则维护。可实时查看模型长势研判数据、品质预测数据、农事推荐记录，支持数据溯源、统计分析与台账导出，保障蜜桔提质增效的智能化、精准化农事指导能力持续优化。</w:t>
      </w:r>
    </w:p>
    <w:p w14:paraId="183CB6EB">
      <w:pPr>
        <w:spacing w:before="300" w:after="120" w:line="288" w:lineRule="auto"/>
        <w:ind w:left="0"/>
        <w:jc w:val="left"/>
        <w:outlineLvl w:val="2"/>
        <w:rPr>
          <w:rFonts w:hint="eastAsia" w:asciiTheme="majorEastAsia" w:hAnsiTheme="majorEastAsia" w:eastAsiaTheme="majorEastAsia" w:cstheme="majorEastAsia"/>
          <w:sz w:val="28"/>
          <w:szCs w:val="28"/>
        </w:rPr>
      </w:pPr>
      <w:bookmarkStart w:id="7" w:name="heading_7"/>
      <w:r>
        <w:rPr>
          <w:rFonts w:hint="eastAsia" w:asciiTheme="majorEastAsia" w:hAnsiTheme="majorEastAsia" w:eastAsiaTheme="majorEastAsia" w:cstheme="majorEastAsia"/>
          <w:b/>
          <w:sz w:val="28"/>
          <w:szCs w:val="28"/>
        </w:rPr>
        <w:t>（2）蜜桔病虫害防控模型管理</w:t>
      </w:r>
      <w:bookmarkEnd w:id="7"/>
    </w:p>
    <w:p w14:paraId="6E279C5E">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内置全覆盖南丰蜜桔病虫害专属数据库，支持病害、虫害知识库维护、防治方案更新、预警阈值配置、气象灾害联动规则管理。支持AI识别模型参数调优、病虫害风险分级预警规则配置、爆发趋势研判模型运维。管理人员可实时查看病虫害预警台账、处置记录、识别日志、气象灾害风险提示，实现病虫害防控模型的常态化优化、业务闭环管理，全面提升果园防灾抗害能力。</w:t>
      </w:r>
    </w:p>
    <w:p w14:paraId="5CF7B137">
      <w:pPr>
        <w:spacing w:before="300" w:after="120" w:line="288" w:lineRule="auto"/>
        <w:ind w:left="0"/>
        <w:jc w:val="left"/>
        <w:outlineLvl w:val="2"/>
        <w:rPr>
          <w:rFonts w:hint="eastAsia" w:asciiTheme="majorEastAsia" w:hAnsiTheme="majorEastAsia" w:eastAsiaTheme="majorEastAsia" w:cstheme="majorEastAsia"/>
          <w:sz w:val="28"/>
          <w:szCs w:val="28"/>
        </w:rPr>
      </w:pPr>
      <w:bookmarkStart w:id="8" w:name="heading_8"/>
      <w:r>
        <w:rPr>
          <w:rFonts w:hint="eastAsia" w:asciiTheme="majorEastAsia" w:hAnsiTheme="majorEastAsia" w:eastAsiaTheme="majorEastAsia" w:cstheme="majorEastAsia"/>
          <w:b/>
          <w:sz w:val="28"/>
          <w:szCs w:val="28"/>
        </w:rPr>
        <w:t>（3）专项业务运维管理</w:t>
      </w:r>
      <w:bookmarkEnd w:id="8"/>
    </w:p>
    <w:p w14:paraId="2351EF5F">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在现有大数据平台通用后台能力基础上，拓展本系统专属业务功能，包含预警分级管理、农事策略规则管理、模型应用数据统计、用户农事</w:t>
      </w:r>
      <w:r>
        <w:rPr>
          <w:rFonts w:hint="eastAsia" w:asciiTheme="majorEastAsia" w:hAnsiTheme="majorEastAsia" w:eastAsiaTheme="majorEastAsia" w:cstheme="majorEastAsia"/>
          <w:sz w:val="22"/>
          <w:lang w:val="en-US" w:eastAsia="zh-CN"/>
        </w:rPr>
        <w:t>建议生成</w:t>
      </w:r>
      <w:r>
        <w:rPr>
          <w:rFonts w:hint="eastAsia" w:asciiTheme="majorEastAsia" w:hAnsiTheme="majorEastAsia" w:eastAsiaTheme="majorEastAsia" w:cstheme="majorEastAsia"/>
          <w:sz w:val="22"/>
        </w:rPr>
        <w:t>、病虫害处置台账管理、系统日志管理等。支持预警信息手动复核、策略微调、批量推送，实现蜜桔智能化种植业务的精细化运维，所有操作数据、模型运算数据、业务台账自动同步至上级产业大数据平台。</w:t>
      </w:r>
    </w:p>
    <w:p w14:paraId="473191BD">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9" w:name="heading_9"/>
      <w:r>
        <w:rPr>
          <w:rFonts w:hint="eastAsia" w:asciiTheme="majorEastAsia" w:hAnsiTheme="majorEastAsia" w:eastAsiaTheme="majorEastAsia" w:cstheme="majorEastAsia"/>
          <w:b/>
          <w:sz w:val="30"/>
          <w:szCs w:val="30"/>
        </w:rPr>
        <w:t>2、微信小程序</w:t>
      </w:r>
      <w:bookmarkEnd w:id="9"/>
    </w:p>
    <w:p w14:paraId="42FAE0B4">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面向涉农企业、果园、合作社、种植大户等种植端用户，作为产业大数据平台面向一线种植户的轻量化服务入口，承载</w:t>
      </w:r>
      <w:r>
        <w:rPr>
          <w:rFonts w:hint="eastAsia" w:asciiTheme="majorEastAsia" w:hAnsiTheme="majorEastAsia" w:eastAsiaTheme="majorEastAsia" w:cstheme="majorEastAsia"/>
          <w:sz w:val="22"/>
          <w:lang w:val="en-US" w:eastAsia="zh-CN"/>
        </w:rPr>
        <w:t>模型</w:t>
      </w:r>
      <w:r>
        <w:rPr>
          <w:rFonts w:hint="eastAsia" w:asciiTheme="majorEastAsia" w:hAnsiTheme="majorEastAsia" w:eastAsiaTheme="majorEastAsia" w:cstheme="majorEastAsia"/>
          <w:sz w:val="22"/>
        </w:rPr>
        <w:t>应用能力落地。核心包含气象预报、个性化农事建议、</w:t>
      </w:r>
      <w:r>
        <w:rPr>
          <w:rFonts w:hint="eastAsia" w:asciiTheme="majorEastAsia" w:hAnsiTheme="majorEastAsia" w:eastAsiaTheme="majorEastAsia" w:cstheme="majorEastAsia"/>
          <w:sz w:val="22"/>
          <w:lang w:val="en-US" w:eastAsia="zh-CN"/>
        </w:rPr>
        <w:t>预警消息推送、</w:t>
      </w:r>
      <w:r>
        <w:rPr>
          <w:rFonts w:hint="eastAsia" w:asciiTheme="majorEastAsia" w:hAnsiTheme="majorEastAsia" w:eastAsiaTheme="majorEastAsia" w:cstheme="majorEastAsia"/>
          <w:sz w:val="22"/>
        </w:rPr>
        <w:t>手动果园数据录入、附近设备及实时数据查看、AI病虫害智能识别、农技资讯推送等功能。所有用户操作数据、录入数据、服务访问数据实时向上汇聚至产业大数据平台，实现上下数据贯通、业务联动。</w:t>
      </w:r>
    </w:p>
    <w:p w14:paraId="3B928FF5">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10" w:name="heading_10"/>
      <w:r>
        <w:rPr>
          <w:rFonts w:hint="eastAsia" w:asciiTheme="majorEastAsia" w:hAnsiTheme="majorEastAsia" w:eastAsiaTheme="majorEastAsia" w:cstheme="majorEastAsia"/>
          <w:b/>
          <w:sz w:val="30"/>
          <w:szCs w:val="30"/>
        </w:rPr>
        <w:t>3、模型数据展示中心</w:t>
      </w:r>
      <w:bookmarkEnd w:id="10"/>
    </w:p>
    <w:p w14:paraId="63976DB1">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本次可视化展示建设</w:t>
      </w:r>
      <w:r>
        <w:rPr>
          <w:rFonts w:hint="eastAsia" w:asciiTheme="majorEastAsia" w:hAnsiTheme="majorEastAsia" w:eastAsiaTheme="majorEastAsia" w:cstheme="majorEastAsia"/>
          <w:b/>
          <w:sz w:val="22"/>
        </w:rPr>
        <w:t>两</w:t>
      </w:r>
      <w:r>
        <w:rPr>
          <w:rFonts w:hint="eastAsia" w:asciiTheme="majorEastAsia" w:hAnsiTheme="majorEastAsia" w:eastAsiaTheme="majorEastAsia" w:cstheme="majorEastAsia"/>
          <w:b/>
          <w:sz w:val="22"/>
          <w:lang w:val="en-US" w:eastAsia="zh-CN"/>
        </w:rPr>
        <w:t>个</w:t>
      </w:r>
      <w:r>
        <w:rPr>
          <w:rFonts w:hint="eastAsia" w:asciiTheme="majorEastAsia" w:hAnsiTheme="majorEastAsia" w:eastAsiaTheme="majorEastAsia" w:cstheme="majorEastAsia"/>
          <w:b/>
          <w:sz w:val="22"/>
        </w:rPr>
        <w:t>专属</w:t>
      </w:r>
      <w:r>
        <w:rPr>
          <w:rFonts w:hint="eastAsia" w:asciiTheme="majorEastAsia" w:hAnsiTheme="majorEastAsia" w:eastAsiaTheme="majorEastAsia" w:cstheme="majorEastAsia"/>
          <w:b/>
          <w:sz w:val="22"/>
          <w:lang w:val="en-US" w:eastAsia="zh-CN"/>
        </w:rPr>
        <w:t>模型业务</w:t>
      </w:r>
      <w:r>
        <w:rPr>
          <w:rFonts w:hint="eastAsia" w:asciiTheme="majorEastAsia" w:hAnsiTheme="majorEastAsia" w:eastAsiaTheme="majorEastAsia" w:cstheme="majorEastAsia"/>
          <w:b/>
          <w:sz w:val="22"/>
        </w:rPr>
        <w:t>数据大屏</w:t>
      </w:r>
      <w:r>
        <w:rPr>
          <w:rFonts w:hint="eastAsia" w:asciiTheme="majorEastAsia" w:hAnsiTheme="majorEastAsia" w:eastAsiaTheme="majorEastAsia" w:cstheme="majorEastAsia"/>
          <w:sz w:val="22"/>
        </w:rPr>
        <w:t>，聚焦两大核心模型的预测预警、运行状态、落地应用成效，分别细化专项展示维度，满足农技监管、产业研判、成果展示需求。</w:t>
      </w:r>
    </w:p>
    <w:p w14:paraId="40611925">
      <w:pPr>
        <w:spacing w:before="300" w:after="120" w:line="288" w:lineRule="auto"/>
        <w:ind w:left="0"/>
        <w:jc w:val="left"/>
        <w:outlineLvl w:val="2"/>
        <w:rPr>
          <w:rFonts w:hint="eastAsia" w:asciiTheme="majorEastAsia" w:hAnsiTheme="majorEastAsia" w:eastAsiaTheme="majorEastAsia" w:cstheme="majorEastAsia"/>
          <w:sz w:val="28"/>
          <w:szCs w:val="28"/>
        </w:rPr>
      </w:pPr>
      <w:bookmarkStart w:id="11" w:name="heading_11"/>
      <w:r>
        <w:rPr>
          <w:rFonts w:hint="eastAsia" w:asciiTheme="majorEastAsia" w:hAnsiTheme="majorEastAsia" w:eastAsiaTheme="majorEastAsia" w:cstheme="majorEastAsia"/>
          <w:b/>
          <w:sz w:val="28"/>
          <w:szCs w:val="28"/>
        </w:rPr>
        <w:t>（1）南丰蜜桔生长模型监测大屏</w:t>
      </w:r>
      <w:bookmarkEnd w:id="11"/>
    </w:p>
    <w:p w14:paraId="7290C034">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lang w:val="en-US" w:eastAsia="zh-CN"/>
        </w:rPr>
        <w:t>专注</w:t>
      </w:r>
      <w:r>
        <w:rPr>
          <w:rFonts w:hint="eastAsia" w:asciiTheme="majorEastAsia" w:hAnsiTheme="majorEastAsia" w:eastAsiaTheme="majorEastAsia" w:cstheme="majorEastAsia"/>
          <w:sz w:val="22"/>
        </w:rPr>
        <w:t>展示蜜桔全周期生长模型运行态势与品质管控应用情况，细分展示维度包含：全域</w:t>
      </w:r>
      <w:r>
        <w:rPr>
          <w:rFonts w:hint="eastAsia" w:asciiTheme="majorEastAsia" w:hAnsiTheme="majorEastAsia" w:eastAsiaTheme="majorEastAsia" w:cstheme="majorEastAsia"/>
          <w:sz w:val="22"/>
          <w:lang w:val="en-US" w:eastAsia="zh-CN"/>
        </w:rPr>
        <w:t>生长概况、</w:t>
      </w:r>
      <w:r>
        <w:rPr>
          <w:rFonts w:hint="eastAsia" w:asciiTheme="majorEastAsia" w:hAnsiTheme="majorEastAsia" w:eastAsiaTheme="majorEastAsia" w:cstheme="majorEastAsia"/>
          <w:sz w:val="22"/>
        </w:rPr>
        <w:t>果园基础概况、环境监测实时数据（土壤、墒情、养分、温湿度、光照）、各生长阶段果园分布、长势健康度分析、品质预测数据（甜度、果形、优品率）、智能农事建议落地统计、长势异常预警等。直观呈现生长模型对蜜桔提质管控的赋能成效。</w:t>
      </w:r>
    </w:p>
    <w:p w14:paraId="5574C8D7">
      <w:pPr>
        <w:spacing w:before="300" w:after="120" w:line="288" w:lineRule="auto"/>
        <w:ind w:left="0"/>
        <w:jc w:val="left"/>
        <w:outlineLvl w:val="2"/>
        <w:rPr>
          <w:rFonts w:hint="eastAsia" w:asciiTheme="majorEastAsia" w:hAnsiTheme="majorEastAsia" w:eastAsiaTheme="majorEastAsia" w:cstheme="majorEastAsia"/>
          <w:sz w:val="28"/>
          <w:szCs w:val="28"/>
        </w:rPr>
      </w:pPr>
      <w:bookmarkStart w:id="12" w:name="heading_12"/>
      <w:r>
        <w:rPr>
          <w:rFonts w:hint="eastAsia" w:asciiTheme="majorEastAsia" w:hAnsiTheme="majorEastAsia" w:eastAsiaTheme="majorEastAsia" w:cstheme="majorEastAsia"/>
          <w:b/>
          <w:sz w:val="28"/>
          <w:szCs w:val="28"/>
        </w:rPr>
        <w:t>（2）蜜桔病虫害与气象灾害预警大屏</w:t>
      </w:r>
      <w:bookmarkEnd w:id="12"/>
    </w:p>
    <w:p w14:paraId="75FE324E">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专注展示病虫害防控模型与气象灾害预警模型的预警预测、风险分布、处置应用情况，细分展示维度包含：病虫害知识库统计、实时病虫害识别记录、区域病虫害风险热力分布、分级预警信息台账、病虫害处置完成率、气象实时数据、气象灾害风险预判、灾害防护建议落地情况、年度病虫害及灾害损失对比分析、模型预警准确率统计等，全方位呈现防灾减灾智能化应用成效。</w:t>
      </w:r>
    </w:p>
    <w:p w14:paraId="38FCF23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（已整合入模型后台管理系统，无独立预测模型中心章节）</w:t>
      </w:r>
    </w:p>
    <w:p w14:paraId="661837A4">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13" w:name="heading_13"/>
      <w:r>
        <w:rPr>
          <w:rFonts w:hint="eastAsia" w:asciiTheme="majorEastAsia" w:hAnsiTheme="majorEastAsia" w:eastAsiaTheme="majorEastAsia" w:cstheme="majorEastAsia"/>
          <w:b/>
          <w:sz w:val="32"/>
          <w:szCs w:val="32"/>
        </w:rPr>
        <w:t>三、系统集成（产业大数据平台应用集成）</w:t>
      </w:r>
      <w:bookmarkEnd w:id="13"/>
    </w:p>
    <w:p w14:paraId="799CEADE">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本系统为</w:t>
      </w:r>
      <w:r>
        <w:rPr>
          <w:rFonts w:hint="eastAsia" w:asciiTheme="majorEastAsia" w:hAnsiTheme="majorEastAsia" w:eastAsiaTheme="majorEastAsia" w:cstheme="majorEastAsia"/>
          <w:b/>
          <w:sz w:val="22"/>
        </w:rPr>
        <w:t>南丰蜜桔产业链接大数据平台下属垂直应用子系统</w:t>
      </w:r>
      <w:r>
        <w:rPr>
          <w:rFonts w:hint="eastAsia" w:asciiTheme="majorEastAsia" w:hAnsiTheme="majorEastAsia" w:eastAsiaTheme="majorEastAsia" w:cstheme="majorEastAsia"/>
          <w:sz w:val="22"/>
        </w:rPr>
        <w:t>，严格遵循</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“一平台、一底座、多应用”建设规范，不重复建设基础数据底座、通用权限、基础存储、基础对接能力，重点实现</w:t>
      </w:r>
      <w:r>
        <w:rPr>
          <w:rFonts w:hint="eastAsia" w:asciiTheme="majorEastAsia" w:hAnsiTheme="majorEastAsia" w:eastAsiaTheme="majorEastAsia" w:cstheme="majorEastAsia"/>
          <w:b/>
          <w:sz w:val="22"/>
        </w:rPr>
        <w:t>应用层面集成、模型能力集成、上下数据共享联动</w:t>
      </w:r>
      <w:r>
        <w:rPr>
          <w:rFonts w:hint="eastAsia" w:asciiTheme="majorEastAsia" w:hAnsiTheme="majorEastAsia" w:eastAsiaTheme="majorEastAsia" w:cstheme="majorEastAsia"/>
          <w:sz w:val="22"/>
        </w:rPr>
        <w:t>，具体集成内容如下：</w:t>
      </w:r>
    </w:p>
    <w:p w14:paraId="7A9A777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平台底座资源复用集成：系统全面复用现有产业大数据平台的物联网设备数据汇聚能力、气象系统对接能力、数据清洗标准化能力、统一账号权限体系、政务网络资源、数据存储备份底座。本系统仅专注蜜桔专属模型运算、专项业务管理、专属可视化展示、前端农事服务，杜绝重复建设，符合政务信息化集约建设要求。</w:t>
      </w:r>
    </w:p>
    <w:p w14:paraId="4E38711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2、上下数据共享与双向联动集成：建立子系统与上级产业大数据平台双向数据共享机制。</w:t>
      </w:r>
      <w:r>
        <w:rPr>
          <w:rFonts w:hint="eastAsia" w:asciiTheme="majorEastAsia" w:hAnsiTheme="majorEastAsia" w:eastAsiaTheme="majorEastAsia" w:cstheme="majorEastAsia"/>
          <w:b/>
          <w:sz w:val="22"/>
        </w:rPr>
        <w:t>下行数据</w:t>
      </w:r>
      <w:r>
        <w:rPr>
          <w:rFonts w:hint="eastAsia" w:asciiTheme="majorEastAsia" w:hAnsiTheme="majorEastAsia" w:eastAsiaTheme="majorEastAsia" w:cstheme="majorEastAsia"/>
          <w:sz w:val="22"/>
        </w:rPr>
        <w:t>：从大数据平台统一获取标准化果园环境数据、气象数据、设备状态数据、基础用户数据；</w:t>
      </w:r>
      <w:r>
        <w:rPr>
          <w:rFonts w:hint="eastAsia" w:asciiTheme="majorEastAsia" w:hAnsiTheme="majorEastAsia" w:eastAsiaTheme="majorEastAsia" w:cstheme="majorEastAsia"/>
          <w:b/>
          <w:sz w:val="22"/>
        </w:rPr>
        <w:t>上行数据</w:t>
      </w:r>
      <w:r>
        <w:rPr>
          <w:rFonts w:hint="eastAsia" w:asciiTheme="majorEastAsia" w:hAnsiTheme="majorEastAsia" w:eastAsiaTheme="majorEastAsia" w:cstheme="majorEastAsia"/>
          <w:sz w:val="22"/>
        </w:rPr>
        <w:t>：本系统将模型运算结果、品质预测数据、病虫害预警数据、农事服务记录、用户录入数据、大屏统计应用数据、预警处置台账等业务数据，实时同步汇聚至产业大数据平台，支撑平台产业统计、宏观研判、数据共享复用。</w:t>
      </w:r>
    </w:p>
    <w:p w14:paraId="379CDD6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内部应用模块集成：本系统三大核心模块（模型后台管理系统、微信小程序、模型数据大屏）深度闭环联动，后台完成模型运算、规则配置、预警管理后，实时向大屏推送可视化统计数据、预警预测态势，向小程序推送农事建议、风险提示、气象服务数据；小程序用户反馈数据、田间录入数据反向回传后台优化模型，形成“平台汇聚-后台建模运算-前端服务展示-数据回流优化”的完整业务闭环。</w:t>
      </w:r>
    </w:p>
    <w:p w14:paraId="6187F9B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业务能力集成：依托大数据平台基础能力，叠加本项目蜜桔专属AI模型能力、病虫害专项防控能力、种植全周期农事智能指导能力，形成通用底座+行业专项应用的集约建设模式，实现蜜桔产业智能化管控能力与</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平台的无缝融合。</w:t>
      </w:r>
    </w:p>
    <w:p w14:paraId="20771B65">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14" w:name="heading_14"/>
      <w:r>
        <w:rPr>
          <w:rFonts w:hint="eastAsia" w:asciiTheme="majorEastAsia" w:hAnsiTheme="majorEastAsia" w:eastAsiaTheme="majorEastAsia" w:cstheme="majorEastAsia"/>
          <w:b/>
          <w:sz w:val="32"/>
          <w:szCs w:val="32"/>
        </w:rPr>
        <w:t>四、技术开发</w:t>
      </w:r>
      <w:bookmarkEnd w:id="14"/>
    </w:p>
    <w:p w14:paraId="1B454AAB">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本系统采用主流、稳定、安全、可拓展的技术架构进行开发，遵循标准化、模块化、轻量化开发原则，保障系统稳定性、兼容性、可迭代性，核心技术体系如下：</w:t>
      </w:r>
    </w:p>
    <w:p w14:paraId="7286106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1、架构技术：采用前后端分离架构，后端基于微服务架构开发，模块化拆分业务功能，便于后期功能迭代与维护；前端采用Vue、ECharts</w:t>
      </w:r>
      <w:r>
        <w:rPr>
          <w:rFonts w:hint="eastAsia" w:asciiTheme="majorEastAsia" w:hAnsiTheme="majorEastAsia" w:eastAsiaTheme="majorEastAsia" w:cstheme="majorEastAsia"/>
          <w:sz w:val="22"/>
          <w:lang w:val="en-US" w:eastAsia="zh-CN"/>
        </w:rPr>
        <w:t>等主流</w:t>
      </w:r>
      <w:r>
        <w:rPr>
          <w:rFonts w:hint="eastAsia" w:asciiTheme="majorEastAsia" w:hAnsiTheme="majorEastAsia" w:eastAsiaTheme="majorEastAsia" w:cstheme="majorEastAsia"/>
          <w:sz w:val="22"/>
        </w:rPr>
        <w:t>技术，实现可视化大屏与管理端、小程序界面高效渲染，界面简洁流畅、响应速度快。</w:t>
      </w:r>
    </w:p>
    <w:p w14:paraId="15A82CD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2、大数据技术：采用</w:t>
      </w:r>
      <w:r>
        <w:rPr>
          <w:rFonts w:hint="eastAsia" w:asciiTheme="majorEastAsia" w:hAnsiTheme="majorEastAsia" w:eastAsiaTheme="majorEastAsia" w:cstheme="majorEastAsia"/>
          <w:sz w:val="22"/>
          <w:lang w:val="en-US" w:eastAsia="zh-CN"/>
        </w:rPr>
        <w:t>大</w:t>
      </w:r>
      <w:r>
        <w:rPr>
          <w:rFonts w:hint="eastAsia" w:asciiTheme="majorEastAsia" w:hAnsiTheme="majorEastAsia" w:eastAsiaTheme="majorEastAsia" w:cstheme="majorEastAsia"/>
          <w:sz w:val="22"/>
        </w:rPr>
        <w:t>数据存储与大数据分析技术，实现海量果园监测数据、生长数据、病虫害数据的清洗、分析、挖掘、统计，为模型训练与运算提供数据支撑。</w:t>
      </w:r>
    </w:p>
    <w:p w14:paraId="6D4CF86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AI建模技术：基于机器学习、深度学习算法，结合南丰蜜桔本地种植经验与历史数据，训练优化生长模型与病虫害防控模型，提升模型运算精准度与适配性；采用图像识别算法实现病虫害智能识别，提升识别准确率。</w:t>
      </w:r>
    </w:p>
    <w:p w14:paraId="0E4F976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4、数据对接技术：基于HTTP、MQTT协议开发标准化API接口，适配物联网设备、气象系统的数据传输协议，保障多源数据高效、稳定对接，支持实时数据与历史数据同步。</w:t>
      </w:r>
    </w:p>
    <w:p w14:paraId="641EC33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5、小程序开发技术：采用微信原生小程序开发框架，适配微信生态，实现轻量化、快速访问、便捷操作，兼容安卓、IOS全移动端设备。</w:t>
      </w:r>
    </w:p>
    <w:p w14:paraId="2BF9A31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6、安全技术：采用数据加密、权限管控、接口防刷、日志记录、异常监控等安全技术，保障系统数据安全、访问安全、运行安全，防范数据泄露、系统异常等风险。</w:t>
      </w:r>
    </w:p>
    <w:p w14:paraId="58C7B467">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15" w:name="heading_15"/>
      <w:r>
        <w:rPr>
          <w:rFonts w:hint="eastAsia" w:asciiTheme="majorEastAsia" w:hAnsiTheme="majorEastAsia" w:eastAsiaTheme="majorEastAsia" w:cstheme="majorEastAsia"/>
          <w:b/>
          <w:sz w:val="32"/>
          <w:szCs w:val="32"/>
        </w:rPr>
        <w:t>五、系统部署</w:t>
      </w:r>
      <w:bookmarkEnd w:id="15"/>
    </w:p>
    <w:p w14:paraId="0242A643">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结合项目使用场景、用户规模、数据安全需求，制定本地化、稳定高效的系统部署方案，具体部署内容如下：</w:t>
      </w:r>
    </w:p>
    <w:p w14:paraId="24AC0A6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1、部署环境：</w:t>
      </w:r>
      <w:r>
        <w:rPr>
          <w:rFonts w:hint="eastAsia" w:asciiTheme="majorEastAsia" w:hAnsiTheme="majorEastAsia" w:eastAsiaTheme="majorEastAsia" w:cstheme="majorEastAsia"/>
          <w:sz w:val="22"/>
          <w:lang w:val="en-US" w:eastAsia="zh-CN"/>
        </w:rPr>
        <w:t>根据产业大数据平台要求，</w:t>
      </w:r>
      <w:r>
        <w:rPr>
          <w:rFonts w:hint="eastAsia" w:asciiTheme="majorEastAsia" w:hAnsiTheme="majorEastAsia" w:eastAsiaTheme="majorEastAsia" w:cstheme="majorEastAsia"/>
          <w:sz w:val="22"/>
        </w:rPr>
        <w:t>采用</w:t>
      </w:r>
      <w:r>
        <w:rPr>
          <w:rFonts w:hint="eastAsia" w:asciiTheme="majorEastAsia" w:hAnsiTheme="majorEastAsia" w:eastAsiaTheme="majorEastAsia" w:cstheme="majorEastAsia"/>
          <w:sz w:val="22"/>
          <w:lang w:val="en-US" w:eastAsia="zh-CN"/>
        </w:rPr>
        <w:t>与产业大数据平台一致的</w:t>
      </w:r>
      <w:r>
        <w:rPr>
          <w:rFonts w:hint="eastAsia" w:asciiTheme="majorEastAsia" w:hAnsiTheme="majorEastAsia" w:eastAsiaTheme="majorEastAsia" w:cstheme="majorEastAsia"/>
          <w:sz w:val="22"/>
        </w:rPr>
        <w:t>部署模式，适配农业农村局办公环境，依托现有服务器资源完成系统部署，保障数据本地化存储、本地化运算，提升数据安全性与系统响应速度。</w:t>
      </w:r>
    </w:p>
    <w:p w14:paraId="17F1781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2、分模块部署：依次完成数据库部署、数据对接服务部署、核心模型算法部署、后台管理系统部署、可视化大屏部署、微信小程序部署，分步调试、分步验收，保障各模块正常运行。</w:t>
      </w:r>
    </w:p>
    <w:p w14:paraId="4F9C71B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3、网络适配：适配</w:t>
      </w:r>
      <w:r>
        <w:rPr>
          <w:rFonts w:hint="eastAsia" w:asciiTheme="majorEastAsia" w:hAnsiTheme="majorEastAsia" w:eastAsiaTheme="majorEastAsia" w:cstheme="majorEastAsia"/>
          <w:sz w:val="22"/>
          <w:lang w:val="en-US" w:eastAsia="zh-CN"/>
        </w:rPr>
        <w:t>产业大数据平台的</w:t>
      </w:r>
      <w:r>
        <w:rPr>
          <w:rFonts w:hint="eastAsia" w:asciiTheme="majorEastAsia" w:hAnsiTheme="majorEastAsia" w:eastAsiaTheme="majorEastAsia" w:cstheme="majorEastAsia"/>
          <w:sz w:val="22"/>
        </w:rPr>
        <w:t>网络环境，保障管理数据安全；微信小程序、数据采集服务部署于外网，保障农户正常访问，实现网</w:t>
      </w:r>
      <w:r>
        <w:rPr>
          <w:rFonts w:hint="eastAsia" w:asciiTheme="majorEastAsia" w:hAnsiTheme="majorEastAsia" w:eastAsiaTheme="majorEastAsia" w:cstheme="majorEastAsia"/>
          <w:sz w:val="22"/>
          <w:lang w:val="en-US" w:eastAsia="zh-CN"/>
        </w:rPr>
        <w:t>络</w:t>
      </w:r>
      <w:r>
        <w:rPr>
          <w:rFonts w:hint="eastAsia" w:asciiTheme="majorEastAsia" w:hAnsiTheme="majorEastAsia" w:eastAsiaTheme="majorEastAsia" w:cstheme="majorEastAsia"/>
          <w:sz w:val="22"/>
        </w:rPr>
        <w:t>数据安全互通。</w:t>
      </w:r>
    </w:p>
    <w:p w14:paraId="69F49D3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4、调试上线：部署完成后开展全功能调试、压力测试、兼容性测试，模拟高并发访问、海量数据传输场景，排查系统漏洞、运行异常问题，测试合格后正式上线运行。</w:t>
      </w:r>
    </w:p>
    <w:p w14:paraId="50B841B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5、域名与备案：</w:t>
      </w:r>
      <w:r>
        <w:rPr>
          <w:rFonts w:hint="eastAsia" w:asciiTheme="majorEastAsia" w:hAnsiTheme="majorEastAsia" w:eastAsiaTheme="majorEastAsia" w:cstheme="majorEastAsia"/>
          <w:sz w:val="22"/>
          <w:lang w:val="en-US" w:eastAsia="zh-CN"/>
        </w:rPr>
        <w:t>根据产业大数据平台的要求，适配相应的</w:t>
      </w:r>
      <w:r>
        <w:rPr>
          <w:rFonts w:hint="eastAsia" w:asciiTheme="majorEastAsia" w:hAnsiTheme="majorEastAsia" w:eastAsiaTheme="majorEastAsia" w:cstheme="majorEastAsia"/>
          <w:sz w:val="22"/>
        </w:rPr>
        <w:t>小程序域名配置、备案、微信认证，保障小程序正常上线、正常使用各项功能。</w:t>
      </w:r>
    </w:p>
    <w:p w14:paraId="3EC37018">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16" w:name="heading_16"/>
      <w:r>
        <w:rPr>
          <w:rFonts w:hint="eastAsia" w:asciiTheme="majorEastAsia" w:hAnsiTheme="majorEastAsia" w:eastAsiaTheme="majorEastAsia" w:cstheme="majorEastAsia"/>
          <w:b/>
          <w:sz w:val="32"/>
          <w:szCs w:val="32"/>
        </w:rPr>
        <w:t>六、配套硬件和软件</w:t>
      </w:r>
      <w:bookmarkEnd w:id="16"/>
    </w:p>
    <w:p w14:paraId="27A9819B">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系统作为产业大数据平台下属应用子系统，全面依托现有平台硬件、服务器、网络、存储备份资源，无需新增基础硬件及存储备份设备，完全符合政务集约建设要求。软件均为本次项目专属定制开发的蜜桔模型专项应用模块，无第三方付费软件。</w:t>
      </w:r>
    </w:p>
    <w:p w14:paraId="1B2C4FDB">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17" w:name="heading_17"/>
      <w:r>
        <w:rPr>
          <w:rFonts w:hint="eastAsia" w:asciiTheme="majorEastAsia" w:hAnsiTheme="majorEastAsia" w:eastAsiaTheme="majorEastAsia" w:cstheme="majorEastAsia"/>
          <w:b/>
          <w:sz w:val="30"/>
          <w:szCs w:val="30"/>
        </w:rPr>
        <w:t>1、配套硬件</w:t>
      </w:r>
      <w:bookmarkEnd w:id="17"/>
    </w:p>
    <w:p w14:paraId="17096669">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利旧现有产业大数据平台服务器、网络设备、果园物联网监测设备、本地化气象监测设备，无需新增硬件、无需新增数据备份设备，依托平台统一备份底座实现数据安全保障。</w:t>
      </w:r>
    </w:p>
    <w:p w14:paraId="2EA9A7EC">
      <w:pPr>
        <w:spacing w:before="320" w:after="120" w:line="288" w:lineRule="auto"/>
        <w:ind w:left="0"/>
        <w:jc w:val="left"/>
        <w:outlineLvl w:val="1"/>
        <w:rPr>
          <w:rFonts w:hint="eastAsia" w:asciiTheme="majorEastAsia" w:hAnsiTheme="majorEastAsia" w:eastAsiaTheme="majorEastAsia" w:cstheme="majorEastAsia"/>
          <w:sz w:val="30"/>
          <w:szCs w:val="30"/>
        </w:rPr>
      </w:pPr>
      <w:bookmarkStart w:id="18" w:name="heading_18"/>
      <w:r>
        <w:rPr>
          <w:rFonts w:hint="eastAsia" w:asciiTheme="majorEastAsia" w:hAnsiTheme="majorEastAsia" w:eastAsiaTheme="majorEastAsia" w:cstheme="majorEastAsia"/>
          <w:b/>
          <w:sz w:val="30"/>
          <w:szCs w:val="30"/>
        </w:rPr>
        <w:t>2、配套软件</w:t>
      </w:r>
      <w:bookmarkEnd w:id="18"/>
    </w:p>
    <w:p w14:paraId="4418D945">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本次定制开发专属软件成果：蜜桔生长AI模型软件、病虫害防控AI模型软件、模型专项后台管理系统、模型专属数据大屏、蜜桔服务微信小程序、病虫害专属数据库管理模块。所有软件适配产业大数据平台集成规范，可无缝融入现有</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体系。</w:t>
      </w:r>
    </w:p>
    <w:p w14:paraId="37FC483D">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19" w:name="heading_19"/>
      <w:r>
        <w:rPr>
          <w:rFonts w:hint="eastAsia" w:asciiTheme="majorEastAsia" w:hAnsiTheme="majorEastAsia" w:eastAsiaTheme="majorEastAsia" w:cstheme="majorEastAsia"/>
          <w:b/>
          <w:sz w:val="32"/>
          <w:szCs w:val="32"/>
        </w:rPr>
        <w:t>七、质量保证</w:t>
      </w:r>
      <w:bookmarkEnd w:id="19"/>
    </w:p>
    <w:p w14:paraId="4D35CC2A">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为保障项目建设质量，确保系统稳定、高效、精准运行，本项目建立全流程质量管控体系，从开发、测试、部署、验收全环节严格把控质量：</w:t>
      </w:r>
    </w:p>
    <w:p w14:paraId="7E6B929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1、需求质量保障：项目前期完成充分的现场调研、需求对接，细化每一项功能需求、模型参数、数据标准，形成确认版需求文档，杜绝需求偏差、功能缺失问题。</w:t>
      </w:r>
    </w:p>
    <w:p w14:paraId="2C05923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开发质量保障：遵循标准化开发规范，实行模块化开发、代码审核机制，定期开展代码自查、互查，保障代码规范、稳定、可维护；模型开发依托本地蜜桔种植历史数据训练，结合农技专家经验优化，保障模型精准适配本地种植场景。</w:t>
      </w:r>
    </w:p>
    <w:p w14:paraId="60C420C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测试质量保障：开展单元测试、功能测试、兼容性测试、压力测试、安全测试、场景化实测六大测试环节，模拟各类种植场景、使用场景，排查系统BUG、功能异常、数据偏差、预警失误等问题，测试通过率100%后方可上线。</w:t>
      </w:r>
    </w:p>
    <w:p w14:paraId="4F50F75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4、部署质量保障：严格按照部署规范开展系统部署，部署完成后进行72小时不间断试运行，监测系统运行状态、数据传输稳定性、模型运算精准度，确保系统稳定运行。</w:t>
      </w:r>
    </w:p>
    <w:p w14:paraId="184BABA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5、验收质量保障：按照项目需求清单、功能指标、性能指标逐项验收，确保所有建设内容、功能需求全部落地，达到预期建设目标。</w:t>
      </w:r>
    </w:p>
    <w:p w14:paraId="4639AFA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6、质量质保期：项目整体质保期为1年，质保期内免费提供系统维护、漏洞修复、模型优化等服务，保障系统长期稳定运行。</w:t>
      </w:r>
    </w:p>
    <w:p w14:paraId="011189E1">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20" w:name="heading_20"/>
      <w:r>
        <w:rPr>
          <w:rFonts w:hint="eastAsia" w:asciiTheme="majorEastAsia" w:hAnsiTheme="majorEastAsia" w:eastAsiaTheme="majorEastAsia" w:cstheme="majorEastAsia"/>
          <w:b/>
          <w:sz w:val="32"/>
          <w:szCs w:val="32"/>
        </w:rPr>
        <w:t>八、项目培训</w:t>
      </w:r>
      <w:bookmarkEnd w:id="20"/>
    </w:p>
    <w:p w14:paraId="0F99BE1D">
      <w:pPr>
        <w:spacing w:before="120" w:after="120" w:line="288" w:lineRule="auto"/>
        <w:ind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结合平台集成架构开展培训，重点保障管理人员熟练掌握模型运维、预警处置、大屏研判、平台数据上报，种植用户熟练使用小程序农事服务。</w:t>
      </w:r>
    </w:p>
    <w:p w14:paraId="320CDC7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1、农技管理端培训：针对农技服务中心工作人员，开展模型参数配置、预警管理、台账统计、平台数据对接核查、系统运维操作专项培训。</w:t>
      </w:r>
    </w:p>
    <w:p w14:paraId="76810B4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2、种植用户端培训：面向各类涉农种植主体，</w:t>
      </w:r>
      <w:r>
        <w:rPr>
          <w:rFonts w:hint="eastAsia" w:asciiTheme="majorEastAsia" w:hAnsiTheme="majorEastAsia" w:eastAsiaTheme="majorEastAsia" w:cstheme="majorEastAsia"/>
          <w:sz w:val="22"/>
          <w:lang w:val="en-US" w:eastAsia="zh-CN"/>
        </w:rPr>
        <w:t>编写相关操作手册、制作相关在线培训视频，</w:t>
      </w:r>
      <w:r>
        <w:rPr>
          <w:rFonts w:hint="eastAsia" w:asciiTheme="majorEastAsia" w:hAnsiTheme="majorEastAsia" w:eastAsiaTheme="majorEastAsia" w:cstheme="majorEastAsia"/>
          <w:sz w:val="22"/>
        </w:rPr>
        <w:t>开展小程序气象查询、数据录入、病虫害识别、农事建议使用培训。</w:t>
      </w:r>
    </w:p>
    <w:p w14:paraId="4993975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3、成果交付：交付全套操作手册、运维手册、集成说明、视频教程。</w:t>
      </w:r>
    </w:p>
    <w:p w14:paraId="14121D2F">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21" w:name="heading_21"/>
      <w:r>
        <w:rPr>
          <w:rFonts w:hint="eastAsia" w:asciiTheme="majorEastAsia" w:hAnsiTheme="majorEastAsia" w:eastAsiaTheme="majorEastAsia" w:cstheme="majorEastAsia"/>
          <w:b/>
          <w:sz w:val="32"/>
          <w:szCs w:val="32"/>
        </w:rPr>
        <w:t>九、运维支持</w:t>
      </w:r>
      <w:bookmarkEnd w:id="21"/>
    </w:p>
    <w:p w14:paraId="34CB78BC">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项目交付后提供全方位、常态化运维支持服务，保障系统长期稳定运行、功能持续适配产业需求：</w:t>
      </w:r>
    </w:p>
    <w:p w14:paraId="6BB73BB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1、日常运维服务：质保期内提供7×24小时技术运维服务，实时监测系统运行状态、设备数据传输状态、服务器运行状态，及时排查系统卡顿、数据中断、功能异常、预警失误等问题。</w:t>
      </w:r>
    </w:p>
    <w:p w14:paraId="5A32581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2、模型优化运维：定期结合季节种植特点、病虫害发生规律、本地气候变化，优化生长模型、病虫害防控模型算法参数，提升模型适配性与精准度。</w:t>
      </w:r>
    </w:p>
    <w:p w14:paraId="3FC746E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3、故障应急处置：建立应急运维机制，一般故障</w:t>
      </w:r>
      <w:r>
        <w:rPr>
          <w:rFonts w:hint="eastAsia" w:asciiTheme="majorEastAsia" w:hAnsiTheme="majorEastAsia" w:eastAsiaTheme="majorEastAsia" w:cstheme="majorEastAsia"/>
          <w:sz w:val="22"/>
          <w:lang w:val="en-US" w:eastAsia="zh-CN"/>
        </w:rPr>
        <w:t>8</w:t>
      </w:r>
      <w:r>
        <w:rPr>
          <w:rFonts w:hint="eastAsia" w:asciiTheme="majorEastAsia" w:hAnsiTheme="majorEastAsia" w:eastAsiaTheme="majorEastAsia" w:cstheme="majorEastAsia"/>
          <w:sz w:val="22"/>
        </w:rPr>
        <w:t>小时内响应、</w:t>
      </w:r>
      <w:r>
        <w:rPr>
          <w:rFonts w:hint="eastAsia" w:asciiTheme="majorEastAsia" w:hAnsiTheme="majorEastAsia" w:eastAsiaTheme="majorEastAsia" w:cstheme="majorEastAsia"/>
          <w:sz w:val="22"/>
          <w:lang w:val="en-US" w:eastAsia="zh-CN"/>
        </w:rPr>
        <w:t>2</w:t>
      </w:r>
      <w:r>
        <w:rPr>
          <w:rFonts w:hint="eastAsia" w:asciiTheme="majorEastAsia" w:hAnsiTheme="majorEastAsia" w:eastAsiaTheme="majorEastAsia" w:cstheme="majorEastAsia"/>
          <w:sz w:val="22"/>
        </w:rPr>
        <w:t>4小时内解决，重大故障立即响应、优先处置，最大限度降低系统故障对种植服务的影响。</w:t>
      </w:r>
    </w:p>
    <w:p w14:paraId="58DEEC6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lang w:val="en-US" w:eastAsia="zh-CN"/>
        </w:rPr>
        <w:t>4</w:t>
      </w:r>
      <w:r>
        <w:rPr>
          <w:rFonts w:hint="eastAsia" w:asciiTheme="majorEastAsia" w:hAnsiTheme="majorEastAsia" w:eastAsiaTheme="majorEastAsia" w:cstheme="majorEastAsia"/>
          <w:sz w:val="22"/>
        </w:rPr>
        <w:t>、售后咨询服务：提供常态化售后咨询服务，及时解答农技工作人员、种植用户的系统使用疑问，提供技术指导。</w:t>
      </w:r>
    </w:p>
    <w:p w14:paraId="47C290A3">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22" w:name="heading_22"/>
      <w:r>
        <w:rPr>
          <w:rFonts w:hint="eastAsia" w:asciiTheme="majorEastAsia" w:hAnsiTheme="majorEastAsia" w:eastAsiaTheme="majorEastAsia" w:cstheme="majorEastAsia"/>
          <w:b/>
          <w:sz w:val="32"/>
          <w:szCs w:val="32"/>
        </w:rPr>
        <w:t>十、项目报价</w:t>
      </w:r>
      <w:bookmarkEnd w:id="22"/>
    </w:p>
    <w:p w14:paraId="0499F99E">
      <w:pPr>
        <w:spacing w:before="120" w:after="120" w:line="288" w:lineRule="auto"/>
        <w:ind w:left="0" w:firstLine="440" w:firstLineChars="20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本项目严格按照</w:t>
      </w:r>
      <w:r>
        <w:rPr>
          <w:rFonts w:hint="eastAsia" w:asciiTheme="majorEastAsia" w:hAnsiTheme="majorEastAsia" w:eastAsiaTheme="majorEastAsia" w:cstheme="majorEastAsia"/>
          <w:sz w:val="22"/>
          <w:lang w:eastAsia="zh-CN"/>
        </w:rPr>
        <w:t>产业大数据</w:t>
      </w:r>
      <w:r>
        <w:rPr>
          <w:rFonts w:hint="eastAsia" w:asciiTheme="majorEastAsia" w:hAnsiTheme="majorEastAsia" w:eastAsiaTheme="majorEastAsia" w:cstheme="majorEastAsia"/>
          <w:sz w:val="22"/>
        </w:rPr>
        <w:t>“一平台一系统”集约建设要求，依托现有产业大数据平台底座，不重复建设基础数据、存储、备份、通用对接、通用权限能力，仅针对南丰蜜桔专属模型业务、小程序应用、模型专属大屏开展定制开发。本报价为总价包干，包含调研设计、数据库建设、AI模型研发、专项后台开发、大屏可视化开发、小程序开发、系统集成对接、部署调试、培训、一年质保运维及全套资料交付，无隐形费用、无重复建设费用，适配子系统集约建设标准。</w:t>
      </w:r>
      <w:bookmarkStart w:id="24" w:name="_GoBack"/>
      <w:bookmarkEnd w:id="24"/>
    </w:p>
    <w:p w14:paraId="513DEDB3">
      <w:pPr>
        <w:spacing w:before="120" w:after="120" w:line="288" w:lineRule="auto"/>
        <w:jc w:val="left"/>
        <w:rPr>
          <w:rFonts w:hint="eastAsia" w:asciiTheme="majorEastAsia" w:hAnsiTheme="majorEastAsia" w:eastAsiaTheme="majorEastAsia" w:cstheme="majorEastAsia"/>
          <w:sz w:val="22"/>
        </w:rPr>
      </w:pPr>
    </w:p>
    <w:tbl>
      <w:tblPr>
        <w:tblStyle w:val="2"/>
        <w:tblW w:w="8154"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52"/>
        <w:gridCol w:w="1285"/>
        <w:gridCol w:w="2705"/>
        <w:gridCol w:w="735"/>
        <w:gridCol w:w="795"/>
        <w:gridCol w:w="907"/>
        <w:gridCol w:w="975"/>
      </w:tblGrid>
      <w:tr w14:paraId="190E1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752" w:type="dxa"/>
            <w:vMerge w:val="restart"/>
            <w:tcBorders>
              <w:top w:val="single" w:color="000000" w:sz="8" w:space="0"/>
              <w:left w:val="single" w:color="000000" w:sz="8" w:space="0"/>
              <w:bottom w:val="nil"/>
              <w:right w:val="nil"/>
            </w:tcBorders>
            <w:shd w:val="clear" w:color="auto" w:fill="auto"/>
            <w:vAlign w:val="center"/>
          </w:tcPr>
          <w:p w14:paraId="570D6A0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285" w:type="dxa"/>
            <w:vMerge w:val="restart"/>
            <w:tcBorders>
              <w:top w:val="single" w:color="000000" w:sz="8" w:space="0"/>
              <w:left w:val="single" w:color="000000" w:sz="8" w:space="0"/>
              <w:bottom w:val="nil"/>
              <w:right w:val="nil"/>
            </w:tcBorders>
            <w:shd w:val="clear" w:color="auto" w:fill="auto"/>
            <w:vAlign w:val="center"/>
          </w:tcPr>
          <w:p w14:paraId="49B5BBA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建设分项</w:t>
            </w:r>
          </w:p>
        </w:tc>
        <w:tc>
          <w:tcPr>
            <w:tcW w:w="2705" w:type="dxa"/>
            <w:vMerge w:val="restart"/>
            <w:tcBorders>
              <w:top w:val="single" w:color="000000" w:sz="8" w:space="0"/>
              <w:left w:val="single" w:color="000000" w:sz="8" w:space="0"/>
              <w:bottom w:val="nil"/>
              <w:right w:val="nil"/>
            </w:tcBorders>
            <w:shd w:val="clear" w:color="auto" w:fill="auto"/>
            <w:vAlign w:val="center"/>
          </w:tcPr>
          <w:p w14:paraId="3C0C5A3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工作内容</w:t>
            </w:r>
          </w:p>
        </w:tc>
        <w:tc>
          <w:tcPr>
            <w:tcW w:w="735" w:type="dxa"/>
            <w:vMerge w:val="restart"/>
            <w:tcBorders>
              <w:top w:val="single" w:color="000000" w:sz="8" w:space="0"/>
              <w:left w:val="single" w:color="000000" w:sz="8" w:space="0"/>
              <w:bottom w:val="nil"/>
              <w:right w:val="nil"/>
            </w:tcBorders>
            <w:shd w:val="clear" w:color="auto" w:fill="auto"/>
            <w:vAlign w:val="center"/>
          </w:tcPr>
          <w:p w14:paraId="5AFE2B6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单位</w:t>
            </w:r>
          </w:p>
        </w:tc>
        <w:tc>
          <w:tcPr>
            <w:tcW w:w="795" w:type="dxa"/>
            <w:vMerge w:val="restart"/>
            <w:tcBorders>
              <w:top w:val="single" w:color="000000" w:sz="8" w:space="0"/>
              <w:left w:val="single" w:color="000000" w:sz="8" w:space="0"/>
              <w:bottom w:val="nil"/>
              <w:right w:val="nil"/>
            </w:tcBorders>
            <w:shd w:val="clear" w:color="auto" w:fill="auto"/>
            <w:vAlign w:val="center"/>
          </w:tcPr>
          <w:p w14:paraId="193E408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数量</w:t>
            </w:r>
          </w:p>
        </w:tc>
        <w:tc>
          <w:tcPr>
            <w:tcW w:w="907" w:type="dxa"/>
            <w:tcBorders>
              <w:top w:val="single" w:color="000000" w:sz="8" w:space="0"/>
              <w:left w:val="single" w:color="000000" w:sz="8" w:space="0"/>
              <w:bottom w:val="nil"/>
              <w:right w:val="nil"/>
            </w:tcBorders>
            <w:shd w:val="clear" w:color="auto" w:fill="auto"/>
            <w:vAlign w:val="center"/>
          </w:tcPr>
          <w:p w14:paraId="1E70211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单价</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2029018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合价</w:t>
            </w:r>
          </w:p>
        </w:tc>
      </w:tr>
      <w:tr w14:paraId="5176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752" w:type="dxa"/>
            <w:vMerge w:val="continue"/>
            <w:tcBorders>
              <w:top w:val="single" w:color="000000" w:sz="8" w:space="0"/>
              <w:left w:val="single" w:color="000000" w:sz="8" w:space="0"/>
              <w:bottom w:val="nil"/>
              <w:right w:val="nil"/>
            </w:tcBorders>
            <w:shd w:val="clear" w:color="auto" w:fill="auto"/>
            <w:vAlign w:val="center"/>
          </w:tcPr>
          <w:p w14:paraId="559D03E4">
            <w:pPr>
              <w:jc w:val="center"/>
              <w:rPr>
                <w:rFonts w:hint="eastAsia" w:ascii="宋体" w:hAnsi="宋体" w:eastAsia="宋体" w:cs="宋体"/>
                <w:b/>
                <w:bCs/>
                <w:i w:val="0"/>
                <w:iCs w:val="0"/>
                <w:color w:val="000000"/>
                <w:sz w:val="22"/>
                <w:szCs w:val="22"/>
                <w:u w:val="none"/>
              </w:rPr>
            </w:pPr>
          </w:p>
        </w:tc>
        <w:tc>
          <w:tcPr>
            <w:tcW w:w="1285" w:type="dxa"/>
            <w:vMerge w:val="continue"/>
            <w:tcBorders>
              <w:top w:val="single" w:color="000000" w:sz="8" w:space="0"/>
              <w:left w:val="single" w:color="000000" w:sz="8" w:space="0"/>
              <w:bottom w:val="nil"/>
              <w:right w:val="nil"/>
            </w:tcBorders>
            <w:shd w:val="clear" w:color="auto" w:fill="auto"/>
            <w:vAlign w:val="center"/>
          </w:tcPr>
          <w:p w14:paraId="2531D81A">
            <w:pPr>
              <w:jc w:val="center"/>
              <w:rPr>
                <w:rFonts w:hint="eastAsia" w:ascii="宋体" w:hAnsi="宋体" w:eastAsia="宋体" w:cs="宋体"/>
                <w:b/>
                <w:bCs/>
                <w:i w:val="0"/>
                <w:iCs w:val="0"/>
                <w:color w:val="000000"/>
                <w:sz w:val="22"/>
                <w:szCs w:val="22"/>
                <w:u w:val="none"/>
              </w:rPr>
            </w:pPr>
          </w:p>
        </w:tc>
        <w:tc>
          <w:tcPr>
            <w:tcW w:w="2705" w:type="dxa"/>
            <w:vMerge w:val="continue"/>
            <w:tcBorders>
              <w:top w:val="single" w:color="000000" w:sz="8" w:space="0"/>
              <w:left w:val="single" w:color="000000" w:sz="8" w:space="0"/>
              <w:bottom w:val="nil"/>
              <w:right w:val="nil"/>
            </w:tcBorders>
            <w:shd w:val="clear" w:color="auto" w:fill="auto"/>
            <w:vAlign w:val="center"/>
          </w:tcPr>
          <w:p w14:paraId="34743978">
            <w:pPr>
              <w:jc w:val="center"/>
              <w:rPr>
                <w:rFonts w:hint="eastAsia" w:ascii="宋体" w:hAnsi="宋体" w:eastAsia="宋体" w:cs="宋体"/>
                <w:b/>
                <w:bCs/>
                <w:i w:val="0"/>
                <w:iCs w:val="0"/>
                <w:color w:val="000000"/>
                <w:sz w:val="22"/>
                <w:szCs w:val="22"/>
                <w:u w:val="none"/>
              </w:rPr>
            </w:pPr>
          </w:p>
        </w:tc>
        <w:tc>
          <w:tcPr>
            <w:tcW w:w="735" w:type="dxa"/>
            <w:vMerge w:val="continue"/>
            <w:tcBorders>
              <w:top w:val="single" w:color="000000" w:sz="8" w:space="0"/>
              <w:left w:val="single" w:color="000000" w:sz="8" w:space="0"/>
              <w:bottom w:val="nil"/>
              <w:right w:val="nil"/>
            </w:tcBorders>
            <w:shd w:val="clear" w:color="auto" w:fill="auto"/>
            <w:vAlign w:val="center"/>
          </w:tcPr>
          <w:p w14:paraId="3E8859A6">
            <w:pPr>
              <w:jc w:val="center"/>
              <w:rPr>
                <w:rFonts w:hint="eastAsia" w:ascii="宋体" w:hAnsi="宋体" w:eastAsia="宋体" w:cs="宋体"/>
                <w:b/>
                <w:bCs/>
                <w:i w:val="0"/>
                <w:iCs w:val="0"/>
                <w:color w:val="000000"/>
                <w:sz w:val="22"/>
                <w:szCs w:val="22"/>
                <w:u w:val="none"/>
              </w:rPr>
            </w:pPr>
          </w:p>
        </w:tc>
        <w:tc>
          <w:tcPr>
            <w:tcW w:w="795" w:type="dxa"/>
            <w:vMerge w:val="continue"/>
            <w:tcBorders>
              <w:top w:val="single" w:color="000000" w:sz="8" w:space="0"/>
              <w:left w:val="single" w:color="000000" w:sz="8" w:space="0"/>
              <w:bottom w:val="nil"/>
              <w:right w:val="nil"/>
            </w:tcBorders>
            <w:shd w:val="clear" w:color="auto" w:fill="auto"/>
            <w:vAlign w:val="center"/>
          </w:tcPr>
          <w:p w14:paraId="70B3C93B">
            <w:pPr>
              <w:jc w:val="center"/>
              <w:rPr>
                <w:rFonts w:hint="eastAsia" w:ascii="宋体" w:hAnsi="宋体" w:eastAsia="宋体" w:cs="宋体"/>
                <w:b/>
                <w:bCs/>
                <w:i w:val="0"/>
                <w:iCs w:val="0"/>
                <w:color w:val="000000"/>
                <w:sz w:val="22"/>
                <w:szCs w:val="22"/>
                <w:u w:val="none"/>
              </w:rPr>
            </w:pPr>
          </w:p>
        </w:tc>
        <w:tc>
          <w:tcPr>
            <w:tcW w:w="907" w:type="dxa"/>
            <w:tcBorders>
              <w:top w:val="nil"/>
              <w:left w:val="single" w:color="000000" w:sz="8" w:space="0"/>
              <w:bottom w:val="nil"/>
              <w:right w:val="nil"/>
            </w:tcBorders>
            <w:shd w:val="clear" w:color="auto" w:fill="auto"/>
            <w:vAlign w:val="center"/>
          </w:tcPr>
          <w:p w14:paraId="457285C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（元）</w:t>
            </w:r>
          </w:p>
        </w:tc>
        <w:tc>
          <w:tcPr>
            <w:tcW w:w="975" w:type="dxa"/>
            <w:tcBorders>
              <w:top w:val="nil"/>
              <w:left w:val="single" w:color="000000" w:sz="8" w:space="0"/>
              <w:bottom w:val="nil"/>
              <w:right w:val="single" w:color="000000" w:sz="8" w:space="0"/>
            </w:tcBorders>
            <w:shd w:val="clear" w:color="auto" w:fill="auto"/>
            <w:vAlign w:val="center"/>
          </w:tcPr>
          <w:p w14:paraId="5236E35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（元）</w:t>
            </w:r>
          </w:p>
        </w:tc>
      </w:tr>
      <w:tr w14:paraId="71F1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12" w:hRule="atLeast"/>
        </w:trPr>
        <w:tc>
          <w:tcPr>
            <w:tcW w:w="752" w:type="dxa"/>
            <w:tcBorders>
              <w:top w:val="single" w:color="000000" w:sz="8" w:space="0"/>
              <w:left w:val="single" w:color="000000" w:sz="8" w:space="0"/>
              <w:bottom w:val="nil"/>
              <w:right w:val="nil"/>
            </w:tcBorders>
            <w:shd w:val="clear" w:color="auto" w:fill="auto"/>
            <w:vAlign w:val="center"/>
          </w:tcPr>
          <w:p w14:paraId="226301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285" w:type="dxa"/>
            <w:tcBorders>
              <w:top w:val="single" w:color="000000" w:sz="8" w:space="0"/>
              <w:left w:val="single" w:color="000000" w:sz="8" w:space="0"/>
              <w:bottom w:val="nil"/>
              <w:right w:val="nil"/>
            </w:tcBorders>
            <w:shd w:val="clear" w:color="auto" w:fill="auto"/>
            <w:vAlign w:val="center"/>
          </w:tcPr>
          <w:p w14:paraId="1379E2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项目前期调研与方案设计</w:t>
            </w:r>
          </w:p>
        </w:tc>
        <w:tc>
          <w:tcPr>
            <w:tcW w:w="2705" w:type="dxa"/>
            <w:tcBorders>
              <w:top w:val="single" w:color="000000" w:sz="8" w:space="0"/>
              <w:left w:val="single" w:color="000000" w:sz="8" w:space="0"/>
              <w:bottom w:val="nil"/>
              <w:right w:val="nil"/>
            </w:tcBorders>
            <w:shd w:val="clear" w:color="auto" w:fill="auto"/>
            <w:vAlign w:val="center"/>
          </w:tcPr>
          <w:p w14:paraId="2AE21F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包含蜜桔种植场景调研、农技需求梳理、模型规则调研、政务平台集成规范对接、需求规格书、实施方案、验收标准编制。</w:t>
            </w:r>
          </w:p>
        </w:tc>
        <w:tc>
          <w:tcPr>
            <w:tcW w:w="735" w:type="dxa"/>
            <w:tcBorders>
              <w:top w:val="single" w:color="000000" w:sz="8" w:space="0"/>
              <w:left w:val="single" w:color="000000" w:sz="8" w:space="0"/>
              <w:bottom w:val="nil"/>
              <w:right w:val="nil"/>
            </w:tcBorders>
            <w:shd w:val="clear" w:color="auto" w:fill="auto"/>
            <w:vAlign w:val="center"/>
          </w:tcPr>
          <w:p w14:paraId="3C63C2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3CA560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3A660A7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5312811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r>
      <w:tr w14:paraId="60B98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73" w:hRule="atLeast"/>
        </w:trPr>
        <w:tc>
          <w:tcPr>
            <w:tcW w:w="752" w:type="dxa"/>
            <w:tcBorders>
              <w:top w:val="single" w:color="000000" w:sz="8" w:space="0"/>
              <w:left w:val="single" w:color="000000" w:sz="8" w:space="0"/>
              <w:bottom w:val="nil"/>
              <w:right w:val="nil"/>
            </w:tcBorders>
            <w:shd w:val="clear" w:color="auto" w:fill="auto"/>
            <w:vAlign w:val="center"/>
          </w:tcPr>
          <w:p w14:paraId="4D12D5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285" w:type="dxa"/>
            <w:tcBorders>
              <w:top w:val="single" w:color="000000" w:sz="8" w:space="0"/>
              <w:left w:val="single" w:color="000000" w:sz="8" w:space="0"/>
              <w:bottom w:val="nil"/>
              <w:right w:val="nil"/>
            </w:tcBorders>
            <w:shd w:val="clear" w:color="auto" w:fill="auto"/>
            <w:vAlign w:val="center"/>
          </w:tcPr>
          <w:p w14:paraId="117273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病虫害专属数据库建设</w:t>
            </w:r>
          </w:p>
        </w:tc>
        <w:tc>
          <w:tcPr>
            <w:tcW w:w="2705" w:type="dxa"/>
            <w:tcBorders>
              <w:top w:val="single" w:color="000000" w:sz="8" w:space="0"/>
              <w:left w:val="single" w:color="000000" w:sz="8" w:space="0"/>
              <w:bottom w:val="nil"/>
              <w:right w:val="nil"/>
            </w:tcBorders>
            <w:shd w:val="clear" w:color="auto" w:fill="auto"/>
            <w:vAlign w:val="center"/>
          </w:tcPr>
          <w:p w14:paraId="686098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全覆盖录入南丰蜜桔专属病虫害图谱、发病规律、诱发条件、分级防治方案、预警阈值、历史灾害数据，完成数据标准化整理、入库、检索适配。</w:t>
            </w:r>
          </w:p>
        </w:tc>
        <w:tc>
          <w:tcPr>
            <w:tcW w:w="735" w:type="dxa"/>
            <w:tcBorders>
              <w:top w:val="single" w:color="000000" w:sz="8" w:space="0"/>
              <w:left w:val="single" w:color="000000" w:sz="8" w:space="0"/>
              <w:bottom w:val="nil"/>
              <w:right w:val="nil"/>
            </w:tcBorders>
            <w:shd w:val="clear" w:color="auto" w:fill="auto"/>
            <w:vAlign w:val="center"/>
          </w:tcPr>
          <w:p w14:paraId="670EAC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33E193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43FA73C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7D1E784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r>
      <w:tr w14:paraId="6D96F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88" w:hRule="atLeast"/>
        </w:trPr>
        <w:tc>
          <w:tcPr>
            <w:tcW w:w="752" w:type="dxa"/>
            <w:tcBorders>
              <w:top w:val="single" w:color="000000" w:sz="8" w:space="0"/>
              <w:left w:val="single" w:color="000000" w:sz="8" w:space="0"/>
              <w:bottom w:val="nil"/>
              <w:right w:val="nil"/>
            </w:tcBorders>
            <w:shd w:val="clear" w:color="auto" w:fill="auto"/>
            <w:vAlign w:val="center"/>
          </w:tcPr>
          <w:p w14:paraId="655EFB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285" w:type="dxa"/>
            <w:tcBorders>
              <w:top w:val="single" w:color="000000" w:sz="8" w:space="0"/>
              <w:left w:val="single" w:color="000000" w:sz="8" w:space="0"/>
              <w:bottom w:val="nil"/>
              <w:right w:val="nil"/>
            </w:tcBorders>
            <w:shd w:val="clear" w:color="auto" w:fill="auto"/>
            <w:vAlign w:val="center"/>
          </w:tcPr>
          <w:p w14:paraId="591450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AI蜜桔生长模型研发</w:t>
            </w:r>
          </w:p>
        </w:tc>
        <w:tc>
          <w:tcPr>
            <w:tcW w:w="2705" w:type="dxa"/>
            <w:tcBorders>
              <w:top w:val="single" w:color="000000" w:sz="8" w:space="0"/>
              <w:left w:val="single" w:color="000000" w:sz="8" w:space="0"/>
              <w:bottom w:val="nil"/>
              <w:right w:val="nil"/>
            </w:tcBorders>
            <w:shd w:val="clear" w:color="auto" w:fill="auto"/>
            <w:vAlign w:val="center"/>
          </w:tcPr>
          <w:p w14:paraId="45C7DF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基于大数据平台共享数据，训练蜜桔全生长周期品质关联模型、长势研判模型、智能农事推荐模型，完成本地化参数调整、规则适配、后台管控适配。</w:t>
            </w:r>
          </w:p>
        </w:tc>
        <w:tc>
          <w:tcPr>
            <w:tcW w:w="735" w:type="dxa"/>
            <w:tcBorders>
              <w:top w:val="single" w:color="000000" w:sz="8" w:space="0"/>
              <w:left w:val="single" w:color="000000" w:sz="8" w:space="0"/>
              <w:bottom w:val="nil"/>
              <w:right w:val="nil"/>
            </w:tcBorders>
            <w:shd w:val="clear" w:color="auto" w:fill="auto"/>
            <w:vAlign w:val="center"/>
          </w:tcPr>
          <w:p w14:paraId="01D63E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453EDB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70A781F3">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1BB36CD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65000</w:t>
            </w:r>
          </w:p>
        </w:tc>
      </w:tr>
      <w:tr w14:paraId="0AE9E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2" w:hRule="atLeast"/>
        </w:trPr>
        <w:tc>
          <w:tcPr>
            <w:tcW w:w="752" w:type="dxa"/>
            <w:tcBorders>
              <w:top w:val="single" w:color="000000" w:sz="8" w:space="0"/>
              <w:left w:val="single" w:color="000000" w:sz="8" w:space="0"/>
              <w:bottom w:val="nil"/>
              <w:right w:val="nil"/>
            </w:tcBorders>
            <w:shd w:val="clear" w:color="auto" w:fill="auto"/>
            <w:vAlign w:val="center"/>
          </w:tcPr>
          <w:p w14:paraId="63E5E8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285" w:type="dxa"/>
            <w:tcBorders>
              <w:top w:val="single" w:color="000000" w:sz="8" w:space="0"/>
              <w:left w:val="single" w:color="000000" w:sz="8" w:space="0"/>
              <w:bottom w:val="nil"/>
              <w:right w:val="nil"/>
            </w:tcBorders>
            <w:shd w:val="clear" w:color="auto" w:fill="auto"/>
            <w:vAlign w:val="center"/>
          </w:tcPr>
          <w:p w14:paraId="5B6989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AI病虫害防控模型研发</w:t>
            </w:r>
          </w:p>
        </w:tc>
        <w:tc>
          <w:tcPr>
            <w:tcW w:w="2705" w:type="dxa"/>
            <w:tcBorders>
              <w:top w:val="single" w:color="000000" w:sz="8" w:space="0"/>
              <w:left w:val="single" w:color="000000" w:sz="8" w:space="0"/>
              <w:bottom w:val="nil"/>
              <w:right w:val="nil"/>
            </w:tcBorders>
            <w:shd w:val="clear" w:color="auto" w:fill="auto"/>
            <w:vAlign w:val="center"/>
          </w:tcPr>
          <w:p w14:paraId="1B2781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研发病虫害AI图像识别、风险分级预警、气象灾害联动防控，适配南丰本地气候与种植规律，实现智能识别、提前预警、科学防治。</w:t>
            </w:r>
          </w:p>
        </w:tc>
        <w:tc>
          <w:tcPr>
            <w:tcW w:w="735" w:type="dxa"/>
            <w:tcBorders>
              <w:top w:val="single" w:color="000000" w:sz="8" w:space="0"/>
              <w:left w:val="single" w:color="000000" w:sz="8" w:space="0"/>
              <w:bottom w:val="nil"/>
              <w:right w:val="nil"/>
            </w:tcBorders>
            <w:shd w:val="clear" w:color="auto" w:fill="auto"/>
            <w:vAlign w:val="center"/>
          </w:tcPr>
          <w:p w14:paraId="1B82B2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1A104F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1BB81CB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61F9A0A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65000</w:t>
            </w:r>
          </w:p>
        </w:tc>
      </w:tr>
      <w:tr w14:paraId="5AD4E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0" w:hRule="atLeast"/>
        </w:trPr>
        <w:tc>
          <w:tcPr>
            <w:tcW w:w="752" w:type="dxa"/>
            <w:tcBorders>
              <w:top w:val="single" w:color="000000" w:sz="8" w:space="0"/>
              <w:left w:val="single" w:color="000000" w:sz="8" w:space="0"/>
              <w:bottom w:val="nil"/>
              <w:right w:val="nil"/>
            </w:tcBorders>
            <w:shd w:val="clear" w:color="auto" w:fill="auto"/>
            <w:vAlign w:val="center"/>
          </w:tcPr>
          <w:p w14:paraId="03F703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285" w:type="dxa"/>
            <w:tcBorders>
              <w:top w:val="single" w:color="000000" w:sz="8" w:space="0"/>
              <w:left w:val="single" w:color="000000" w:sz="8" w:space="0"/>
              <w:bottom w:val="nil"/>
              <w:right w:val="nil"/>
            </w:tcBorders>
            <w:shd w:val="clear" w:color="auto" w:fill="auto"/>
            <w:vAlign w:val="center"/>
          </w:tcPr>
          <w:p w14:paraId="2A9204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模型专项后台管理系统开发</w:t>
            </w:r>
          </w:p>
        </w:tc>
        <w:tc>
          <w:tcPr>
            <w:tcW w:w="2705" w:type="dxa"/>
            <w:tcBorders>
              <w:top w:val="single" w:color="000000" w:sz="8" w:space="0"/>
              <w:left w:val="single" w:color="000000" w:sz="8" w:space="0"/>
              <w:bottom w:val="nil"/>
              <w:right w:val="nil"/>
            </w:tcBorders>
            <w:shd w:val="clear" w:color="auto" w:fill="auto"/>
            <w:vAlign w:val="center"/>
          </w:tcPr>
          <w:p w14:paraId="72C68C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开发专属模型管理、预警管理、农事规则管理、模型数据统计、业务运维等专项功能，适配大数据平台集成规范，实现数据上下互通、业务闭环。</w:t>
            </w:r>
          </w:p>
        </w:tc>
        <w:tc>
          <w:tcPr>
            <w:tcW w:w="735" w:type="dxa"/>
            <w:tcBorders>
              <w:top w:val="single" w:color="000000" w:sz="8" w:space="0"/>
              <w:left w:val="single" w:color="000000" w:sz="8" w:space="0"/>
              <w:bottom w:val="nil"/>
              <w:right w:val="nil"/>
            </w:tcBorders>
            <w:shd w:val="clear" w:color="auto" w:fill="auto"/>
            <w:vAlign w:val="center"/>
          </w:tcPr>
          <w:p w14:paraId="04C01D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4D95C9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669AF64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51CC803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55000</w:t>
            </w:r>
          </w:p>
        </w:tc>
      </w:tr>
      <w:tr w14:paraId="0F4C6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05" w:hRule="atLeast"/>
        </w:trPr>
        <w:tc>
          <w:tcPr>
            <w:tcW w:w="752" w:type="dxa"/>
            <w:tcBorders>
              <w:top w:val="single" w:color="000000" w:sz="8" w:space="0"/>
              <w:left w:val="single" w:color="000000" w:sz="8" w:space="0"/>
              <w:bottom w:val="nil"/>
              <w:right w:val="nil"/>
            </w:tcBorders>
            <w:shd w:val="clear" w:color="auto" w:fill="auto"/>
            <w:vAlign w:val="center"/>
          </w:tcPr>
          <w:p w14:paraId="2C4A08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285" w:type="dxa"/>
            <w:tcBorders>
              <w:top w:val="single" w:color="000000" w:sz="8" w:space="0"/>
              <w:left w:val="single" w:color="000000" w:sz="8" w:space="0"/>
              <w:bottom w:val="nil"/>
              <w:right w:val="nil"/>
            </w:tcBorders>
            <w:shd w:val="clear" w:color="auto" w:fill="auto"/>
            <w:vAlign w:val="center"/>
          </w:tcPr>
          <w:p w14:paraId="36BF13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模型数据大屏开发</w:t>
            </w:r>
          </w:p>
        </w:tc>
        <w:tc>
          <w:tcPr>
            <w:tcW w:w="2705" w:type="dxa"/>
            <w:tcBorders>
              <w:top w:val="single" w:color="000000" w:sz="8" w:space="0"/>
              <w:left w:val="single" w:color="000000" w:sz="8" w:space="0"/>
              <w:bottom w:val="nil"/>
              <w:right w:val="nil"/>
            </w:tcBorders>
            <w:shd w:val="clear" w:color="auto" w:fill="auto"/>
            <w:vAlign w:val="center"/>
          </w:tcPr>
          <w:p w14:paraId="662E0F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建设蜜桔生长模型监测大屏、病虫害灾害预警大屏，完成专项数据可视化、维度细分、态势展示、统计分析，适配产业应用成果展示。</w:t>
            </w:r>
          </w:p>
        </w:tc>
        <w:tc>
          <w:tcPr>
            <w:tcW w:w="735" w:type="dxa"/>
            <w:tcBorders>
              <w:top w:val="single" w:color="000000" w:sz="8" w:space="0"/>
              <w:left w:val="single" w:color="000000" w:sz="8" w:space="0"/>
              <w:bottom w:val="nil"/>
              <w:right w:val="nil"/>
            </w:tcBorders>
            <w:shd w:val="clear" w:color="auto" w:fill="auto"/>
            <w:vAlign w:val="center"/>
          </w:tcPr>
          <w:p w14:paraId="536588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0C73C3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2639CF3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385B2A2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r>
      <w:tr w14:paraId="7A857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37" w:hRule="atLeast"/>
        </w:trPr>
        <w:tc>
          <w:tcPr>
            <w:tcW w:w="752" w:type="dxa"/>
            <w:tcBorders>
              <w:top w:val="single" w:color="000000" w:sz="8" w:space="0"/>
              <w:left w:val="single" w:color="000000" w:sz="8" w:space="0"/>
              <w:bottom w:val="nil"/>
              <w:right w:val="nil"/>
            </w:tcBorders>
            <w:shd w:val="clear" w:color="auto" w:fill="auto"/>
            <w:vAlign w:val="center"/>
          </w:tcPr>
          <w:p w14:paraId="594EDB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285" w:type="dxa"/>
            <w:tcBorders>
              <w:top w:val="single" w:color="000000" w:sz="8" w:space="0"/>
              <w:left w:val="single" w:color="000000" w:sz="8" w:space="0"/>
              <w:bottom w:val="nil"/>
              <w:right w:val="nil"/>
            </w:tcBorders>
            <w:shd w:val="clear" w:color="auto" w:fill="auto"/>
            <w:vAlign w:val="center"/>
          </w:tcPr>
          <w:p w14:paraId="33719F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微信小程序开发</w:t>
            </w:r>
          </w:p>
        </w:tc>
        <w:tc>
          <w:tcPr>
            <w:tcW w:w="2705" w:type="dxa"/>
            <w:tcBorders>
              <w:top w:val="single" w:color="000000" w:sz="8" w:space="0"/>
              <w:left w:val="single" w:color="000000" w:sz="8" w:space="0"/>
              <w:bottom w:val="nil"/>
              <w:right w:val="nil"/>
            </w:tcBorders>
            <w:shd w:val="clear" w:color="auto" w:fill="auto"/>
            <w:vAlign w:val="center"/>
          </w:tcPr>
          <w:p w14:paraId="693DCF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开发气象预报、农事建议、数据录入、设备数据查看、病虫害识别、资讯推送等完整种植端功能，完成上线适配、平台数据互通。</w:t>
            </w:r>
          </w:p>
        </w:tc>
        <w:tc>
          <w:tcPr>
            <w:tcW w:w="735" w:type="dxa"/>
            <w:tcBorders>
              <w:top w:val="single" w:color="000000" w:sz="8" w:space="0"/>
              <w:left w:val="single" w:color="000000" w:sz="8" w:space="0"/>
              <w:bottom w:val="nil"/>
              <w:right w:val="nil"/>
            </w:tcBorders>
            <w:shd w:val="clear" w:color="auto" w:fill="auto"/>
            <w:vAlign w:val="center"/>
          </w:tcPr>
          <w:p w14:paraId="3A8A3E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4B5A5C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5D941A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63ED669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48000</w:t>
            </w:r>
          </w:p>
        </w:tc>
      </w:tr>
      <w:tr w14:paraId="03B03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2" w:hRule="atLeast"/>
        </w:trPr>
        <w:tc>
          <w:tcPr>
            <w:tcW w:w="752" w:type="dxa"/>
            <w:tcBorders>
              <w:top w:val="single" w:color="000000" w:sz="8" w:space="0"/>
              <w:left w:val="single" w:color="000000" w:sz="8" w:space="0"/>
              <w:bottom w:val="nil"/>
              <w:right w:val="nil"/>
            </w:tcBorders>
            <w:shd w:val="clear" w:color="auto" w:fill="auto"/>
            <w:vAlign w:val="center"/>
          </w:tcPr>
          <w:p w14:paraId="4E0310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285" w:type="dxa"/>
            <w:tcBorders>
              <w:top w:val="single" w:color="000000" w:sz="8" w:space="0"/>
              <w:left w:val="single" w:color="000000" w:sz="8" w:space="0"/>
              <w:bottom w:val="nil"/>
              <w:right w:val="nil"/>
            </w:tcBorders>
            <w:shd w:val="clear" w:color="auto" w:fill="auto"/>
            <w:vAlign w:val="center"/>
          </w:tcPr>
          <w:p w14:paraId="7CAAA1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平台应用集成与数据对接开发</w:t>
            </w:r>
          </w:p>
        </w:tc>
        <w:tc>
          <w:tcPr>
            <w:tcW w:w="2705" w:type="dxa"/>
            <w:tcBorders>
              <w:top w:val="single" w:color="000000" w:sz="8" w:space="0"/>
              <w:left w:val="single" w:color="000000" w:sz="8" w:space="0"/>
              <w:bottom w:val="nil"/>
              <w:right w:val="nil"/>
            </w:tcBorders>
            <w:shd w:val="clear" w:color="auto" w:fill="auto"/>
            <w:vAlign w:val="center"/>
          </w:tcPr>
          <w:p w14:paraId="390080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按照一平台一系统规范，完成子系统与产业大数据平台应用级集成、双向数据共享接口开发、数据校验、断点续传、权限适配、业务联动调试。</w:t>
            </w:r>
          </w:p>
        </w:tc>
        <w:tc>
          <w:tcPr>
            <w:tcW w:w="735" w:type="dxa"/>
            <w:tcBorders>
              <w:top w:val="single" w:color="000000" w:sz="8" w:space="0"/>
              <w:left w:val="single" w:color="000000" w:sz="8" w:space="0"/>
              <w:bottom w:val="nil"/>
              <w:right w:val="nil"/>
            </w:tcBorders>
            <w:shd w:val="clear" w:color="auto" w:fill="auto"/>
            <w:vAlign w:val="center"/>
          </w:tcPr>
          <w:p w14:paraId="477FA9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4C7B48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4241E78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6CD4B10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36000</w:t>
            </w:r>
          </w:p>
        </w:tc>
      </w:tr>
      <w:tr w14:paraId="7F7AB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00" w:hRule="atLeast"/>
        </w:trPr>
        <w:tc>
          <w:tcPr>
            <w:tcW w:w="752" w:type="dxa"/>
            <w:tcBorders>
              <w:top w:val="single" w:color="000000" w:sz="8" w:space="0"/>
              <w:left w:val="single" w:color="000000" w:sz="8" w:space="0"/>
              <w:bottom w:val="nil"/>
              <w:right w:val="nil"/>
            </w:tcBorders>
            <w:shd w:val="clear" w:color="auto" w:fill="auto"/>
            <w:vAlign w:val="center"/>
          </w:tcPr>
          <w:p w14:paraId="03A99D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285" w:type="dxa"/>
            <w:tcBorders>
              <w:top w:val="single" w:color="000000" w:sz="8" w:space="0"/>
              <w:left w:val="single" w:color="000000" w:sz="8" w:space="0"/>
              <w:bottom w:val="nil"/>
              <w:right w:val="nil"/>
            </w:tcBorders>
            <w:shd w:val="clear" w:color="auto" w:fill="auto"/>
            <w:vAlign w:val="center"/>
          </w:tcPr>
          <w:p w14:paraId="1C54E2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系统部署、联调与优化</w:t>
            </w:r>
          </w:p>
        </w:tc>
        <w:tc>
          <w:tcPr>
            <w:tcW w:w="2705" w:type="dxa"/>
            <w:tcBorders>
              <w:top w:val="single" w:color="000000" w:sz="8" w:space="0"/>
              <w:left w:val="single" w:color="000000" w:sz="8" w:space="0"/>
              <w:bottom w:val="nil"/>
              <w:right w:val="nil"/>
            </w:tcBorders>
            <w:shd w:val="clear" w:color="auto" w:fill="auto"/>
            <w:vAlign w:val="center"/>
          </w:tcPr>
          <w:p w14:paraId="63744E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完成子系统整体部署、平台集成联调、功能测试、压力测试、模型参数优化、试运行，保障系统稳定合规上线。</w:t>
            </w:r>
          </w:p>
        </w:tc>
        <w:tc>
          <w:tcPr>
            <w:tcW w:w="735" w:type="dxa"/>
            <w:tcBorders>
              <w:top w:val="single" w:color="000000" w:sz="8" w:space="0"/>
              <w:left w:val="single" w:color="000000" w:sz="8" w:space="0"/>
              <w:bottom w:val="nil"/>
              <w:right w:val="nil"/>
            </w:tcBorders>
            <w:shd w:val="clear" w:color="auto" w:fill="auto"/>
            <w:vAlign w:val="center"/>
          </w:tcPr>
          <w:p w14:paraId="36F903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630B39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6E94D23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27D6FCE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r>
      <w:tr w14:paraId="0441C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28" w:hRule="atLeast"/>
        </w:trPr>
        <w:tc>
          <w:tcPr>
            <w:tcW w:w="752" w:type="dxa"/>
            <w:tcBorders>
              <w:top w:val="single" w:color="000000" w:sz="8" w:space="0"/>
              <w:left w:val="single" w:color="000000" w:sz="8" w:space="0"/>
              <w:bottom w:val="nil"/>
              <w:right w:val="nil"/>
            </w:tcBorders>
            <w:shd w:val="clear" w:color="auto" w:fill="auto"/>
            <w:vAlign w:val="center"/>
          </w:tcPr>
          <w:p w14:paraId="5014E5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285" w:type="dxa"/>
            <w:tcBorders>
              <w:top w:val="single" w:color="000000" w:sz="8" w:space="0"/>
              <w:left w:val="single" w:color="000000" w:sz="8" w:space="0"/>
              <w:bottom w:val="nil"/>
              <w:right w:val="nil"/>
            </w:tcBorders>
            <w:shd w:val="clear" w:color="auto" w:fill="auto"/>
            <w:vAlign w:val="center"/>
          </w:tcPr>
          <w:p w14:paraId="2579E8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项目培训与资料交付</w:t>
            </w:r>
          </w:p>
        </w:tc>
        <w:tc>
          <w:tcPr>
            <w:tcW w:w="2705" w:type="dxa"/>
            <w:tcBorders>
              <w:top w:val="single" w:color="000000" w:sz="8" w:space="0"/>
              <w:left w:val="single" w:color="000000" w:sz="8" w:space="0"/>
              <w:bottom w:val="nil"/>
              <w:right w:val="nil"/>
            </w:tcBorders>
            <w:shd w:val="clear" w:color="auto" w:fill="auto"/>
            <w:vAlign w:val="center"/>
          </w:tcPr>
          <w:p w14:paraId="458E81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包含农技管理端培训，交付全套操作手册、运维文档、竣工资料、模型资料、集成说明文档。</w:t>
            </w:r>
          </w:p>
        </w:tc>
        <w:tc>
          <w:tcPr>
            <w:tcW w:w="735" w:type="dxa"/>
            <w:tcBorders>
              <w:top w:val="single" w:color="000000" w:sz="8" w:space="0"/>
              <w:left w:val="single" w:color="000000" w:sz="8" w:space="0"/>
              <w:bottom w:val="nil"/>
              <w:right w:val="nil"/>
            </w:tcBorders>
            <w:shd w:val="clear" w:color="auto" w:fill="auto"/>
            <w:vAlign w:val="center"/>
          </w:tcPr>
          <w:p w14:paraId="36647E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42C29D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4491A93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42B9935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15000</w:t>
            </w:r>
          </w:p>
        </w:tc>
      </w:tr>
      <w:tr w14:paraId="22672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40" w:hRule="atLeast"/>
        </w:trPr>
        <w:tc>
          <w:tcPr>
            <w:tcW w:w="752" w:type="dxa"/>
            <w:tcBorders>
              <w:top w:val="single" w:color="000000" w:sz="8" w:space="0"/>
              <w:left w:val="single" w:color="000000" w:sz="8" w:space="0"/>
              <w:bottom w:val="nil"/>
              <w:right w:val="nil"/>
            </w:tcBorders>
            <w:shd w:val="clear" w:color="auto" w:fill="auto"/>
            <w:vAlign w:val="center"/>
          </w:tcPr>
          <w:p w14:paraId="07CC9C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285" w:type="dxa"/>
            <w:tcBorders>
              <w:top w:val="single" w:color="000000" w:sz="8" w:space="0"/>
              <w:left w:val="single" w:color="000000" w:sz="8" w:space="0"/>
              <w:bottom w:val="nil"/>
              <w:right w:val="nil"/>
            </w:tcBorders>
            <w:shd w:val="clear" w:color="auto" w:fill="auto"/>
            <w:vAlign w:val="center"/>
          </w:tcPr>
          <w:p w14:paraId="1E3386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一年全程质保运维服务</w:t>
            </w:r>
          </w:p>
        </w:tc>
        <w:tc>
          <w:tcPr>
            <w:tcW w:w="2705" w:type="dxa"/>
            <w:tcBorders>
              <w:top w:val="single" w:color="000000" w:sz="8" w:space="0"/>
              <w:left w:val="single" w:color="000000" w:sz="8" w:space="0"/>
              <w:bottom w:val="nil"/>
              <w:right w:val="nil"/>
            </w:tcBorders>
            <w:shd w:val="clear" w:color="auto" w:fill="auto"/>
            <w:vAlign w:val="center"/>
          </w:tcPr>
          <w:p w14:paraId="032D8F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7×24小时技术运维、模型常态化优化、平台对接运维、故障处置、售后咨询服务。</w:t>
            </w:r>
          </w:p>
        </w:tc>
        <w:tc>
          <w:tcPr>
            <w:tcW w:w="735" w:type="dxa"/>
            <w:tcBorders>
              <w:top w:val="single" w:color="000000" w:sz="8" w:space="0"/>
              <w:left w:val="single" w:color="000000" w:sz="8" w:space="0"/>
              <w:bottom w:val="nil"/>
              <w:right w:val="nil"/>
            </w:tcBorders>
            <w:shd w:val="clear" w:color="auto" w:fill="auto"/>
            <w:vAlign w:val="center"/>
          </w:tcPr>
          <w:p w14:paraId="7BEB65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项</w:t>
            </w:r>
          </w:p>
        </w:tc>
        <w:tc>
          <w:tcPr>
            <w:tcW w:w="795" w:type="dxa"/>
            <w:tcBorders>
              <w:top w:val="single" w:color="000000" w:sz="8" w:space="0"/>
              <w:left w:val="single" w:color="000000" w:sz="8" w:space="0"/>
              <w:bottom w:val="nil"/>
              <w:right w:val="nil"/>
            </w:tcBorders>
            <w:shd w:val="clear" w:color="auto" w:fill="auto"/>
            <w:vAlign w:val="center"/>
          </w:tcPr>
          <w:p w14:paraId="10FDDF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907" w:type="dxa"/>
            <w:tcBorders>
              <w:top w:val="single" w:color="000000" w:sz="8" w:space="0"/>
              <w:left w:val="single" w:color="000000" w:sz="8" w:space="0"/>
              <w:bottom w:val="nil"/>
              <w:right w:val="nil"/>
            </w:tcBorders>
            <w:shd w:val="clear" w:color="auto" w:fill="auto"/>
            <w:vAlign w:val="center"/>
          </w:tcPr>
          <w:p w14:paraId="0D570F17">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25000</w:t>
            </w:r>
          </w:p>
        </w:tc>
        <w:tc>
          <w:tcPr>
            <w:tcW w:w="975" w:type="dxa"/>
            <w:tcBorders>
              <w:top w:val="single" w:color="000000" w:sz="8" w:space="0"/>
              <w:left w:val="single" w:color="000000" w:sz="8" w:space="0"/>
              <w:bottom w:val="nil"/>
              <w:right w:val="single" w:color="000000" w:sz="8" w:space="0"/>
            </w:tcBorders>
            <w:shd w:val="clear" w:color="auto" w:fill="auto"/>
            <w:vAlign w:val="center"/>
          </w:tcPr>
          <w:p w14:paraId="3A0690D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25000</w:t>
            </w:r>
          </w:p>
        </w:tc>
      </w:tr>
      <w:tr w14:paraId="35C35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477" w:type="dxa"/>
            <w:gridSpan w:val="4"/>
            <w:tcBorders>
              <w:top w:val="single" w:color="000000" w:sz="8" w:space="0"/>
              <w:left w:val="single" w:color="000000" w:sz="8" w:space="0"/>
              <w:bottom w:val="nil"/>
              <w:right w:val="nil"/>
            </w:tcBorders>
            <w:shd w:val="clear" w:color="auto" w:fill="auto"/>
            <w:vAlign w:val="center"/>
          </w:tcPr>
          <w:p w14:paraId="4480EDA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项目含税包干总价（小写）：</w:t>
            </w:r>
          </w:p>
        </w:tc>
        <w:tc>
          <w:tcPr>
            <w:tcW w:w="2677" w:type="dxa"/>
            <w:gridSpan w:val="3"/>
            <w:tcBorders>
              <w:top w:val="single" w:color="000000" w:sz="8" w:space="0"/>
              <w:left w:val="single" w:color="000000" w:sz="8" w:space="0"/>
              <w:bottom w:val="nil"/>
              <w:right w:val="single" w:color="000000" w:sz="8" w:space="0"/>
            </w:tcBorders>
            <w:shd w:val="clear" w:color="auto" w:fill="auto"/>
            <w:vAlign w:val="center"/>
          </w:tcPr>
          <w:p w14:paraId="0BC09A3A">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389000</w:t>
            </w:r>
          </w:p>
        </w:tc>
      </w:tr>
      <w:tr w14:paraId="52652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5477" w:type="dxa"/>
            <w:gridSpan w:val="4"/>
            <w:tcBorders>
              <w:top w:val="single" w:color="000000" w:sz="8" w:space="0"/>
              <w:left w:val="single" w:color="000000" w:sz="8" w:space="0"/>
              <w:bottom w:val="single" w:color="000000" w:sz="8" w:space="0"/>
              <w:right w:val="nil"/>
            </w:tcBorders>
            <w:shd w:val="clear" w:color="auto" w:fill="auto"/>
            <w:vAlign w:val="center"/>
          </w:tcPr>
          <w:p w14:paraId="1F25919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项目含税包干总价（大写）：</w:t>
            </w:r>
            <w:r>
              <w:rPr>
                <w:rStyle w:val="4"/>
                <w:lang w:val="en-US" w:eastAsia="zh-CN" w:bidi="ar"/>
              </w:rPr>
              <w:t xml:space="preserve"> </w:t>
            </w:r>
          </w:p>
        </w:tc>
        <w:tc>
          <w:tcPr>
            <w:tcW w:w="2677" w:type="dxa"/>
            <w:gridSpan w:val="3"/>
            <w:tcBorders>
              <w:top w:val="single" w:color="000000" w:sz="8" w:space="0"/>
              <w:left w:val="single" w:color="000000" w:sz="8" w:space="0"/>
              <w:bottom w:val="single" w:color="000000" w:sz="8" w:space="0"/>
              <w:right w:val="single" w:color="000000" w:sz="8" w:space="0"/>
            </w:tcBorders>
            <w:shd w:val="clear" w:color="auto" w:fill="auto"/>
            <w:noWrap/>
            <w:vAlign w:val="center"/>
          </w:tcPr>
          <w:p w14:paraId="540BA4B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叁拾捌万玖仟元</w:t>
            </w:r>
          </w:p>
        </w:tc>
      </w:tr>
    </w:tbl>
    <w:p w14:paraId="5F8BF09E">
      <w:pPr>
        <w:spacing w:before="120" w:after="120" w:line="288" w:lineRule="auto"/>
        <w:jc w:val="left"/>
        <w:rPr>
          <w:rFonts w:hint="eastAsia" w:asciiTheme="majorEastAsia" w:hAnsiTheme="majorEastAsia" w:eastAsiaTheme="majorEastAsia" w:cstheme="majorEastAsia"/>
          <w:sz w:val="22"/>
        </w:rPr>
      </w:pPr>
    </w:p>
    <w:p w14:paraId="623667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报价说明：</w:t>
      </w:r>
    </w:p>
    <w:p w14:paraId="1FA45B4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1、本报价严格遵循政务“一平台一系统”集约建设要求，不包含大数据平台已有底座、存储备份、通用对接、通用权限等重复建设内容，仅为本蜜桔专项子系统建设费用。</w:t>
      </w:r>
    </w:p>
    <w:p w14:paraId="5ECBB5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2、项目充分利旧现有物联网、气象监测硬件及上级大数据平台资源，无新增硬件采购费用。</w:t>
      </w:r>
    </w:p>
    <w:p w14:paraId="48B46FB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3、包含平台应用集成、双向数据共享对接、大屏定制、AI模型研发、全功能开发、部署、培训、一年运维所有费用，无后期增量费用。</w:t>
      </w:r>
    </w:p>
    <w:p w14:paraId="77C4162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4、本系统所有定制开发成果、模型算法、数据库归甲方所有。</w:t>
      </w:r>
    </w:p>
    <w:p w14:paraId="39C8EC11">
      <w:pPr>
        <w:spacing w:before="380" w:after="140" w:line="288" w:lineRule="auto"/>
        <w:ind w:left="0"/>
        <w:jc w:val="left"/>
        <w:outlineLvl w:val="0"/>
        <w:rPr>
          <w:rFonts w:hint="eastAsia" w:asciiTheme="majorEastAsia" w:hAnsiTheme="majorEastAsia" w:eastAsiaTheme="majorEastAsia" w:cstheme="majorEastAsia"/>
          <w:sz w:val="32"/>
          <w:szCs w:val="32"/>
        </w:rPr>
      </w:pPr>
      <w:bookmarkStart w:id="23" w:name="heading_23"/>
      <w:r>
        <w:rPr>
          <w:rFonts w:hint="eastAsia" w:asciiTheme="majorEastAsia" w:hAnsiTheme="majorEastAsia" w:eastAsiaTheme="majorEastAsia" w:cstheme="majorEastAsia"/>
          <w:b/>
          <w:sz w:val="32"/>
          <w:szCs w:val="32"/>
        </w:rPr>
        <w:t>十一、项目实施</w:t>
      </w:r>
      <w:bookmarkEnd w:id="23"/>
    </w:p>
    <w:p w14:paraId="7878505D">
      <w:pPr>
        <w:spacing w:before="120" w:after="120" w:line="288" w:lineRule="auto"/>
        <w:ind w:left="0" w:firstLine="440" w:firstLineChars="20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为保障项目高效、有序、保质落地，制定分阶段、标准化项目实施流程，明确各阶段工作内容、责任人、时间节点，具体实施流程如下：</w:t>
      </w:r>
    </w:p>
    <w:p w14:paraId="623FEB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1、项目启动阶段（1-10日）：完成项目合同签订、团队组建、现场调研、需求细化确认、方案定稿，明确项目建设标准、功能指标、交付要求，对接甲方完成资源协调。</w:t>
      </w:r>
    </w:p>
    <w:p w14:paraId="181F118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数据筹备阶段（11-30日）：依托上级产业大数据平台现有数据资源规范，完成平台双向数据共享接口调试、多源数据适配对接，完成病虫害专属数据库搭建、数据梳理录入与标准化适配，保障模型运算、大屏展示、小程序服务的数据合规、有效。</w:t>
      </w:r>
    </w:p>
    <w:p w14:paraId="15BBFA0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3、系统开发阶段（31-70日）：开展蜜桔生长模型、病虫害防控模型</w:t>
      </w:r>
      <w:r>
        <w:rPr>
          <w:rFonts w:hint="eastAsia" w:asciiTheme="majorEastAsia" w:hAnsiTheme="majorEastAsia" w:eastAsiaTheme="majorEastAsia" w:cstheme="majorEastAsia"/>
          <w:sz w:val="22"/>
          <w:lang w:val="en-US" w:eastAsia="zh-CN"/>
        </w:rPr>
        <w:t>开发</w:t>
      </w:r>
      <w:r>
        <w:rPr>
          <w:rFonts w:hint="eastAsia" w:asciiTheme="majorEastAsia" w:hAnsiTheme="majorEastAsia" w:eastAsiaTheme="majorEastAsia" w:cstheme="majorEastAsia"/>
          <w:sz w:val="22"/>
        </w:rPr>
        <w:t>，完成模型后台管理系统、数据大屏、微信小程序定制开发，完成子系统内部联调及与上级大数据平台的应用级集成、数据互通调试。</w:t>
      </w:r>
    </w:p>
    <w:p w14:paraId="52A53CC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4、测试优化阶段（71-85日）：开展全维度系统测试，根据测试结果优化模型参数、修复系统漏洞、完善功能细节，完成系统试运行，同步编制培训资料、操作手册。</w:t>
      </w:r>
    </w:p>
    <w:p w14:paraId="6964409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5、培训交付阶段（86-90日）：开展分层专项培训，完成全套项目成果交付（系统软件、文档资料、数据库等），配合甲方完成项目验收，正式上线投入使用。</w:t>
      </w:r>
    </w:p>
    <w:p w14:paraId="70C4EE7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6、运维质保阶段（验收合格后1年）：进入常态化运维阶段，持续开展系统运维、模型优化、故障处置等服务，保障系统长期稳定赋能南丰蜜桔种植产业发展。</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141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981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2181C"/>
    <w:rsid w:val="002B247F"/>
    <w:rsid w:val="00CA7EEA"/>
    <w:rsid w:val="014F03EF"/>
    <w:rsid w:val="031644C8"/>
    <w:rsid w:val="045824B9"/>
    <w:rsid w:val="047C599F"/>
    <w:rsid w:val="04BF588C"/>
    <w:rsid w:val="04CC51AD"/>
    <w:rsid w:val="04F217BD"/>
    <w:rsid w:val="06622973"/>
    <w:rsid w:val="071C358B"/>
    <w:rsid w:val="075765C1"/>
    <w:rsid w:val="09050131"/>
    <w:rsid w:val="0CD64646"/>
    <w:rsid w:val="0D7731A8"/>
    <w:rsid w:val="0E43752E"/>
    <w:rsid w:val="0E7E2314"/>
    <w:rsid w:val="0EA77ABC"/>
    <w:rsid w:val="0F205179"/>
    <w:rsid w:val="1081433D"/>
    <w:rsid w:val="10E82B08"/>
    <w:rsid w:val="119D51A7"/>
    <w:rsid w:val="14235B4B"/>
    <w:rsid w:val="15610299"/>
    <w:rsid w:val="15A026A2"/>
    <w:rsid w:val="16414353"/>
    <w:rsid w:val="168603B4"/>
    <w:rsid w:val="170C29FE"/>
    <w:rsid w:val="19C42002"/>
    <w:rsid w:val="1AF37BE5"/>
    <w:rsid w:val="1DAD49C3"/>
    <w:rsid w:val="1E967206"/>
    <w:rsid w:val="20BD4F1E"/>
    <w:rsid w:val="215A5020"/>
    <w:rsid w:val="220712FD"/>
    <w:rsid w:val="2297721A"/>
    <w:rsid w:val="23897339"/>
    <w:rsid w:val="2398573D"/>
    <w:rsid w:val="240D1D18"/>
    <w:rsid w:val="244F0582"/>
    <w:rsid w:val="254A4E96"/>
    <w:rsid w:val="25BA7ED1"/>
    <w:rsid w:val="261E1534"/>
    <w:rsid w:val="26467763"/>
    <w:rsid w:val="28BE7A85"/>
    <w:rsid w:val="2A261D85"/>
    <w:rsid w:val="2A492C8F"/>
    <w:rsid w:val="2BC76C50"/>
    <w:rsid w:val="2BD010D7"/>
    <w:rsid w:val="2D0668E8"/>
    <w:rsid w:val="2D095047"/>
    <w:rsid w:val="2DFA5B45"/>
    <w:rsid w:val="301D32E3"/>
    <w:rsid w:val="318667A4"/>
    <w:rsid w:val="31C0486E"/>
    <w:rsid w:val="32132BEF"/>
    <w:rsid w:val="32B53CA7"/>
    <w:rsid w:val="33516125"/>
    <w:rsid w:val="34076784"/>
    <w:rsid w:val="3413651C"/>
    <w:rsid w:val="367B0D63"/>
    <w:rsid w:val="36EC3294"/>
    <w:rsid w:val="38AD5420"/>
    <w:rsid w:val="39D76BF8"/>
    <w:rsid w:val="39DF5AAD"/>
    <w:rsid w:val="3A922B1F"/>
    <w:rsid w:val="3AAB598F"/>
    <w:rsid w:val="3B3F2CA7"/>
    <w:rsid w:val="3B9A0687"/>
    <w:rsid w:val="3C81109D"/>
    <w:rsid w:val="3CD411CD"/>
    <w:rsid w:val="3D907D2A"/>
    <w:rsid w:val="3E135D25"/>
    <w:rsid w:val="402C1320"/>
    <w:rsid w:val="449A71A0"/>
    <w:rsid w:val="44B55D88"/>
    <w:rsid w:val="45611A6C"/>
    <w:rsid w:val="458539AC"/>
    <w:rsid w:val="45C53DA9"/>
    <w:rsid w:val="469B2D5C"/>
    <w:rsid w:val="46F34946"/>
    <w:rsid w:val="483E7E42"/>
    <w:rsid w:val="48F75AD9"/>
    <w:rsid w:val="49C46C7E"/>
    <w:rsid w:val="4BAC5392"/>
    <w:rsid w:val="4BB60FBC"/>
    <w:rsid w:val="4DB82445"/>
    <w:rsid w:val="4FEC30AA"/>
    <w:rsid w:val="50BA42F9"/>
    <w:rsid w:val="50D17AA6"/>
    <w:rsid w:val="50E1107E"/>
    <w:rsid w:val="51870AAC"/>
    <w:rsid w:val="52986C99"/>
    <w:rsid w:val="52CC6CAC"/>
    <w:rsid w:val="53341182"/>
    <w:rsid w:val="55E12BE9"/>
    <w:rsid w:val="56924EC0"/>
    <w:rsid w:val="570A3D11"/>
    <w:rsid w:val="57435475"/>
    <w:rsid w:val="578C0BCA"/>
    <w:rsid w:val="57A71560"/>
    <w:rsid w:val="57CA34A1"/>
    <w:rsid w:val="57CB67BB"/>
    <w:rsid w:val="58BF0B2C"/>
    <w:rsid w:val="59486D73"/>
    <w:rsid w:val="598D6817"/>
    <w:rsid w:val="59C81C62"/>
    <w:rsid w:val="5A0E58C7"/>
    <w:rsid w:val="5ABC17C7"/>
    <w:rsid w:val="5B765C1B"/>
    <w:rsid w:val="5C07081F"/>
    <w:rsid w:val="5EDA0E70"/>
    <w:rsid w:val="5FC86518"/>
    <w:rsid w:val="60363DC9"/>
    <w:rsid w:val="60E02F3A"/>
    <w:rsid w:val="62157A0E"/>
    <w:rsid w:val="626401FA"/>
    <w:rsid w:val="629B43B7"/>
    <w:rsid w:val="62F12229"/>
    <w:rsid w:val="653E102A"/>
    <w:rsid w:val="66B912B0"/>
    <w:rsid w:val="66F522D0"/>
    <w:rsid w:val="6AE54988"/>
    <w:rsid w:val="6BA7779F"/>
    <w:rsid w:val="6C7451E8"/>
    <w:rsid w:val="6D8C327A"/>
    <w:rsid w:val="6E0E3640"/>
    <w:rsid w:val="6F6B71EC"/>
    <w:rsid w:val="6FFB6495"/>
    <w:rsid w:val="701D28B0"/>
    <w:rsid w:val="70FF1FB5"/>
    <w:rsid w:val="712A5284"/>
    <w:rsid w:val="7242215A"/>
    <w:rsid w:val="73B057E9"/>
    <w:rsid w:val="751678CE"/>
    <w:rsid w:val="757A1C0A"/>
    <w:rsid w:val="76276370"/>
    <w:rsid w:val="765C07A3"/>
    <w:rsid w:val="76EA6B86"/>
    <w:rsid w:val="76F8372F"/>
    <w:rsid w:val="78EC72C3"/>
    <w:rsid w:val="7AB066E9"/>
    <w:rsid w:val="7B9A4DB4"/>
    <w:rsid w:val="7C7E4ECE"/>
    <w:rsid w:val="7EB663A9"/>
    <w:rsid w:val="7F2F1CB8"/>
    <w:rsid w:val="7FB87EFF"/>
    <w:rsid w:val="7FD50A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01"/>
    <w:basedOn w:val="3"/>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7953</Words>
  <Characters>8112</Characters>
  <TotalTime>2</TotalTime>
  <ScaleCrop>false</ScaleCrop>
  <LinksUpToDate>false</LinksUpToDate>
  <CharactersWithSpaces>8113</CharactersWithSpaces>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2026-07-22T08:45:00Z</dcterms:created>
  <dc:creator>Apache POI</dc:creator>
  <cp:lastModifiedBy>刘友宝</cp:lastModifiedBy>
  <dcterms:modified xsi:type="dcterms:W3CDTF">2026-07-22T09:57:41Z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{"Label":"1","ContentProducer":"001191110102MACQD9K64010000","ProduceID":"7665270850392018203","ReservedCode1":"","ContentPropagator":"","PropagateID":"","ReservedCode2":""}</vt:lpwstr>
  </property>
  <property fmtid="{D5CDD505-2E9C-101B-9397-08002B2CF9AE}" pid="3" name="KSOTemplateDocerSaveRecord">
    <vt:lpwstr>eyJoZGlkIjoiZWZhMTdkYjEwNzZkNWY5OWRhZDNlY2EwYzgwNGEwNTMiLCJ1c2VySWQiOiIyNjEwMTA1MzQifQ==</vt:lpwstr>
  </property>
  <property fmtid="{D5CDD505-2E9C-101B-9397-08002B2CF9AE}" pid="4" name="KSOProductBuildVer">
    <vt:lpwstr>2052-12.1.0.26884</vt:lpwstr>
  </property>
  <property fmtid="{D5CDD505-2E9C-101B-9397-08002B2CF9AE}" pid="5" name="ICV">
    <vt:lpwstr>C1261B440BB74116AB73E1BD49A0F448_13</vt:lpwstr>
  </property>
</Properties>
</file>