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widowControl w:val="0"/>
        <w:ind w:firstLine="540" w:left="0"/>
        <w:jc w:val="both"/>
      </w:pPr>
    </w:p>
    <w:p>
      <w:pPr>
        <w:widowControl w:val="0"/>
        <w:jc w:val="center"/>
        <w:rPr>
          <w:rFonts w:ascii="Times New Roman" w:hAnsi="Times New Roman"/>
        </w:rPr>
      </w:pPr>
      <w:r>
        <w:t>АКТ №</w:t>
      </w:r>
      <w:r>
        <w:rPr>
          <w:rStyle w:val="C3"/>
        </w:rPr>
        <w:t xml:space="preserve"> {{</w:t>
      </w:r>
      <w:r>
        <w:rPr>
          <w:rStyle w:val="C3"/>
          <w:rFonts w:ascii="Times New Roman" w:hAnsi="Times New Roman"/>
        </w:rPr>
        <w:t>act_and_account_number</w:t>
      </w:r>
    </w:p>
    <w:p>
      <w:pPr>
        <w:widowControl w:val="0"/>
        <w:jc w:val="center"/>
        <w:rPr>
          <w:rFonts w:ascii="Times New Roman" w:hAnsi="Times New Roman"/>
        </w:rPr>
      </w:pPr>
      <w:r>
        <w:rPr>
          <w:rStyle w:val="C3"/>
          <w:rFonts w:ascii="Times New Roman" w:hAnsi="Times New Roman"/>
        </w:rPr>
        <w:t>}} от {{ last_date }}</w:t>
      </w:r>
    </w:p>
    <w:p>
      <w:pPr>
        <w:widowControl w:val="0"/>
        <w:jc w:val="center"/>
      </w:pPr>
      <w:r>
        <w:t>сдачи-приемки работ</w:t>
      </w:r>
    </w:p>
    <w:p>
      <w:pPr>
        <w:widowControl w:val="0"/>
        <w:ind w:firstLine="540" w:left="0"/>
        <w:jc w:val="both"/>
      </w:pPr>
    </w:p>
    <w:p>
      <w:pPr>
        <w:widowControl w:val="0"/>
        <w:jc w:val="both"/>
      </w:pPr>
      <w:r>
        <w:t xml:space="preserve">Заказчик: </w:t>
      </w:r>
      <w:r>
        <w:rPr>
          <w:rFonts w:ascii="Times New Roman" w:hAnsi="Times New Roman"/>
          <w:b w:val="1"/>
        </w:rPr>
        <w:t>{{customer.short_name}}</w:t>
      </w:r>
    </w:p>
    <w:tbl>
      <w:tblPr>
        <w:tblW w:w="0" w:type="auto"/>
        <w:tblInd w:w="-115" w:type="dxa"/>
        <w:tblBorders>
          <w:top w:val="single" w:sz="4" w:space="0" w:shadow="0" w:frame="0" w:color="000000"/>
          <w:left w:val="single" w:sz="4" w:space="0" w:shadow="0" w:frame="0" w:color="000000"/>
          <w:bottom w:val="single" w:sz="4" w:space="0" w:shadow="0" w:frame="0" w:color="000000"/>
          <w:right w:val="single" w:sz="4" w:space="0" w:shadow="0" w:frame="0" w:color="000000"/>
          <w:insideH w:val="single" w:sz="4" w:space="0" w:shadow="0" w:frame="0" w:color="000000"/>
          <w:insideV w:val="single" w:sz="4" w:space="0" w:shadow="0" w:frame="0" w:color="000000"/>
        </w:tblBorders>
        <w:tblLayout w:type="fixed"/>
      </w:tblPr>
      <w:tblGrid>
        <w:gridCol w:w="808"/>
        <w:gridCol w:w="3086"/>
        <w:gridCol w:w="1436"/>
        <w:gridCol w:w="1229"/>
        <w:gridCol w:w="1183"/>
        <w:gridCol w:w="1728"/>
      </w:tblGrid>
      <w:tr>
        <w:trPr>
          <w:trHeight w:hRule="atLeast" w:val="540"/>
        </w:trPr>
        <w:tc>
          <w:tcPr>
            <w:tcW w:w="80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№п/п</w:t>
            </w:r>
          </w:p>
        </w:tc>
        <w:tc>
          <w:tcPr>
            <w:tcW w:w="308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  <w:b w:val="1"/>
              </w:rPr>
              <w:t>Наименование услуги</w:t>
            </w:r>
          </w:p>
        </w:tc>
        <w:tc>
          <w:tcPr>
            <w:tcW w:w="14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  <w:b w:val="1"/>
              </w:rPr>
              <w:t>Ед. измерения</w:t>
            </w:r>
          </w:p>
        </w:tc>
        <w:tc>
          <w:tcPr>
            <w:tcW w:w="122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  <w:b w:val="1"/>
              </w:rPr>
              <w:t>Кол-во зрителей</w:t>
            </w:r>
          </w:p>
        </w:tc>
        <w:tc>
          <w:tcPr>
            <w:tcW w:w="118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  <w:b w:val="1"/>
              </w:rPr>
              <w:t>Цена, руб.</w:t>
            </w:r>
          </w:p>
        </w:tc>
        <w:tc>
          <w:tcPr>
            <w:tcW w:w="172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  <w:b w:val="1"/>
              </w:rPr>
              <w:t>Стоимость услуг, руб.</w:t>
            </w:r>
          </w:p>
        </w:tc>
      </w:tr>
      <w:tr>
        <w:tc>
          <w:tcPr>
            <w:tcW w:w="9470" w:type="dxa"/>
            <w:gridSpan w:val="6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{% for row in services_table %}</w:t>
            </w:r>
          </w:p>
        </w:tc>
      </w:tr>
      <w:tr>
        <w:tc>
          <w:tcPr>
            <w:tcW w:w="80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{{row.num}}</w:t>
            </w:r>
          </w:p>
        </w:tc>
        <w:tc>
          <w:tcPr>
            <w:tcW w:w="308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{{row.service_name}}</w:t>
            </w:r>
          </w:p>
        </w:tc>
        <w:tc>
          <w:tcPr>
            <w:tcW w:w="143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</w:pPr>
            <w:r>
              <w:rPr>
                <w:rFonts w:ascii="Times New Roman" w:hAnsi="Times New Roman"/>
              </w:rPr>
              <w:t>Чел.</w:t>
            </w:r>
          </w:p>
        </w:tc>
        <w:tc>
          <w:tcPr>
            <w:tcW w:w="1229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{{row.viewers}} чел.</w:t>
            </w:r>
          </w:p>
        </w:tc>
        <w:tc>
          <w:tcPr>
            <w:tcW w:w="1183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{{row.price}}</w:t>
            </w:r>
          </w:p>
        </w:tc>
        <w:tc>
          <w:tcPr>
            <w:tcW w:w="172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{{row.total}}</w:t>
            </w:r>
            <w:r>
              <w:rPr>
                <w:rFonts w:ascii="Times New Roman" w:hAnsi="Times New Roman"/>
              </w:rPr>
              <w:br w:type="textWrapping"/>
            </w:r>
            <w:r>
              <w:rPr>
                <w:rFonts w:ascii="Times New Roman" w:hAnsi="Times New Roman"/>
              </w:rPr>
              <w:t>{% endfor %}</w:t>
            </w:r>
          </w:p>
        </w:tc>
      </w:tr>
      <w:tr>
        <w:tc>
          <w:tcPr>
            <w:tcW w:w="80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Calibri" w:hAnsi="Calibri"/>
              </w:rPr>
            </w:pPr>
          </w:p>
        </w:tc>
        <w:tc>
          <w:tcPr>
            <w:tcW w:w="3086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</w:tcPr>
          <w:p>
            <w:pPr>
              <w:spacing w:lineRule="auto" w:line="276" w:after="200" w:beforeAutospacing="0" w:afterAutospacing="0"/>
            </w:pPr>
            <w:r>
              <w:rPr>
                <w:rFonts w:ascii="Times New Roman" w:hAnsi="Times New Roman"/>
                <w:b w:val="1"/>
              </w:rPr>
              <w:t>Итого:</w:t>
            </w:r>
          </w:p>
        </w:tc>
        <w:tc>
          <w:tcPr>
            <w:tcW w:w="3848" w:type="dxa"/>
            <w:gridSpan w:val="3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Calibri" w:hAnsi="Calibri"/>
              </w:rPr>
            </w:pPr>
          </w:p>
        </w:tc>
        <w:tc>
          <w:tcPr>
            <w:tcW w:w="1728" w:type="dxa"/>
            <w:tcBorders>
              <w:top w:val="single" w:sz="4" w:space="0" w:shadow="0" w:frame="0" w:color="000000"/>
              <w:left w:val="single" w:sz="4" w:space="0" w:shadow="0" w:frame="0" w:color="000000"/>
              <w:bottom w:val="single" w:sz="4" w:space="0" w:shadow="0" w:frame="0" w:color="000000"/>
              <w:right w:val="single" w:sz="4" w:space="0" w:shadow="0" w:frame="0" w:color="000000"/>
            </w:tcBorders>
            <w:shd w:val="clear" w:color="auto" w:fill="FFFFFF"/>
            <w:tcMar>
              <w:top w:w="0" w:type="dxa"/>
              <w:left w:w="114" w:type="dxa"/>
              <w:bottom w:w="0" w:type="dxa"/>
              <w:right w:w="114" w:type="dxa"/>
            </w:tcMar>
            <w:vAlign w:val="center"/>
          </w:tcPr>
          <w:p>
            <w:pPr>
              <w:spacing w:lineRule="auto" w:line="276" w:after="200" w:beforeAutospacing="0" w:afterAutospacing="0"/>
              <w:jc w:val="center"/>
              <w:rPr>
                <w:rFonts w:ascii="Times New Roman" w:hAnsi="Times New Roman"/>
                <w:b w:val="1"/>
              </w:rPr>
            </w:pPr>
            <w:r>
              <w:rPr>
                <w:rFonts w:ascii="Times New Roman" w:hAnsi="Times New Roman"/>
                <w:b w:val="1"/>
              </w:rPr>
              <w:t>{{services_table_total}}</w:t>
            </w:r>
          </w:p>
        </w:tc>
      </w:tr>
    </w:tbl>
    <w:p>
      <w:pPr>
        <w:widowControl w:val="0"/>
        <w:jc w:val="both"/>
      </w:pPr>
    </w:p>
    <w:p>
      <w:pPr>
        <w:widowControl w:val="0"/>
        <w:jc w:val="both"/>
      </w:pPr>
      <w:r>
        <w:t xml:space="preserve">Всего оказано услуг на сумму: </w:t>
      </w:r>
      <w:r>
        <w:rPr>
          <w:rStyle w:val="C3"/>
          <w:rFonts w:ascii="Times New Roman" w:hAnsi="Times New Roman"/>
          <w:i w:val="1"/>
        </w:rPr>
        <w:t>{{price_in_words}}</w:t>
      </w:r>
      <w:r>
        <w:t xml:space="preserve">. </w:t>
      </w:r>
    </w:p>
    <w:p>
      <w:pPr>
        <w:widowControl w:val="0"/>
        <w:jc w:val="both"/>
      </w:pPr>
    </w:p>
    <w:p>
      <w:pPr>
        <w:widowControl w:val="0"/>
        <w:jc w:val="both"/>
      </w:pPr>
      <w:r>
        <w:t>Указанная услуга выполнена полностью и в срок. Заказчик претензий по объему, качеству и срокам оказания услуг не имеет.</w:t>
      </w:r>
    </w:p>
    <w:p>
      <w:pPr>
        <w:widowControl w:val="0"/>
        <w:jc w:val="both"/>
      </w:pPr>
    </w:p>
    <w:p>
      <w:pPr>
        <w:widowControl w:val="0"/>
        <w:jc w:val="both"/>
      </w:pPr>
    </w:p>
    <w:p>
      <w:pPr>
        <w:widowControl w:val="0"/>
        <w:jc w:val="both"/>
      </w:pPr>
    </w:p>
    <w:p>
      <w:pPr>
        <w:spacing w:lineRule="auto" w:line="276" w:after="200" w:beforeAutospacing="0" w:afterAutospacing="0"/>
        <w:rPr>
          <w:rFonts w:ascii="Times New Roman" w:hAnsi="Times New Roman"/>
          <w:color w:val="000000"/>
        </w:rPr>
      </w:pPr>
      <w:r>
        <w:rPr>
          <w:rStyle w:val="C3"/>
          <w:rFonts w:ascii="Times New Roman" w:hAnsi="Times New Roman"/>
          <w:color w:val="000000"/>
        </w:rPr>
        <w:t xml:space="preserve">Директор                                                                    {{ doer.function }}</w:t>
      </w:r>
    </w:p>
    <w:p>
      <w:pPr>
        <w:spacing w:lineRule="auto" w:line="276" w:after="200" w:beforeAutospacing="0" w:afterAutospacing="0"/>
        <w:rPr>
          <w:rFonts w:ascii="Times New Roman" w:hAnsi="Times New Roman"/>
          <w:color w:val="000000"/>
        </w:rPr>
      </w:pPr>
      <w:r>
        <w:rPr>
          <w:rStyle w:val="C3"/>
          <w:rFonts w:ascii="Times New Roman" w:hAnsi="Times New Roman"/>
          <w:color w:val="000000"/>
        </w:rPr>
        <w:t xml:space="preserve">__________________ /{{customer.fio}}/            </w:t>
      </w:r>
      <w:r>
        <w:rPr>
          <w:rStyle w:val="C3"/>
          <w:rFonts w:ascii="Times New Roman" w:hAnsi="Times New Roman"/>
          <w:color w:val="000000"/>
        </w:rPr>
        <w:t xml:space="preserve">  __________________ /{{doer.fio}}/</w:t>
      </w:r>
    </w:p>
    <w:p>
      <w:pPr>
        <w:spacing w:lineRule="auto" w:line="360" w:after="200" w:beforeAutospacing="0" w:afterAutospacing="0"/>
        <w:ind w:firstLine="284" w:left="0"/>
        <w:jc w:val="center"/>
        <w:rPr>
          <w:rFonts w:ascii="Times New Roman" w:hAnsi="Times New Roman"/>
          <w:b w:val="1"/>
        </w:rPr>
      </w:pPr>
      <w:r>
        <w:rPr>
          <w:rStyle w:val="C3"/>
          <w:rFonts w:ascii="Times New Roman" w:hAnsi="Times New Roman"/>
          <w:color w:val="000000"/>
        </w:rPr>
        <w:t xml:space="preserve">М.П.                                                                             М.П.  </w:t>
      </w:r>
    </w:p>
    <w:p>
      <w:pPr>
        <w:widowControl w:val="0"/>
        <w:jc w:val="both"/>
      </w:pPr>
    </w:p>
    <w:p>
      <w:pPr>
        <w:widowControl w:val="0"/>
        <w:ind w:firstLine="540" w:left="0"/>
        <w:jc w:val="both"/>
      </w:pPr>
    </w:p>
    <w:sectPr>
      <w:type w:val="nextPage"/>
      <w:pgSz w:w="11906" w:h="16838" w:code="0"/>
      <w:pgMar w:left="1701" w:right="850" w:top="1134" w:bottom="1134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08"/>
  <w:autoHyphenation w:val="0"/>
  <w:evenAndOddHeaders w:val="0"/>
  <w:characterSpacingControl w:val="doNotCompress"/>
  <w:compat>
    <w:compatSetting w:name="compatibilityMode" w:uri="http://schemas.microsoft.com/office/word" w:val="15"/>
  </w:compat>
  <m:mathPr xmlns:m="http://schemas.openxmlformats.org/officeDocument/2006/math">
    <m:brkBin m:val="before"/>
    <m:brkBinSub m:val="--"/>
    <m:defJc m:val="centerGroup"/>
    <m:interSp m:val="0"/>
    <m:intLim m:val="undOvr"/>
    <m:intraSp m:val="0"/>
    <m:lMargin m:val="0"/>
    <m:mathFont m:val="Cambria Math"/>
    <m:naryLim m:val="undOvr"/>
    <m:postSp m:val="0"/>
    <m:preSp m:val="0"/>
    <m:rMargin m:val="0"/>
    <m:wrapIndent m:val="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 w:eastAsia="Times New Roman"/>
        <w:color w:val="000000"/>
        <w:sz w:val="20"/>
        <w:szCs w:val="22"/>
        <w:spacing w:val="0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link w:val="C3"/>
    <w:qFormat/>
    <w:pPr/>
    <w:rPr>
      <w:sz w:val="24"/>
    </w:rPr>
  </w:style>
  <w:style w:type="paragraph" w:styleId="P1">
    <w:name w:val="TOC 2"/>
    <w:next w:val="P0"/>
    <w:link w:val="C4"/>
    <w:pPr>
      <w:ind w:firstLine="0" w:left="200"/>
      <w:jc w:val="left"/>
    </w:pPr>
    <w:rPr>
      <w:rFonts w:ascii="XO Thames" w:hAnsi="XO Thames"/>
      <w:sz w:val="28"/>
    </w:rPr>
  </w:style>
  <w:style w:type="paragraph" w:styleId="P2">
    <w:name w:val="TOC 4"/>
    <w:next w:val="P0"/>
    <w:link w:val="C5"/>
    <w:pPr>
      <w:ind w:firstLine="0" w:left="600"/>
      <w:jc w:val="left"/>
    </w:pPr>
    <w:rPr>
      <w:rFonts w:ascii="XO Thames" w:hAnsi="XO Thames"/>
      <w:sz w:val="28"/>
    </w:rPr>
  </w:style>
  <w:style w:type="paragraph" w:styleId="P3">
    <w:name w:val="TOC 6"/>
    <w:next w:val="P0"/>
    <w:link w:val="C6"/>
    <w:pPr>
      <w:ind w:firstLine="0" w:left="1000"/>
      <w:jc w:val="left"/>
    </w:pPr>
    <w:rPr>
      <w:rFonts w:ascii="XO Thames" w:hAnsi="XO Thames"/>
      <w:sz w:val="28"/>
    </w:rPr>
  </w:style>
  <w:style w:type="paragraph" w:styleId="P4">
    <w:name w:val="TOC 7"/>
    <w:next w:val="P0"/>
    <w:link w:val="C7"/>
    <w:pPr>
      <w:ind w:firstLine="0" w:left="1200"/>
      <w:jc w:val="left"/>
    </w:pPr>
    <w:rPr>
      <w:rFonts w:ascii="XO Thames" w:hAnsi="XO Thames"/>
      <w:sz w:val="28"/>
    </w:rPr>
  </w:style>
  <w:style w:type="paragraph" w:styleId="P5">
    <w:name w:val="Endnote"/>
    <w:link w:val="C8"/>
    <w:pPr>
      <w:ind w:firstLine="851" w:left="0"/>
      <w:jc w:val="both"/>
    </w:pPr>
    <w:rPr>
      <w:rFonts w:ascii="XO Thames" w:hAnsi="XO Thames"/>
      <w:sz w:val="22"/>
    </w:rPr>
  </w:style>
  <w:style w:type="paragraph" w:styleId="P6">
    <w:name w:val="Heading 3"/>
    <w:next w:val="P0"/>
    <w:link w:val="C9"/>
    <w:qFormat/>
    <w:pPr>
      <w:spacing w:before="120" w:after="120" w:beforeAutospacing="0" w:afterAutospacing="0"/>
      <w:jc w:val="both"/>
      <w:outlineLvl w:val="2"/>
    </w:pPr>
    <w:rPr>
      <w:rFonts w:ascii="XO Thames" w:hAnsi="XO Thames"/>
      <w:b w:val="1"/>
      <w:sz w:val="26"/>
    </w:rPr>
  </w:style>
  <w:style w:type="paragraph" w:styleId="P7">
    <w:name w:val="ConsPlusNonformat"/>
    <w:link w:val="C10"/>
    <w:pPr>
      <w:widowControl w:val="0"/>
    </w:pPr>
    <w:rPr>
      <w:rFonts w:ascii="Courier New" w:hAnsi="Courier New"/>
    </w:rPr>
  </w:style>
  <w:style w:type="paragraph" w:styleId="P8">
    <w:name w:val="TOC 3"/>
    <w:next w:val="P0"/>
    <w:link w:val="C11"/>
    <w:pPr>
      <w:ind w:firstLine="0" w:left="400"/>
      <w:jc w:val="left"/>
    </w:pPr>
    <w:rPr>
      <w:rFonts w:ascii="XO Thames" w:hAnsi="XO Thames"/>
      <w:sz w:val="28"/>
    </w:rPr>
  </w:style>
  <w:style w:type="paragraph" w:styleId="P9">
    <w:name w:val="Default Paragraph Font1"/>
    <w:link w:val="C0"/>
    <w:pPr/>
    <w:rPr/>
  </w:style>
  <w:style w:type="paragraph" w:styleId="P10">
    <w:name w:val="Heading 5"/>
    <w:next w:val="P0"/>
    <w:link w:val="C12"/>
    <w:qFormat/>
    <w:pPr>
      <w:spacing w:before="120" w:after="120" w:beforeAutospacing="0" w:afterAutospacing="0"/>
      <w:jc w:val="both"/>
      <w:outlineLvl w:val="4"/>
    </w:pPr>
    <w:rPr>
      <w:rFonts w:ascii="XO Thames" w:hAnsi="XO Thames"/>
      <w:b w:val="1"/>
      <w:sz w:val="22"/>
    </w:rPr>
  </w:style>
  <w:style w:type="paragraph" w:styleId="P11">
    <w:name w:val="Heading 1"/>
    <w:next w:val="P0"/>
    <w:link w:val="C13"/>
    <w:qFormat/>
    <w:pPr>
      <w:spacing w:before="120" w:after="120" w:beforeAutospacing="0" w:afterAutospacing="0"/>
      <w:jc w:val="both"/>
      <w:outlineLvl w:val="0"/>
    </w:pPr>
    <w:rPr>
      <w:rFonts w:ascii="XO Thames" w:hAnsi="XO Thames"/>
      <w:b w:val="1"/>
      <w:sz w:val="32"/>
    </w:rPr>
  </w:style>
  <w:style w:type="paragraph" w:styleId="P12">
    <w:name w:val="Текст1"/>
    <w:basedOn w:val="P0"/>
    <w:link w:val="C14"/>
    <w:pPr/>
    <w:rPr>
      <w:rFonts w:ascii="Courier New" w:hAnsi="Courier New"/>
      <w:sz w:val="20"/>
    </w:rPr>
  </w:style>
  <w:style w:type="paragraph" w:styleId="P13">
    <w:name w:val="Hyperlink1"/>
    <w:link w:val="C2"/>
    <w:pPr/>
    <w:rPr>
      <w:color w:val="0000FF"/>
      <w:u w:val="single"/>
    </w:rPr>
  </w:style>
  <w:style w:type="paragraph" w:styleId="P14">
    <w:name w:val="Footnote"/>
    <w:link w:val="C15"/>
    <w:pPr>
      <w:ind w:firstLine="851" w:left="0"/>
      <w:jc w:val="both"/>
    </w:pPr>
    <w:rPr>
      <w:rFonts w:ascii="XO Thames" w:hAnsi="XO Thames"/>
      <w:sz w:val="22"/>
    </w:rPr>
  </w:style>
  <w:style w:type="paragraph" w:styleId="P15">
    <w:name w:val="TOC 1"/>
    <w:next w:val="P0"/>
    <w:link w:val="C16"/>
    <w:pPr>
      <w:ind w:firstLine="0" w:left="0"/>
      <w:jc w:val="left"/>
    </w:pPr>
    <w:rPr>
      <w:rFonts w:ascii="XO Thames" w:hAnsi="XO Thames"/>
      <w:b w:val="1"/>
      <w:sz w:val="28"/>
    </w:rPr>
  </w:style>
  <w:style w:type="paragraph" w:styleId="P16">
    <w:name w:val="Header and Footer"/>
    <w:link w:val="C17"/>
    <w:pPr>
      <w:spacing w:lineRule="auto" w:line="240" w:beforeAutospacing="0" w:afterAutospacing="0"/>
      <w:jc w:val="both"/>
    </w:pPr>
    <w:rPr>
      <w:rFonts w:ascii="XO Thames" w:hAnsi="XO Thames"/>
      <w:sz w:val="20"/>
    </w:rPr>
  </w:style>
  <w:style w:type="paragraph" w:styleId="P17">
    <w:name w:val="TOC 9"/>
    <w:next w:val="P0"/>
    <w:link w:val="C18"/>
    <w:pPr>
      <w:ind w:firstLine="0" w:left="1600"/>
      <w:jc w:val="left"/>
    </w:pPr>
    <w:rPr>
      <w:rFonts w:ascii="XO Thames" w:hAnsi="XO Thames"/>
      <w:sz w:val="28"/>
    </w:rPr>
  </w:style>
  <w:style w:type="paragraph" w:styleId="P18">
    <w:name w:val="TOC 8"/>
    <w:next w:val="P0"/>
    <w:link w:val="C19"/>
    <w:pPr>
      <w:ind w:firstLine="0" w:left="1400"/>
      <w:jc w:val="left"/>
    </w:pPr>
    <w:rPr>
      <w:rFonts w:ascii="XO Thames" w:hAnsi="XO Thames"/>
      <w:sz w:val="28"/>
    </w:rPr>
  </w:style>
  <w:style w:type="paragraph" w:styleId="P19">
    <w:name w:val="toc 10"/>
    <w:next w:val="P0"/>
    <w:link w:val="C20"/>
    <w:pPr>
      <w:ind w:firstLine="0" w:left="1800"/>
      <w:jc w:val="left"/>
    </w:pPr>
    <w:rPr>
      <w:rFonts w:ascii="XO Thames" w:hAnsi="XO Thames"/>
      <w:sz w:val="28"/>
    </w:rPr>
  </w:style>
  <w:style w:type="paragraph" w:styleId="P20">
    <w:name w:val="TOC 5"/>
    <w:next w:val="P0"/>
    <w:link w:val="C21"/>
    <w:pPr>
      <w:ind w:firstLine="0" w:left="800"/>
      <w:jc w:val="left"/>
    </w:pPr>
    <w:rPr>
      <w:rFonts w:ascii="XO Thames" w:hAnsi="XO Thames"/>
      <w:sz w:val="28"/>
    </w:rPr>
  </w:style>
  <w:style w:type="paragraph" w:styleId="P21">
    <w:name w:val="Subtitle"/>
    <w:next w:val="P0"/>
    <w:link w:val="C22"/>
    <w:qFormat/>
    <w:pPr>
      <w:jc w:val="both"/>
    </w:pPr>
    <w:rPr>
      <w:rFonts w:ascii="XO Thames" w:hAnsi="XO Thames"/>
      <w:i w:val="1"/>
      <w:sz w:val="24"/>
    </w:rPr>
  </w:style>
  <w:style w:type="paragraph" w:styleId="P22">
    <w:name w:val="Title"/>
    <w:next w:val="P0"/>
    <w:link w:val="C23"/>
    <w:qFormat/>
    <w:pPr>
      <w:spacing w:before="567" w:after="567" w:beforeAutospacing="0" w:afterAutospacing="0"/>
      <w:jc w:val="center"/>
    </w:pPr>
    <w:rPr>
      <w:rFonts w:ascii="XO Thames" w:hAnsi="XO Thames"/>
      <w:b w:val="1"/>
      <w:caps w:val="1"/>
      <w:sz w:val="40"/>
    </w:rPr>
  </w:style>
  <w:style w:type="paragraph" w:styleId="P23">
    <w:name w:val="Heading 4"/>
    <w:next w:val="P0"/>
    <w:link w:val="C24"/>
    <w:qFormat/>
    <w:pPr>
      <w:spacing w:before="120" w:after="120" w:beforeAutospacing="0" w:afterAutospacing="0"/>
      <w:jc w:val="both"/>
      <w:outlineLvl w:val="3"/>
    </w:pPr>
    <w:rPr>
      <w:rFonts w:ascii="XO Thames" w:hAnsi="XO Thames"/>
      <w:b w:val="1"/>
      <w:sz w:val="24"/>
    </w:rPr>
  </w:style>
  <w:style w:type="paragraph" w:styleId="P24">
    <w:name w:val="Heading 2"/>
    <w:next w:val="P0"/>
    <w:link w:val="C25"/>
    <w:qFormat/>
    <w:pPr>
      <w:spacing w:before="120" w:after="120" w:beforeAutospacing="0" w:afterAutospacing="0"/>
      <w:jc w:val="both"/>
      <w:outlineLvl w:val="1"/>
    </w:pPr>
    <w:rPr>
      <w:rFonts w:ascii="XO Thames" w:hAnsi="XO Thames"/>
      <w:b w:val="1"/>
      <w:sz w:val="28"/>
    </w:rPr>
  </w:style>
  <w:style w:type="character" w:styleId="C0" w:default="1">
    <w:name w:val="Default Paragraph Font"/>
    <w:link w:val="P9"/>
    <w:rPr/>
  </w:style>
  <w:style w:type="character" w:styleId="C1">
    <w:name w:val="Line Number"/>
    <w:basedOn w:val="C0"/>
    <w:semiHidden/>
    <w:rPr/>
  </w:style>
  <w:style w:type="character" w:styleId="C2">
    <w:name w:val="Hyperlink"/>
    <w:link w:val="P13"/>
    <w:rPr>
      <w:color w:val="0000FF"/>
      <w:u w:val="single"/>
    </w:rPr>
  </w:style>
  <w:style w:type="character" w:styleId="C3">
    <w:name w:val="Normal1"/>
    <w:link w:val="P0"/>
    <w:rPr>
      <w:sz w:val="24"/>
    </w:rPr>
  </w:style>
  <w:style w:type="character" w:styleId="C4">
    <w:name w:val="TOC 21"/>
    <w:link w:val="P1"/>
    <w:rPr>
      <w:rFonts w:ascii="XO Thames" w:hAnsi="XO Thames"/>
      <w:sz w:val="28"/>
    </w:rPr>
  </w:style>
  <w:style w:type="character" w:styleId="C5">
    <w:name w:val="TOC 41"/>
    <w:link w:val="P2"/>
    <w:rPr>
      <w:rFonts w:ascii="XO Thames" w:hAnsi="XO Thames"/>
      <w:sz w:val="28"/>
    </w:rPr>
  </w:style>
  <w:style w:type="character" w:styleId="C6">
    <w:name w:val="TOC 61"/>
    <w:link w:val="P3"/>
    <w:rPr>
      <w:rFonts w:ascii="XO Thames" w:hAnsi="XO Thames"/>
      <w:sz w:val="28"/>
    </w:rPr>
  </w:style>
  <w:style w:type="character" w:styleId="C7">
    <w:name w:val="TOC 71"/>
    <w:link w:val="P4"/>
    <w:rPr>
      <w:rFonts w:ascii="XO Thames" w:hAnsi="XO Thames"/>
      <w:sz w:val="28"/>
    </w:rPr>
  </w:style>
  <w:style w:type="character" w:styleId="C8">
    <w:name w:val="Endnote"/>
    <w:link w:val="P5"/>
    <w:rPr>
      <w:rFonts w:ascii="XO Thames" w:hAnsi="XO Thames"/>
      <w:sz w:val="22"/>
    </w:rPr>
  </w:style>
  <w:style w:type="character" w:styleId="C9">
    <w:name w:val="Heading 31"/>
    <w:link w:val="P6"/>
    <w:rPr>
      <w:rFonts w:ascii="XO Thames" w:hAnsi="XO Thames"/>
      <w:b w:val="1"/>
      <w:sz w:val="26"/>
    </w:rPr>
  </w:style>
  <w:style w:type="character" w:styleId="C10">
    <w:name w:val="ConsPlusNonformat"/>
    <w:link w:val="P7"/>
    <w:rPr>
      <w:rFonts w:ascii="Courier New" w:hAnsi="Courier New"/>
    </w:rPr>
  </w:style>
  <w:style w:type="character" w:styleId="C11">
    <w:name w:val="TOC 31"/>
    <w:link w:val="P8"/>
    <w:rPr>
      <w:rFonts w:ascii="XO Thames" w:hAnsi="XO Thames"/>
      <w:sz w:val="28"/>
    </w:rPr>
  </w:style>
  <w:style w:type="character" w:styleId="C12">
    <w:name w:val="Heading 51"/>
    <w:link w:val="P10"/>
    <w:rPr>
      <w:rFonts w:ascii="XO Thames" w:hAnsi="XO Thames"/>
      <w:b w:val="1"/>
      <w:sz w:val="22"/>
    </w:rPr>
  </w:style>
  <w:style w:type="character" w:styleId="C13">
    <w:name w:val="Heading 11"/>
    <w:link w:val="P11"/>
    <w:rPr>
      <w:rFonts w:ascii="XO Thames" w:hAnsi="XO Thames"/>
      <w:b w:val="1"/>
      <w:sz w:val="32"/>
    </w:rPr>
  </w:style>
  <w:style w:type="character" w:styleId="C14">
    <w:name w:val="Текст1"/>
    <w:basedOn w:val="C3"/>
    <w:link w:val="P12"/>
    <w:rPr>
      <w:rFonts w:ascii="Courier New" w:hAnsi="Courier New"/>
      <w:sz w:val="20"/>
    </w:rPr>
  </w:style>
  <w:style w:type="character" w:styleId="C15">
    <w:name w:val="Footnote"/>
    <w:link w:val="P14"/>
    <w:rPr>
      <w:rFonts w:ascii="XO Thames" w:hAnsi="XO Thames"/>
      <w:sz w:val="22"/>
    </w:rPr>
  </w:style>
  <w:style w:type="character" w:styleId="C16">
    <w:name w:val="TOC 11"/>
    <w:link w:val="P15"/>
    <w:rPr>
      <w:rFonts w:ascii="XO Thames" w:hAnsi="XO Thames"/>
      <w:b w:val="1"/>
      <w:sz w:val="28"/>
    </w:rPr>
  </w:style>
  <w:style w:type="character" w:styleId="C17">
    <w:name w:val="Header and Footer"/>
    <w:link w:val="P16"/>
    <w:rPr>
      <w:rFonts w:ascii="XO Thames" w:hAnsi="XO Thames"/>
      <w:sz w:val="20"/>
    </w:rPr>
  </w:style>
  <w:style w:type="character" w:styleId="C18">
    <w:name w:val="TOC 91"/>
    <w:link w:val="P17"/>
    <w:rPr>
      <w:rFonts w:ascii="XO Thames" w:hAnsi="XO Thames"/>
      <w:sz w:val="28"/>
    </w:rPr>
  </w:style>
  <w:style w:type="character" w:styleId="C19">
    <w:name w:val="TOC 81"/>
    <w:link w:val="P18"/>
    <w:rPr>
      <w:rFonts w:ascii="XO Thames" w:hAnsi="XO Thames"/>
      <w:sz w:val="28"/>
    </w:rPr>
  </w:style>
  <w:style w:type="character" w:styleId="C20">
    <w:name w:val="toc 10"/>
    <w:link w:val="P19"/>
    <w:rPr>
      <w:rFonts w:ascii="XO Thames" w:hAnsi="XO Thames"/>
      <w:sz w:val="28"/>
    </w:rPr>
  </w:style>
  <w:style w:type="character" w:styleId="C21">
    <w:name w:val="TOC 51"/>
    <w:link w:val="P20"/>
    <w:rPr>
      <w:rFonts w:ascii="XO Thames" w:hAnsi="XO Thames"/>
      <w:sz w:val="28"/>
    </w:rPr>
  </w:style>
  <w:style w:type="character" w:styleId="C22">
    <w:name w:val="Subtitle1"/>
    <w:link w:val="P21"/>
    <w:rPr>
      <w:rFonts w:ascii="XO Thames" w:hAnsi="XO Thames"/>
      <w:i w:val="1"/>
      <w:sz w:val="24"/>
    </w:rPr>
  </w:style>
  <w:style w:type="character" w:styleId="C23">
    <w:name w:val="Title1"/>
    <w:link w:val="P22"/>
    <w:rPr>
      <w:rFonts w:ascii="XO Thames" w:hAnsi="XO Thames"/>
      <w:b w:val="1"/>
      <w:caps w:val="1"/>
      <w:sz w:val="40"/>
    </w:rPr>
  </w:style>
  <w:style w:type="character" w:styleId="C24">
    <w:name w:val="Heading 41"/>
    <w:link w:val="P23"/>
    <w:rPr>
      <w:rFonts w:ascii="XO Thames" w:hAnsi="XO Thames"/>
      <w:b w:val="1"/>
      <w:sz w:val="24"/>
    </w:rPr>
  </w:style>
  <w:style w:type="character" w:styleId="C25">
    <w:name w:val="Heading 21"/>
    <w:link w:val="P24"/>
    <w:rPr>
      <w:rFonts w:ascii="XO Thames" w:hAnsi="XO Thames"/>
      <w:b w:val="1"/>
      <w:sz w:val="28"/>
    </w:rPr>
  </w:style>
  <w:style w:type="table" w:styleId="T0" w:default="1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XO Thames"/>
        <a:ea typeface=""/>
        <a:cs typeface=""/>
      </a:majorFont>
      <a:minorFont>
        <a:latin typeface="XO Thame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tileRect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tileRect/>
        </a:gradFill>
      </a:fillStyleLst>
      <a:lnStyleLst>
        <a:ln>
          <a:solidFill>
            <a:schemeClr val="phClr">
              <a:shade val="95000"/>
              <a:satMod val="105000"/>
            </a:schemeClr>
          </a:solidFill>
          <a:prstDash val="solid"/>
        </a:ln>
        <a:ln>
          <a:solidFill>
            <a:schemeClr val="phClr"/>
          </a:solidFill>
          <a:prstDash val="solid"/>
        </a:ln>
        <a:ln>
          <a:solidFill>
            <a:schemeClr val="phClr"/>
          </a:solidFill>
          <a:prstDash val="solid"/>
        </a:ln>
      </a:lnStyleLst>
      <a:effectStyleLst>
        <a:effectStyle>
          <a:effectLst>
            <a:outerShdw>
              <a:srgbClr val="000000">
                <a:alpha val="38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  <a:effectStyle>
          <a:effectLst>
            <a:outerShdw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tileRect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tileRect/>
        </a:gradFill>
      </a:bgFillStyleLst>
    </a:fmtScheme>
  </a:themeElements>
</a:theme>
</file>

<file path=docProps/app.xml><?xml version="1.0" encoding="utf-8"?>
<Properties xmlns="http://schemas.openxmlformats.org/officeDocument/2006/extended-properties">
  <Application>DevExpress Office File API/25.2.3.0</Application>
  <AppVersion>25.2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terms:created xsi:type="dcterms:W3CDTF">2026-04-16T16:01:20Z</dcterms:created>
  <dcterms:modified xsi:type="dcterms:W3CDTF">2026-04-16T16:03:54Z</dcterms:modified>
  <cp:revision>1</cp:revision>
</cp:coreProperties>
</file>