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Co-founder accountability framework</w:t>
      </w:r>
    </w:p>
    <w:p>
      <w:r>
        <w:rPr>
          <w:rFonts w:ascii="Arial" w:hAnsi="Arial"/>
          <w:sz w:val="22"/>
        </w:rPr>
        <w:t>Purpose: convert the monthly base payout from a gesture of goodwill into a working agreement. Each co-founder owns one accountability zone plus three to five concrete monthly commitments. The point is not to micromanage — it is to make sure that in six months we can tell, together, whether the framework worked.</w:t>
      </w:r>
    </w:p>
    <w:p>
      <w:pPr>
        <w:pStyle w:val="Heading2"/>
      </w:pPr>
      <w:r>
        <w:t>Part 1. Zone map</w:t>
      </w:r>
    </w:p>
    <w:p>
      <w:r>
        <w:rPr>
          <w:rFonts w:ascii="Arial" w:hAnsi="Arial"/>
          <w:sz w:val="22"/>
        </w:rPr>
        <w:t>Each zone has exactly one owner. A zone does not mean working alone — it means being the person who reports on it, flags risks, and makes the call when there is no consensus. Fill in the owner column together on the next call.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Accountability zone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Owner (one person)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Minimum monthly commitment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2"/>
              </w:rPr>
              <w:t>Revenue / monetization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2"/>
              </w:rPr>
              <w:t>[Co-founder __]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e.g. weekly MRR report, 1 pricing or packaging experiment per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2"/>
              </w:rPr>
              <w:t>Product / retention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2"/>
              </w:rPr>
              <w:t>[Co-founder __]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e.g. funnel review, 1 product decision per month backed by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2"/>
              </w:rPr>
              <w:t>Growth / marketing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2"/>
              </w:rPr>
              <w:t>[Co-founder __]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e.g. weekly channel report, CAC monitoring, 1 acquisition experiment per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2"/>
              </w:rPr>
              <w:t>Infrastructure / ops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2"/>
              </w:rPr>
              <w:t>[Co-founder __]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e.g. uptime SLA, cost control, security and 2FA compliance</w:t>
            </w:r>
          </w:p>
        </w:tc>
      </w:tr>
    </w:tbl>
    <w:p>
      <w:pPr>
        <w:pStyle w:val="Heading2"/>
      </w:pPr>
      <w:r>
        <w:t>Part 2. Individual commitment sheet (one per co-founder)</w:t>
      </w:r>
    </w:p>
    <w:p>
      <w:r>
        <w:rPr>
          <w:rFonts w:ascii="Arial" w:hAnsi="Arial"/>
          <w:sz w:val="22"/>
        </w:rPr>
        <w:t>Each co-founder completes this on their own, then reads it aloud on the next call. The goal is to hear each person commit to something specific rather than to "whatever I was already doing".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056"/>
            <w:shd w:val="clear" w:color="auto"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Name (anonymized: Co-founder __)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sz w:val="22"/>
              </w:rPr>
              <w:t>____________________________________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Accountability zone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sz w:val="22"/>
              </w:rPr>
              <w:t>____________________________________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3–5 concrete monthly obligations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sz w:val="22"/>
              </w:rPr>
              <w:t>1. ____</w:t>
            </w:r>
          </w:p>
          <w:p>
            <w:r>
              <w:rPr>
                <w:rFonts w:ascii="Arial" w:hAnsi="Arial"/>
                <w:sz w:val="22"/>
              </w:rPr>
              <w:t>2. ____</w:t>
            </w:r>
          </w:p>
          <w:p>
            <w:r>
              <w:rPr>
                <w:rFonts w:ascii="Arial" w:hAnsi="Arial"/>
                <w:sz w:val="22"/>
              </w:rPr>
              <w:t>3. ____</w:t>
            </w:r>
          </w:p>
          <w:p>
            <w:r>
              <w:rPr>
                <w:rFonts w:ascii="Arial" w:hAnsi="Arial"/>
                <w:sz w:val="22"/>
              </w:rPr>
              <w:t>4. ____</w:t>
            </w:r>
          </w:p>
          <w:p>
            <w:r>
              <w:rPr>
                <w:rFonts w:ascii="Arial" w:hAnsi="Arial"/>
                <w:sz w:val="22"/>
              </w:rPr>
              <w:t>5. 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Response SLA to @all pings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sz w:val="22"/>
              </w:rPr>
              <w:t>within ____ hours on working days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Weekly sync attendance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sz w:val="22"/>
              </w:rPr>
              <w:t>required / optional (circle)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Compensation policies I agree to follow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sz w:val="22"/>
              </w:rPr>
              <w:t>2FA on all tooling, expenses logged in central sheet, no solo spending above $____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Monthly base (dividend)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sz w:val="22"/>
              </w:rPr>
              <w:t>$____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Arial" w:hAnsi="Arial"/>
                <w:sz w:val="22"/>
              </w:rPr>
              <w:t>Signature / date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sz w:val="22"/>
              </w:rPr>
              <w:t>____________________________________</w:t>
            </w:r>
          </w:p>
        </w:tc>
      </w:tr>
    </w:tbl>
    <w:p>
      <w:pPr>
        <w:pStyle w:val="Heading2"/>
      </w:pPr>
      <w:r>
        <w:t>Part 3. Ground rules</w:t>
      </w:r>
    </w:p>
    <w:p>
      <w:pPr>
        <w:pStyle w:val="ListBullet"/>
      </w:pPr>
      <w:r>
        <w:rPr>
          <w:rFonts w:ascii="Arial" w:hAnsi="Arial"/>
          <w:sz w:val="22"/>
        </w:rPr>
        <w:t>The monthly base is compensation for holding the zone, not for hours worked. It presumes the monthly obligations are met.</w:t>
      </w:r>
    </w:p>
    <w:p>
      <w:pPr>
        <w:pStyle w:val="ListBullet"/>
      </w:pPr>
      <w:r>
        <w:rPr>
          <w:rFonts w:ascii="Arial" w:hAnsi="Arial"/>
          <w:sz w:val="22"/>
        </w:rPr>
        <w:t>Missed obligations are discussed openly on the next weekly sync. Two consecutive misses trigger a review of that zone's ownership.</w:t>
      </w:r>
    </w:p>
    <w:p>
      <w:pPr>
        <w:pStyle w:val="ListBullet"/>
      </w:pPr>
      <w:r>
        <w:rPr>
          <w:rFonts w:ascii="Arial" w:hAnsi="Arial"/>
          <w:sz w:val="22"/>
        </w:rPr>
        <w:t>KPI-based task payments are separate and handled through the KPI-task template (one-pager: problem → hypothesis → cost → expected impact → verification).</w:t>
      </w:r>
    </w:p>
    <w:p>
      <w:pPr>
        <w:pStyle w:val="ListBullet"/>
      </w:pPr>
      <w:r>
        <w:rPr>
          <w:rFonts w:ascii="Arial" w:hAnsi="Arial"/>
          <w:sz w:val="22"/>
        </w:rPr>
        <w:t>Catastrophic framing ("let's just wind down", "shut it off and milk SEO") is off the table until the October 5 review. The exit scenario is already on the calendar — keep the working conversations focused on making it unnecessary.</w:t>
      </w:r>
    </w:p>
    <w:p>
      <w:pPr>
        <w:pStyle w:val="ListBullet"/>
      </w:pPr>
      <w:r>
        <w:rPr>
          <w:rFonts w:ascii="Arial" w:hAnsi="Arial"/>
          <w:sz w:val="22"/>
        </w:rPr>
        <w:t>The October review will be evaluated against the three metrics defined in the separate metrics workbook, not against feelings.</w:t>
      </w:r>
    </w:p>
    <w:p>
      <w:pPr>
        <w:pStyle w:val="Heading2"/>
      </w:pPr>
      <w:r>
        <w:t>Part 4. Review cadence</w:t>
      </w:r>
    </w:p>
    <w:p>
      <w:pPr>
        <w:pStyle w:val="ListBullet"/>
      </w:pPr>
      <w:r>
        <w:rPr>
          <w:rFonts w:ascii="Arial" w:hAnsi="Arial"/>
          <w:sz w:val="22"/>
        </w:rPr>
        <w:t>Weekly sync: 30 min, zone owners report one-line status.</w:t>
      </w:r>
    </w:p>
    <w:p>
      <w:pPr>
        <w:pStyle w:val="ListBullet"/>
      </w:pPr>
      <w:r>
        <w:rPr>
          <w:rFonts w:ascii="Arial" w:hAnsi="Arial"/>
          <w:sz w:val="22"/>
        </w:rPr>
        <w:t>Monthly retro: 45 min, review commitments vs. reality, adjust.</w:t>
      </w:r>
    </w:p>
    <w:p>
      <w:pPr>
        <w:pStyle w:val="ListBullet"/>
      </w:pPr>
      <w:r>
        <w:rPr>
          <w:rFonts w:ascii="Arial" w:hAnsi="Arial"/>
          <w:sz w:val="22"/>
        </w:rPr>
        <w:t>Quarterly dividend review: decide if base stays, grows, shrinks.</w:t>
      </w:r>
    </w:p>
    <w:p>
      <w:pPr>
        <w:pStyle w:val="ListBullet"/>
      </w:pPr>
      <w:r>
        <w:rPr>
          <w:rFonts w:ascii="Arial" w:hAnsi="Arial"/>
          <w:sz w:val="22"/>
        </w:rPr>
        <w:t>October 5, 2026: go / no-go decision using the metrics workbook.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