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rPr>
          <w:sz w:val="20"/>
        </w:rPr>
      </w:pPr>
      <w:r>
        <w:rPr>
          <w:color w:val="231F20"/>
        </w:rPr>
        <w:t>A</w:t>
      </w:r>
      <w:r>
        <w:rPr>
          <w:color w:val="231F20"/>
          <w:spacing w:val="-3"/>
        </w:rPr>
        <w:t> </w:t>
      </w:r>
      <w:r>
        <w:rPr>
          <w:color w:val="231F20"/>
        </w:rPr>
        <w:t>Flexible</w:t>
      </w:r>
      <w:r>
        <w:rPr>
          <w:color w:val="231F20"/>
          <w:spacing w:val="-1"/>
        </w:rPr>
        <w:t> </w:t>
      </w:r>
      <w:r>
        <w:rPr>
          <w:color w:val="231F20"/>
        </w:rPr>
        <w:t>Database</w:t>
      </w:r>
      <w:r>
        <w:rPr>
          <w:color w:val="231F20"/>
          <w:spacing w:val="-1"/>
        </w:rPr>
        <w:t> </w:t>
      </w:r>
      <w:r>
        <w:rPr>
          <w:color w:val="231F20"/>
        </w:rPr>
        <w:t>Security</w:t>
      </w:r>
      <w:r>
        <w:rPr>
          <w:color w:val="231F20"/>
          <w:spacing w:val="-1"/>
        </w:rPr>
        <w:t> </w:t>
      </w:r>
      <w:r>
        <w:rPr>
          <w:color w:val="231F20"/>
        </w:rPr>
        <w:t>System</w:t>
      </w:r>
      <w:r>
        <w:rPr>
          <w:color w:val="231F20"/>
          <w:spacing w:val="-3"/>
        </w:rPr>
        <w:t> </w:t>
      </w:r>
      <w:r>
        <w:rPr>
          <w:color w:val="231F20"/>
        </w:rPr>
        <w:t>Using</w:t>
      </w:r>
      <w:r>
        <w:rPr>
          <w:color w:val="231F20"/>
          <w:spacing w:val="-1"/>
        </w:rPr>
        <w:t> </w:t>
      </w:r>
      <w:r>
        <w:rPr>
          <w:color w:val="231F20"/>
        </w:rPr>
        <w:t>Multiple Access Control Policies</w:t>
      </w:r>
      <w:r>
        <w:rPr>
          <w:color w:val="231F20"/>
          <w:position w:val="6"/>
          <w:sz w:val="20"/>
        </w:rPr>
        <w:t>*</w:t>
      </w:r>
    </w:p>
    <w:p>
      <w:pPr>
        <w:pStyle w:val="BodyText"/>
        <w:spacing w:before="135"/>
        <w:rPr>
          <w:b/>
          <w:sz w:val="28"/>
        </w:rPr>
      </w:pPr>
    </w:p>
    <w:p>
      <w:pPr>
        <w:pStyle w:val="BodyText"/>
        <w:ind w:left="81" w:right="81"/>
        <w:jc w:val="center"/>
        <w:rPr>
          <w:sz w:val="14"/>
        </w:rPr>
      </w:pPr>
      <w:r>
        <w:rPr>
          <w:color w:val="231F20"/>
        </w:rPr>
        <w:t>Min-A</w:t>
      </w:r>
      <w:r>
        <w:rPr>
          <w:color w:val="231F20"/>
          <w:spacing w:val="-11"/>
        </w:rPr>
        <w:t> </w:t>
      </w:r>
      <w:r>
        <w:rPr>
          <w:color w:val="231F20"/>
        </w:rPr>
        <w:t>Jeong</w:t>
      </w:r>
      <w:r>
        <w:rPr>
          <w:color w:val="231F20"/>
          <w:position w:val="6"/>
          <w:sz w:val="14"/>
        </w:rPr>
        <w:t>1</w:t>
      </w:r>
      <w:r>
        <w:rPr>
          <w:color w:val="231F20"/>
        </w:rPr>
        <w:t>,</w:t>
      </w:r>
      <w:r>
        <w:rPr>
          <w:color w:val="231F20"/>
          <w:spacing w:val="-9"/>
        </w:rPr>
        <w:t> </w:t>
      </w:r>
      <w:r>
        <w:rPr>
          <w:color w:val="231F20"/>
        </w:rPr>
        <w:t>Jung-Ja</w:t>
      </w:r>
      <w:r>
        <w:rPr>
          <w:color w:val="231F20"/>
          <w:spacing w:val="-10"/>
        </w:rPr>
        <w:t> </w:t>
      </w:r>
      <w:r>
        <w:rPr>
          <w:color w:val="231F20"/>
        </w:rPr>
        <w:t>Kim</w:t>
      </w:r>
      <w:r>
        <w:rPr>
          <w:color w:val="231F20"/>
          <w:position w:val="10"/>
          <w:sz w:val="10"/>
        </w:rPr>
        <w:t>1</w:t>
      </w:r>
      <w:r>
        <w:rPr>
          <w:color w:val="231F20"/>
        </w:rPr>
        <w:t>,</w:t>
      </w:r>
      <w:r>
        <w:rPr>
          <w:color w:val="231F20"/>
          <w:spacing w:val="-9"/>
        </w:rPr>
        <w:t> </w:t>
      </w:r>
      <w:r>
        <w:rPr>
          <w:color w:val="231F20"/>
        </w:rPr>
        <w:t>and</w:t>
      </w:r>
      <w:r>
        <w:rPr>
          <w:color w:val="231F20"/>
          <w:spacing w:val="-11"/>
        </w:rPr>
        <w:t> </w:t>
      </w:r>
      <w:r>
        <w:rPr>
          <w:color w:val="231F20"/>
        </w:rPr>
        <w:t>Yonggwan</w:t>
      </w:r>
      <w:r>
        <w:rPr>
          <w:color w:val="231F20"/>
          <w:spacing w:val="-11"/>
        </w:rPr>
        <w:t> </w:t>
      </w:r>
      <w:r>
        <w:rPr>
          <w:color w:val="231F20"/>
          <w:spacing w:val="-4"/>
        </w:rPr>
        <w:t>Won</w:t>
      </w:r>
      <w:r>
        <w:rPr>
          <w:color w:val="231F20"/>
          <w:spacing w:val="-4"/>
          <w:position w:val="6"/>
          <w:sz w:val="14"/>
        </w:rPr>
        <w:t>2</w:t>
      </w:r>
    </w:p>
    <w:p>
      <w:pPr>
        <w:spacing w:line="230" w:lineRule="auto" w:before="224"/>
        <w:ind w:left="953" w:right="954" w:firstLine="0"/>
        <w:jc w:val="center"/>
        <w:rPr>
          <w:sz w:val="18"/>
        </w:rPr>
      </w:pPr>
      <w:r>
        <w:rPr>
          <w:color w:val="231F20"/>
          <w:position w:val="6"/>
          <w:sz w:val="12"/>
        </w:rPr>
        <w:t>1</w:t>
      </w:r>
      <w:r>
        <w:rPr>
          <w:color w:val="231F20"/>
          <w:spacing w:val="5"/>
          <w:position w:val="6"/>
          <w:sz w:val="12"/>
        </w:rPr>
        <w:t> </w:t>
      </w:r>
      <w:r>
        <w:rPr>
          <w:color w:val="231F20"/>
          <w:sz w:val="18"/>
        </w:rPr>
        <w:t>Research</w:t>
      </w:r>
      <w:r>
        <w:rPr>
          <w:color w:val="231F20"/>
          <w:spacing w:val="-10"/>
          <w:sz w:val="18"/>
        </w:rPr>
        <w:t> </w:t>
      </w:r>
      <w:r>
        <w:rPr>
          <w:color w:val="231F20"/>
          <w:sz w:val="18"/>
        </w:rPr>
        <w:t>Institute</w:t>
      </w:r>
      <w:r>
        <w:rPr>
          <w:color w:val="231F20"/>
          <w:spacing w:val="-10"/>
          <w:sz w:val="18"/>
        </w:rPr>
        <w:t> </w:t>
      </w:r>
      <w:r>
        <w:rPr>
          <w:color w:val="231F20"/>
          <w:sz w:val="18"/>
        </w:rPr>
        <w:t>of</w:t>
      </w:r>
      <w:r>
        <w:rPr>
          <w:color w:val="231F20"/>
          <w:spacing w:val="-10"/>
          <w:sz w:val="18"/>
        </w:rPr>
        <w:t> </w:t>
      </w:r>
      <w:r>
        <w:rPr>
          <w:color w:val="231F20"/>
          <w:sz w:val="18"/>
        </w:rPr>
        <w:t>Electronics</w:t>
      </w:r>
      <w:r>
        <w:rPr>
          <w:color w:val="231F20"/>
          <w:spacing w:val="-10"/>
          <w:sz w:val="18"/>
        </w:rPr>
        <w:t> </w:t>
      </w:r>
      <w:r>
        <w:rPr>
          <w:color w:val="231F20"/>
          <w:sz w:val="18"/>
        </w:rPr>
        <w:t>and</w:t>
      </w:r>
      <w:r>
        <w:rPr>
          <w:color w:val="231F20"/>
          <w:spacing w:val="-10"/>
          <w:sz w:val="18"/>
        </w:rPr>
        <w:t> </w:t>
      </w:r>
      <w:r>
        <w:rPr>
          <w:color w:val="231F20"/>
          <w:sz w:val="18"/>
        </w:rPr>
        <w:t>Telecommunications</w:t>
      </w:r>
      <w:r>
        <w:rPr>
          <w:color w:val="231F20"/>
          <w:spacing w:val="-10"/>
          <w:sz w:val="18"/>
        </w:rPr>
        <w:t> </w:t>
      </w:r>
      <w:r>
        <w:rPr>
          <w:color w:val="231F20"/>
          <w:sz w:val="18"/>
        </w:rPr>
        <w:t>Technology, Chonnam National University</w:t>
      </w:r>
    </w:p>
    <w:p>
      <w:pPr>
        <w:spacing w:line="232" w:lineRule="auto" w:before="2"/>
        <w:ind w:left="2211" w:right="2162" w:firstLine="0"/>
        <w:jc w:val="center"/>
        <w:rPr>
          <w:sz w:val="18"/>
        </w:rPr>
      </w:pPr>
      <w:r>
        <w:rPr>
          <w:color w:val="231F20"/>
          <w:spacing w:val="-2"/>
          <w:sz w:val="18"/>
        </w:rPr>
        <w:t>300</w:t>
      </w:r>
      <w:r>
        <w:rPr>
          <w:color w:val="231F20"/>
          <w:spacing w:val="-7"/>
          <w:sz w:val="18"/>
        </w:rPr>
        <w:t> </w:t>
      </w:r>
      <w:r>
        <w:rPr>
          <w:color w:val="231F20"/>
          <w:spacing w:val="-2"/>
          <w:sz w:val="18"/>
        </w:rPr>
        <w:t>Yongbong-Dong</w:t>
      </w:r>
      <w:r>
        <w:rPr>
          <w:color w:val="231F20"/>
          <w:spacing w:val="-7"/>
          <w:sz w:val="18"/>
        </w:rPr>
        <w:t> </w:t>
      </w:r>
      <w:r>
        <w:rPr>
          <w:color w:val="231F20"/>
          <w:spacing w:val="-2"/>
          <w:sz w:val="18"/>
        </w:rPr>
        <w:t>Buk-Gu </w:t>
      </w:r>
      <w:r>
        <w:rPr>
          <w:color w:val="231F20"/>
          <w:sz w:val="18"/>
        </w:rPr>
        <w:t>Kwangju, Republic of Korea</w:t>
      </w:r>
    </w:p>
    <w:p>
      <w:pPr>
        <w:spacing w:line="200" w:lineRule="exact" w:before="5"/>
        <w:ind w:left="81" w:right="81" w:firstLine="0"/>
        <w:jc w:val="center"/>
        <w:rPr>
          <w:rFonts w:ascii="Courier New"/>
          <w:sz w:val="18"/>
        </w:rPr>
      </w:pPr>
      <w:r>
        <w:rPr>
          <w:rFonts w:ascii="Courier New"/>
          <w:color w:val="231F20"/>
          <w:spacing w:val="-2"/>
          <w:sz w:val="18"/>
        </w:rPr>
        <w:t>{majung,jjkim}@grace.chonnam.ac.kr</w:t>
      </w:r>
    </w:p>
    <w:p>
      <w:pPr>
        <w:spacing w:line="232" w:lineRule="auto" w:before="1"/>
        <w:ind w:left="2492" w:right="2135" w:hanging="358"/>
        <w:jc w:val="both"/>
        <w:rPr>
          <w:sz w:val="18"/>
        </w:rPr>
      </w:pPr>
      <w:r>
        <w:rPr>
          <w:color w:val="231F20"/>
          <w:position w:val="6"/>
          <w:sz w:val="12"/>
        </w:rPr>
        <w:t>2</w:t>
      </w:r>
      <w:r>
        <w:rPr>
          <w:color w:val="231F20"/>
          <w:spacing w:val="-5"/>
          <w:position w:val="6"/>
          <w:sz w:val="12"/>
        </w:rPr>
        <w:t> </w:t>
      </w:r>
      <w:r>
        <w:rPr>
          <w:color w:val="231F20"/>
          <w:sz w:val="18"/>
        </w:rPr>
        <w:t>Department</w:t>
      </w:r>
      <w:r>
        <w:rPr>
          <w:color w:val="231F20"/>
          <w:spacing w:val="-11"/>
          <w:sz w:val="18"/>
        </w:rPr>
        <w:t> </w:t>
      </w:r>
      <w:r>
        <w:rPr>
          <w:color w:val="231F20"/>
          <w:sz w:val="18"/>
        </w:rPr>
        <w:t>of</w:t>
      </w:r>
      <w:r>
        <w:rPr>
          <w:color w:val="231F20"/>
          <w:spacing w:val="-12"/>
          <w:sz w:val="18"/>
        </w:rPr>
        <w:t> </w:t>
      </w:r>
      <w:r>
        <w:rPr>
          <w:color w:val="231F20"/>
          <w:sz w:val="18"/>
        </w:rPr>
        <w:t>Computer</w:t>
      </w:r>
      <w:r>
        <w:rPr>
          <w:color w:val="231F20"/>
          <w:spacing w:val="-11"/>
          <w:sz w:val="18"/>
        </w:rPr>
        <w:t> </w:t>
      </w:r>
      <w:r>
        <w:rPr>
          <w:color w:val="231F20"/>
          <w:sz w:val="18"/>
        </w:rPr>
        <w:t>Engineering, Chonnam National University</w:t>
      </w:r>
    </w:p>
    <w:p>
      <w:pPr>
        <w:spacing w:line="240" w:lineRule="auto" w:before="0"/>
        <w:ind w:left="2535" w:right="2498" w:hanging="36"/>
        <w:jc w:val="both"/>
        <w:rPr>
          <w:rFonts w:ascii="Courier New"/>
          <w:sz w:val="18"/>
        </w:rPr>
      </w:pPr>
      <w:r>
        <w:rPr>
          <w:color w:val="231F20"/>
          <w:spacing w:val="-2"/>
          <w:sz w:val="18"/>
        </w:rPr>
        <w:t>300</w:t>
      </w:r>
      <w:r>
        <w:rPr>
          <w:color w:val="231F20"/>
          <w:spacing w:val="-7"/>
          <w:sz w:val="18"/>
        </w:rPr>
        <w:t> </w:t>
      </w:r>
      <w:r>
        <w:rPr>
          <w:color w:val="231F20"/>
          <w:spacing w:val="-2"/>
          <w:sz w:val="18"/>
        </w:rPr>
        <w:t>Yongbong-Dong</w:t>
      </w:r>
      <w:r>
        <w:rPr>
          <w:color w:val="231F20"/>
          <w:spacing w:val="-7"/>
          <w:sz w:val="18"/>
        </w:rPr>
        <w:t> </w:t>
      </w:r>
      <w:r>
        <w:rPr>
          <w:color w:val="231F20"/>
          <w:spacing w:val="-2"/>
          <w:sz w:val="18"/>
        </w:rPr>
        <w:t>Buk-Gu </w:t>
      </w:r>
      <w:r>
        <w:rPr>
          <w:color w:val="231F20"/>
          <w:sz w:val="18"/>
        </w:rPr>
        <w:t>Kwangju,</w:t>
      </w:r>
      <w:r>
        <w:rPr>
          <w:color w:val="231F20"/>
          <w:spacing w:val="-4"/>
          <w:sz w:val="18"/>
        </w:rPr>
        <w:t> </w:t>
      </w:r>
      <w:r>
        <w:rPr>
          <w:color w:val="231F20"/>
          <w:sz w:val="18"/>
        </w:rPr>
        <w:t>Republic</w:t>
      </w:r>
      <w:r>
        <w:rPr>
          <w:color w:val="231F20"/>
          <w:spacing w:val="-6"/>
          <w:sz w:val="18"/>
        </w:rPr>
        <w:t> </w:t>
      </w:r>
      <w:r>
        <w:rPr>
          <w:color w:val="231F20"/>
          <w:sz w:val="18"/>
        </w:rPr>
        <w:t>of</w:t>
      </w:r>
      <w:r>
        <w:rPr>
          <w:color w:val="231F20"/>
          <w:spacing w:val="-5"/>
          <w:sz w:val="18"/>
        </w:rPr>
        <w:t> </w:t>
      </w:r>
      <w:r>
        <w:rPr>
          <w:color w:val="231F20"/>
          <w:sz w:val="18"/>
        </w:rPr>
        <w:t>Korea </w:t>
      </w:r>
      <w:hyperlink r:id="rId5">
        <w:r>
          <w:rPr>
            <w:rFonts w:ascii="Courier New"/>
            <w:color w:val="231F20"/>
            <w:spacing w:val="-2"/>
            <w:sz w:val="18"/>
          </w:rPr>
          <w:t>ykwon@chonnam.ac.kr</w:t>
        </w:r>
      </w:hyperlink>
    </w:p>
    <w:p>
      <w:pPr>
        <w:pStyle w:val="BodyText"/>
        <w:rPr>
          <w:rFonts w:ascii="Courier New"/>
          <w:sz w:val="18"/>
        </w:rPr>
      </w:pPr>
    </w:p>
    <w:p>
      <w:pPr>
        <w:pStyle w:val="BodyText"/>
        <w:spacing w:before="181"/>
        <w:rPr>
          <w:rFonts w:ascii="Courier New"/>
          <w:sz w:val="18"/>
        </w:rPr>
      </w:pPr>
    </w:p>
    <w:p>
      <w:pPr>
        <w:spacing w:line="235" w:lineRule="auto" w:before="0"/>
        <w:ind w:left="677" w:right="672" w:firstLine="0"/>
        <w:jc w:val="both"/>
        <w:rPr>
          <w:sz w:val="18"/>
        </w:rPr>
      </w:pPr>
      <w:r>
        <w:rPr>
          <w:b/>
          <w:color w:val="231F20"/>
          <w:sz w:val="18"/>
        </w:rPr>
        <w:t>Abstract. </w:t>
      </w:r>
      <w:r>
        <w:rPr>
          <w:color w:val="231F20"/>
          <w:sz w:val="18"/>
        </w:rPr>
        <w:t>Due to various requirements for the user access control to large databases</w:t>
      </w:r>
      <w:r>
        <w:rPr>
          <w:color w:val="231F20"/>
          <w:sz w:val="18"/>
        </w:rPr>
        <w:t> in the hospitals and the banks, database security has been</w:t>
      </w:r>
      <w:r>
        <w:rPr>
          <w:color w:val="231F20"/>
          <w:spacing w:val="40"/>
          <w:sz w:val="18"/>
        </w:rPr>
        <w:t> </w:t>
      </w:r>
      <w:r>
        <w:rPr>
          <w:color w:val="231F20"/>
          <w:sz w:val="18"/>
        </w:rPr>
        <w:t>emphasized. There are many security models for database systems using wide variety of policy-based</w:t>
      </w:r>
      <w:r>
        <w:rPr>
          <w:color w:val="231F20"/>
          <w:sz w:val="18"/>
        </w:rPr>
        <w:t> access control methods.</w:t>
      </w:r>
      <w:r>
        <w:rPr>
          <w:color w:val="231F20"/>
          <w:sz w:val="18"/>
        </w:rPr>
        <w:t> However,</w:t>
      </w:r>
      <w:r>
        <w:rPr>
          <w:color w:val="231F20"/>
          <w:sz w:val="18"/>
        </w:rPr>
        <w:t> they are not functionally enough to meet the requirements for the complicated and various types of access control. In this paper, we propose a database security system</w:t>
      </w:r>
      <w:r>
        <w:rPr>
          <w:color w:val="231F20"/>
          <w:spacing w:val="40"/>
          <w:sz w:val="18"/>
        </w:rPr>
        <w:t> </w:t>
      </w:r>
      <w:r>
        <w:rPr>
          <w:color w:val="231F20"/>
          <w:sz w:val="18"/>
        </w:rPr>
        <w:t>that can individually control user access to data groups of various sizes and is suitable for the situation where the user’s access privilege to arbitrary data is changed frequently. Data group(s) in different sizes </w:t>
      </w:r>
      <w:r>
        <w:rPr>
          <w:b/>
          <w:i/>
          <w:color w:val="231F20"/>
          <w:sz w:val="18"/>
        </w:rPr>
        <w:t>d </w:t>
      </w:r>
      <w:r>
        <w:rPr>
          <w:color w:val="231F20"/>
          <w:sz w:val="18"/>
        </w:rPr>
        <w:t>is defined by the table name(s), attribute(s) and/or record key(s), and the access privilege</w:t>
      </w:r>
      <w:r>
        <w:rPr>
          <w:color w:val="231F20"/>
          <w:spacing w:val="-2"/>
          <w:sz w:val="18"/>
        </w:rPr>
        <w:t> </w:t>
      </w:r>
      <w:r>
        <w:rPr>
          <w:color w:val="231F20"/>
          <w:sz w:val="18"/>
        </w:rPr>
        <w:t>is</w:t>
      </w:r>
      <w:r>
        <w:rPr>
          <w:color w:val="231F20"/>
          <w:spacing w:val="-1"/>
          <w:sz w:val="18"/>
        </w:rPr>
        <w:t> </w:t>
      </w:r>
      <w:r>
        <w:rPr>
          <w:color w:val="231F20"/>
          <w:sz w:val="18"/>
        </w:rPr>
        <w:t>defined</w:t>
      </w:r>
      <w:r>
        <w:rPr>
          <w:color w:val="231F20"/>
          <w:spacing w:val="-2"/>
          <w:sz w:val="18"/>
        </w:rPr>
        <w:t> </w:t>
      </w:r>
      <w:r>
        <w:rPr>
          <w:color w:val="231F20"/>
          <w:sz w:val="18"/>
        </w:rPr>
        <w:t>by security levels, roles and polices. The proposed system operates in two phases. The first phase is composed of a modified MAC(Mandatory Access Control) model and RBAC(Role-Based Access Control)</w:t>
      </w:r>
      <w:r>
        <w:rPr>
          <w:color w:val="231F20"/>
          <w:sz w:val="18"/>
        </w:rPr>
        <w:t> model. A user can access any data that has lower or equal security levels, and that is accessible by the roles to which the user is assigned. All types of access mode are controlled in this</w:t>
      </w:r>
      <w:r>
        <w:rPr>
          <w:color w:val="231F20"/>
          <w:spacing w:val="40"/>
          <w:sz w:val="18"/>
        </w:rPr>
        <w:t> </w:t>
      </w:r>
      <w:r>
        <w:rPr>
          <w:color w:val="231F20"/>
          <w:sz w:val="18"/>
        </w:rPr>
        <w:t>phase. In the second phase, a modified DAC(Discretionary Access Control) model is applied to re-control the ‘</w:t>
      </w:r>
      <w:r>
        <w:rPr>
          <w:i/>
          <w:color w:val="231F20"/>
          <w:sz w:val="18"/>
        </w:rPr>
        <w:t>read</w:t>
      </w:r>
      <w:r>
        <w:rPr>
          <w:color w:val="231F20"/>
          <w:sz w:val="18"/>
        </w:rPr>
        <w:t>’ mode by filtering out the non- accessible data from the result obtained at the first phase. For this purpose, we also defined the user group </w:t>
      </w:r>
      <w:r>
        <w:rPr>
          <w:b/>
          <w:i/>
          <w:color w:val="231F20"/>
          <w:sz w:val="18"/>
        </w:rPr>
        <w:t>s </w:t>
      </w:r>
      <w:r>
        <w:rPr>
          <w:color w:val="231F20"/>
          <w:sz w:val="18"/>
        </w:rPr>
        <w:t>that can be characterized by security levels, roles or any partition of users. The policies represented in the form of </w:t>
      </w:r>
      <w:r>
        <w:rPr>
          <w:b/>
          <w:i/>
          <w:color w:val="231F20"/>
          <w:sz w:val="18"/>
        </w:rPr>
        <w:t>Block</w:t>
      </w:r>
      <w:r>
        <w:rPr>
          <w:color w:val="231F20"/>
          <w:sz w:val="18"/>
        </w:rPr>
        <w:t>(</w:t>
      </w:r>
      <w:r>
        <w:rPr>
          <w:b/>
          <w:i/>
          <w:color w:val="231F20"/>
          <w:sz w:val="18"/>
        </w:rPr>
        <w:t>s</w:t>
      </w:r>
      <w:r>
        <w:rPr>
          <w:color w:val="231F20"/>
          <w:sz w:val="18"/>
        </w:rPr>
        <w:t>, </w:t>
      </w:r>
      <w:r>
        <w:rPr>
          <w:b/>
          <w:i/>
          <w:color w:val="231F20"/>
          <w:sz w:val="18"/>
        </w:rPr>
        <w:t>d, r</w:t>
      </w:r>
      <w:r>
        <w:rPr>
          <w:color w:val="231F20"/>
          <w:sz w:val="18"/>
        </w:rPr>
        <w:t>) were also defined and used to control access to any data or data group(s) that is not permitted in ‘</w:t>
      </w:r>
      <w:r>
        <w:rPr>
          <w:i/>
          <w:color w:val="231F20"/>
          <w:sz w:val="18"/>
        </w:rPr>
        <w:t>read</w:t>
      </w:r>
      <w:r>
        <w:rPr>
          <w:color w:val="231F20"/>
          <w:sz w:val="18"/>
        </w:rPr>
        <w:t>’ mode. With this proposed security system, more complicated ‘read’ access to various data sizes for individual users can be flexibly controlled, while other access mode can be controlled as usual. An implementation example for a database system that manages specimen and clinical information is presented.</w:t>
      </w:r>
    </w:p>
    <w:p>
      <w:pPr>
        <w:pStyle w:val="BodyText"/>
      </w:pPr>
    </w:p>
    <w:p>
      <w:pPr>
        <w:pStyle w:val="BodyText"/>
      </w:pPr>
    </w:p>
    <w:p>
      <w:pPr>
        <w:pStyle w:val="BodyText"/>
        <w:spacing w:before="213"/>
      </w:pPr>
      <w:r>
        <w:rPr/>
        <mc:AlternateContent>
          <mc:Choice Requires="wps">
            <w:drawing>
              <wp:anchor distT="0" distB="0" distL="0" distR="0" allowOverlap="1" layoutInCell="1" locked="0" behindDoc="1" simplePos="0" relativeHeight="487587840">
                <wp:simplePos x="0" y="0"/>
                <wp:positionH relativeFrom="page">
                  <wp:posOffset>540579</wp:posOffset>
                </wp:positionH>
                <wp:positionV relativeFrom="paragraph">
                  <wp:posOffset>296883</wp:posOffset>
                </wp:positionV>
                <wp:extent cx="1827530" cy="508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7530" cy="5080"/>
                        </a:xfrm>
                        <a:custGeom>
                          <a:avLst/>
                          <a:gdLst/>
                          <a:ahLst/>
                          <a:cxnLst/>
                          <a:rect l="l" t="t" r="r" b="b"/>
                          <a:pathLst>
                            <a:path w="1827530" h="5080">
                              <a:moveTo>
                                <a:pt x="1827276" y="0"/>
                              </a:moveTo>
                              <a:lnTo>
                                <a:pt x="0" y="0"/>
                              </a:lnTo>
                              <a:lnTo>
                                <a:pt x="0" y="4572"/>
                              </a:lnTo>
                              <a:lnTo>
                                <a:pt x="1827276" y="4572"/>
                              </a:lnTo>
                              <a:lnTo>
                                <a:pt x="18272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65304pt;margin-top:23.376667pt;width:143.88pt;height:.36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line="254" w:lineRule="auto" w:before="101"/>
        <w:ind w:left="281" w:right="0" w:hanging="171"/>
        <w:jc w:val="left"/>
        <w:rPr>
          <w:sz w:val="18"/>
        </w:rPr>
      </w:pPr>
      <w:r>
        <w:rPr>
          <w:color w:val="231F20"/>
          <w:position w:val="6"/>
          <w:sz w:val="12"/>
        </w:rPr>
        <w:t>*</w:t>
      </w:r>
      <w:r>
        <w:rPr>
          <w:color w:val="231F20"/>
          <w:spacing w:val="71"/>
          <w:position w:val="6"/>
          <w:sz w:val="12"/>
        </w:rPr>
        <w:t> </w:t>
      </w:r>
      <w:r>
        <w:rPr>
          <w:color w:val="231F20"/>
          <w:sz w:val="18"/>
        </w:rPr>
        <w:t>This study was supported by a grant of the International Mobile Telecommunications 2000 R&amp;D Project, Ministry of Information &amp; Communication, Republic of Korea.</w:t>
      </w:r>
    </w:p>
    <w:p>
      <w:pPr>
        <w:pStyle w:val="BodyText"/>
        <w:spacing w:before="58"/>
        <w:rPr>
          <w:sz w:val="16"/>
        </w:rPr>
      </w:pPr>
    </w:p>
    <w:p>
      <w:pPr>
        <w:spacing w:line="182" w:lineRule="exact" w:before="1"/>
        <w:ind w:left="111" w:right="0" w:firstLine="0"/>
        <w:jc w:val="left"/>
        <w:rPr>
          <w:sz w:val="16"/>
        </w:rPr>
      </w:pPr>
      <w:r>
        <w:rPr>
          <w:color w:val="231F20"/>
          <w:sz w:val="16"/>
        </w:rPr>
        <w:t>V. Ma</w:t>
      </w:r>
      <w:r>
        <w:rPr>
          <w:color w:val="231F20"/>
          <w:spacing w:val="3"/>
          <w:sz w:val="16"/>
        </w:rPr>
        <w:drawing>
          <wp:inline distT="0" distB="0" distL="0" distR="0">
            <wp:extent cx="32004" cy="6858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2004" cy="68580"/>
                    </a:xfrm>
                    <a:prstGeom prst="rect">
                      <a:avLst/>
                    </a:prstGeom>
                  </pic:spPr>
                </pic:pic>
              </a:graphicData>
            </a:graphic>
          </wp:inline>
        </w:drawing>
      </w:r>
      <w:r>
        <w:rPr>
          <w:color w:val="231F20"/>
          <w:spacing w:val="3"/>
          <w:sz w:val="16"/>
        </w:rPr>
      </w:r>
      <w:r>
        <w:rPr>
          <w:color w:val="231F20"/>
          <w:sz w:val="16"/>
        </w:rPr>
        <w:t>ík</w:t>
      </w:r>
      <w:r>
        <w:rPr>
          <w:color w:val="231F20"/>
          <w:spacing w:val="1"/>
          <w:sz w:val="16"/>
        </w:rPr>
        <w:t> </w:t>
      </w:r>
      <w:r>
        <w:rPr>
          <w:color w:val="231F20"/>
          <w:sz w:val="16"/>
        </w:rPr>
        <w:t>et al.</w:t>
      </w:r>
      <w:r>
        <w:rPr>
          <w:color w:val="231F20"/>
          <w:spacing w:val="1"/>
          <w:sz w:val="16"/>
        </w:rPr>
        <w:t> </w:t>
      </w:r>
      <w:r>
        <w:rPr>
          <w:color w:val="231F20"/>
          <w:sz w:val="16"/>
        </w:rPr>
        <w:t>(Eds.):</w:t>
      </w:r>
      <w:r>
        <w:rPr>
          <w:color w:val="231F20"/>
          <w:spacing w:val="1"/>
          <w:sz w:val="16"/>
        </w:rPr>
        <w:t> </w:t>
      </w:r>
      <w:r>
        <w:rPr>
          <w:color w:val="231F20"/>
          <w:sz w:val="16"/>
        </w:rPr>
        <w:t>DEXA</w:t>
      </w:r>
      <w:r>
        <w:rPr>
          <w:color w:val="231F20"/>
          <w:spacing w:val="-2"/>
          <w:sz w:val="16"/>
        </w:rPr>
        <w:t> </w:t>
      </w:r>
      <w:r>
        <w:rPr>
          <w:color w:val="231F20"/>
          <w:sz w:val="16"/>
        </w:rPr>
        <w:t>2003,</w:t>
      </w:r>
      <w:r>
        <w:rPr>
          <w:color w:val="231F20"/>
          <w:spacing w:val="1"/>
          <w:sz w:val="16"/>
        </w:rPr>
        <w:t> </w:t>
      </w:r>
      <w:r>
        <w:rPr>
          <w:color w:val="231F20"/>
          <w:sz w:val="16"/>
        </w:rPr>
        <w:t>LNCS 2736, pp.</w:t>
      </w:r>
      <w:r>
        <w:rPr>
          <w:color w:val="231F20"/>
          <w:spacing w:val="1"/>
          <w:sz w:val="16"/>
        </w:rPr>
        <w:t> </w:t>
      </w:r>
      <w:r>
        <w:rPr>
          <w:color w:val="231F20"/>
          <w:sz w:val="16"/>
        </w:rPr>
        <w:t>876–885,</w:t>
      </w:r>
      <w:r>
        <w:rPr>
          <w:color w:val="231F20"/>
          <w:spacing w:val="1"/>
          <w:sz w:val="16"/>
        </w:rPr>
        <w:t> </w:t>
      </w:r>
      <w:r>
        <w:rPr>
          <w:color w:val="231F20"/>
          <w:spacing w:val="-2"/>
          <w:sz w:val="16"/>
        </w:rPr>
        <w:t>2003.</w:t>
      </w:r>
    </w:p>
    <w:p>
      <w:pPr>
        <w:spacing w:line="182" w:lineRule="exact" w:before="0"/>
        <w:ind w:left="111" w:right="0" w:firstLine="0"/>
        <w:jc w:val="left"/>
        <w:rPr>
          <w:sz w:val="16"/>
        </w:rPr>
      </w:pPr>
      <w:r>
        <w:rPr>
          <w:color w:val="231F20"/>
          <w:sz w:val="16"/>
        </w:rPr>
        <w:t>©</w:t>
      </w:r>
      <w:r>
        <w:rPr>
          <w:color w:val="231F20"/>
          <w:spacing w:val="-2"/>
          <w:sz w:val="16"/>
        </w:rPr>
        <w:t> </w:t>
      </w:r>
      <w:r>
        <w:rPr>
          <w:color w:val="231F20"/>
          <w:sz w:val="16"/>
        </w:rPr>
        <w:t>Springer-Verlag</w:t>
      </w:r>
      <w:r>
        <w:rPr>
          <w:color w:val="231F20"/>
          <w:spacing w:val="-1"/>
          <w:sz w:val="16"/>
        </w:rPr>
        <w:t> </w:t>
      </w:r>
      <w:r>
        <w:rPr>
          <w:color w:val="231F20"/>
          <w:sz w:val="16"/>
        </w:rPr>
        <w:t>Berlin</w:t>
      </w:r>
      <w:r>
        <w:rPr>
          <w:color w:val="231F20"/>
          <w:spacing w:val="-1"/>
          <w:sz w:val="16"/>
        </w:rPr>
        <w:t> </w:t>
      </w:r>
      <w:r>
        <w:rPr>
          <w:color w:val="231F20"/>
          <w:sz w:val="16"/>
        </w:rPr>
        <w:t>Heidelberg </w:t>
      </w:r>
      <w:r>
        <w:rPr>
          <w:color w:val="231F20"/>
          <w:spacing w:val="-4"/>
          <w:sz w:val="16"/>
        </w:rPr>
        <w:t>2003</w:t>
      </w:r>
    </w:p>
    <w:p>
      <w:pPr>
        <w:spacing w:after="0" w:line="182" w:lineRule="exact"/>
        <w:jc w:val="left"/>
        <w:rPr>
          <w:sz w:val="16"/>
        </w:rPr>
        <w:sectPr>
          <w:type w:val="continuous"/>
          <w:pgSz w:w="8600" w:h="13200"/>
          <w:pgMar w:top="1040" w:bottom="280" w:left="740" w:right="720"/>
        </w:sectPr>
      </w:pPr>
    </w:p>
    <w:p>
      <w:pPr>
        <w:tabs>
          <w:tab w:pos="6762" w:val="left" w:leader="none"/>
        </w:tabs>
        <w:spacing w:before="72"/>
        <w:ind w:left="776" w:right="0" w:firstLine="0"/>
        <w:jc w:val="left"/>
        <w:rPr>
          <w:sz w:val="18"/>
        </w:rPr>
      </w:pPr>
      <w:r>
        <w:rPr>
          <w:color w:val="231F20"/>
          <w:sz w:val="18"/>
        </w:rPr>
        <w:t>A</w:t>
      </w:r>
      <w:r>
        <w:rPr>
          <w:color w:val="231F20"/>
          <w:spacing w:val="-6"/>
          <w:sz w:val="18"/>
        </w:rPr>
        <w:t> </w:t>
      </w:r>
      <w:r>
        <w:rPr>
          <w:color w:val="231F20"/>
          <w:sz w:val="18"/>
        </w:rPr>
        <w:t>Flexible</w:t>
      </w:r>
      <w:r>
        <w:rPr>
          <w:color w:val="231F20"/>
          <w:spacing w:val="-6"/>
          <w:sz w:val="18"/>
        </w:rPr>
        <w:t> </w:t>
      </w:r>
      <w:r>
        <w:rPr>
          <w:color w:val="231F20"/>
          <w:sz w:val="18"/>
        </w:rPr>
        <w:t>Database</w:t>
      </w:r>
      <w:r>
        <w:rPr>
          <w:color w:val="231F20"/>
          <w:spacing w:val="-5"/>
          <w:sz w:val="18"/>
        </w:rPr>
        <w:t> </w:t>
      </w:r>
      <w:r>
        <w:rPr>
          <w:color w:val="231F20"/>
          <w:sz w:val="18"/>
        </w:rPr>
        <w:t>Security</w:t>
      </w:r>
      <w:r>
        <w:rPr>
          <w:color w:val="231F20"/>
          <w:spacing w:val="-6"/>
          <w:sz w:val="18"/>
        </w:rPr>
        <w:t> </w:t>
      </w:r>
      <w:r>
        <w:rPr>
          <w:color w:val="231F20"/>
          <w:sz w:val="18"/>
        </w:rPr>
        <w:t>System</w:t>
      </w:r>
      <w:r>
        <w:rPr>
          <w:color w:val="231F20"/>
          <w:spacing w:val="-6"/>
          <w:sz w:val="18"/>
        </w:rPr>
        <w:t> </w:t>
      </w:r>
      <w:r>
        <w:rPr>
          <w:color w:val="231F20"/>
          <w:sz w:val="18"/>
        </w:rPr>
        <w:t>Using</w:t>
      </w:r>
      <w:r>
        <w:rPr>
          <w:color w:val="231F20"/>
          <w:spacing w:val="-5"/>
          <w:sz w:val="18"/>
        </w:rPr>
        <w:t> </w:t>
      </w:r>
      <w:r>
        <w:rPr>
          <w:color w:val="231F20"/>
          <w:sz w:val="18"/>
        </w:rPr>
        <w:t>Multiple</w:t>
      </w:r>
      <w:r>
        <w:rPr>
          <w:color w:val="231F20"/>
          <w:spacing w:val="-6"/>
          <w:sz w:val="18"/>
        </w:rPr>
        <w:t> </w:t>
      </w:r>
      <w:r>
        <w:rPr>
          <w:color w:val="231F20"/>
          <w:sz w:val="18"/>
        </w:rPr>
        <w:t>Access</w:t>
      </w:r>
      <w:r>
        <w:rPr>
          <w:color w:val="231F20"/>
          <w:spacing w:val="-6"/>
          <w:sz w:val="18"/>
        </w:rPr>
        <w:t> </w:t>
      </w:r>
      <w:r>
        <w:rPr>
          <w:color w:val="231F20"/>
          <w:sz w:val="18"/>
        </w:rPr>
        <w:t>Control</w:t>
      </w:r>
      <w:r>
        <w:rPr>
          <w:color w:val="231F20"/>
          <w:spacing w:val="-5"/>
          <w:sz w:val="18"/>
        </w:rPr>
        <w:t> </w:t>
      </w:r>
      <w:r>
        <w:rPr>
          <w:color w:val="231F20"/>
          <w:spacing w:val="-2"/>
          <w:sz w:val="18"/>
        </w:rPr>
        <w:t>Policies</w:t>
      </w:r>
      <w:r>
        <w:rPr>
          <w:color w:val="231F20"/>
          <w:sz w:val="18"/>
        </w:rPr>
        <w:tab/>
      </w:r>
      <w:r>
        <w:rPr>
          <w:color w:val="231F20"/>
          <w:spacing w:val="-5"/>
          <w:sz w:val="18"/>
        </w:rPr>
        <w:t>877</w:t>
      </w:r>
    </w:p>
    <w:p>
      <w:pPr>
        <w:pStyle w:val="BodyText"/>
        <w:spacing w:before="91"/>
        <w:rPr>
          <w:sz w:val="18"/>
        </w:rPr>
      </w:pPr>
    </w:p>
    <w:p>
      <w:pPr>
        <w:spacing w:before="0"/>
        <w:ind w:left="111" w:right="0" w:firstLine="0"/>
        <w:jc w:val="left"/>
        <w:rPr>
          <w:b/>
          <w:sz w:val="24"/>
        </w:rPr>
      </w:pPr>
      <w:r>
        <w:rPr>
          <w:b/>
          <w:color w:val="231F20"/>
          <w:sz w:val="24"/>
        </w:rPr>
        <w:t>1</w:t>
      </w:r>
      <w:r>
        <w:rPr>
          <w:b/>
          <w:color w:val="231F20"/>
          <w:spacing w:val="30"/>
          <w:sz w:val="24"/>
        </w:rPr>
        <w:t>  </w:t>
      </w:r>
      <w:r>
        <w:rPr>
          <w:b/>
          <w:color w:val="231F20"/>
          <w:spacing w:val="-2"/>
          <w:sz w:val="24"/>
        </w:rPr>
        <w:t>Introduction</w:t>
      </w:r>
    </w:p>
    <w:p>
      <w:pPr>
        <w:pStyle w:val="BodyText"/>
        <w:spacing w:before="12"/>
        <w:rPr>
          <w:b/>
          <w:sz w:val="24"/>
        </w:rPr>
      </w:pPr>
    </w:p>
    <w:p>
      <w:pPr>
        <w:pStyle w:val="BodyText"/>
        <w:spacing w:line="232" w:lineRule="auto"/>
        <w:ind w:left="111" w:right="106"/>
        <w:jc w:val="both"/>
      </w:pPr>
      <w:r>
        <w:rPr>
          <w:color w:val="231F20"/>
        </w:rPr>
        <w:t>Database</w:t>
      </w:r>
      <w:r>
        <w:rPr>
          <w:color w:val="231F20"/>
          <w:spacing w:val="-1"/>
        </w:rPr>
        <w:t> </w:t>
      </w:r>
      <w:r>
        <w:rPr>
          <w:color w:val="231F20"/>
        </w:rPr>
        <w:t>security</w:t>
      </w:r>
      <w:r>
        <w:rPr>
          <w:color w:val="231F20"/>
          <w:spacing w:val="-2"/>
        </w:rPr>
        <w:t> </w:t>
      </w:r>
      <w:r>
        <w:rPr>
          <w:color w:val="231F20"/>
        </w:rPr>
        <w:t>becomes</w:t>
      </w:r>
      <w:r>
        <w:rPr>
          <w:color w:val="231F20"/>
          <w:spacing w:val="-4"/>
        </w:rPr>
        <w:t> </w:t>
      </w:r>
      <w:r>
        <w:rPr>
          <w:color w:val="231F20"/>
        </w:rPr>
        <w:t>more</w:t>
      </w:r>
      <w:r>
        <w:rPr>
          <w:color w:val="231F20"/>
          <w:spacing w:val="-3"/>
        </w:rPr>
        <w:t> </w:t>
      </w:r>
      <w:r>
        <w:rPr>
          <w:color w:val="231F20"/>
        </w:rPr>
        <w:t>crucial</w:t>
      </w:r>
      <w:r>
        <w:rPr>
          <w:color w:val="231F20"/>
          <w:spacing w:val="-3"/>
        </w:rPr>
        <w:t> </w:t>
      </w:r>
      <w:r>
        <w:rPr>
          <w:color w:val="231F20"/>
        </w:rPr>
        <w:t>as</w:t>
      </w:r>
      <w:r>
        <w:rPr>
          <w:color w:val="231F20"/>
          <w:spacing w:val="-4"/>
        </w:rPr>
        <w:t> </w:t>
      </w:r>
      <w:r>
        <w:rPr>
          <w:color w:val="231F20"/>
        </w:rPr>
        <w:t>the</w:t>
      </w:r>
      <w:r>
        <w:rPr>
          <w:color w:val="231F20"/>
          <w:spacing w:val="-3"/>
        </w:rPr>
        <w:t> </w:t>
      </w:r>
      <w:r>
        <w:rPr>
          <w:color w:val="231F20"/>
        </w:rPr>
        <w:t>scale</w:t>
      </w:r>
      <w:r>
        <w:rPr>
          <w:color w:val="231F20"/>
          <w:spacing w:val="-3"/>
        </w:rPr>
        <w:t> </w:t>
      </w:r>
      <w:r>
        <w:rPr>
          <w:color w:val="231F20"/>
        </w:rPr>
        <w:t>of</w:t>
      </w:r>
      <w:r>
        <w:rPr>
          <w:color w:val="231F20"/>
          <w:spacing w:val="-3"/>
        </w:rPr>
        <w:t> </w:t>
      </w:r>
      <w:r>
        <w:rPr>
          <w:color w:val="231F20"/>
        </w:rPr>
        <w:t>database</w:t>
      </w:r>
      <w:r>
        <w:rPr>
          <w:color w:val="231F20"/>
          <w:spacing w:val="-3"/>
        </w:rPr>
        <w:t> </w:t>
      </w:r>
      <w:r>
        <w:rPr>
          <w:color w:val="231F20"/>
        </w:rPr>
        <w:t>for</w:t>
      </w:r>
      <w:r>
        <w:rPr>
          <w:color w:val="231F20"/>
          <w:spacing w:val="-3"/>
        </w:rPr>
        <w:t> </w:t>
      </w:r>
      <w:r>
        <w:rPr>
          <w:color w:val="231F20"/>
        </w:rPr>
        <w:t>public</w:t>
      </w:r>
      <w:r>
        <w:rPr>
          <w:color w:val="231F20"/>
          <w:spacing w:val="-3"/>
        </w:rPr>
        <w:t> </w:t>
      </w:r>
      <w:r>
        <w:rPr>
          <w:color w:val="231F20"/>
        </w:rPr>
        <w:t>and</w:t>
      </w:r>
      <w:r>
        <w:rPr>
          <w:color w:val="231F20"/>
          <w:spacing w:val="-5"/>
        </w:rPr>
        <w:t> </w:t>
      </w:r>
      <w:r>
        <w:rPr>
          <w:color w:val="231F20"/>
        </w:rPr>
        <w:t>private organizations is growing and the various user access schemes are required. Recently, most relational database management systems(RDBMS) provide only some limited security techniques, which generally use a policy-based access control[1].</w:t>
      </w:r>
    </w:p>
    <w:p>
      <w:pPr>
        <w:pStyle w:val="BodyText"/>
        <w:spacing w:line="232" w:lineRule="auto" w:before="1"/>
        <w:ind w:left="111" w:right="106" w:firstLine="199"/>
        <w:jc w:val="both"/>
      </w:pPr>
      <w:r>
        <w:rPr>
          <w:color w:val="231F20"/>
        </w:rPr>
        <w:t>The most popular access control policies currently used are Mandatory Access Control(MAC), Discretionary Access Control(DAC), Role-Based Access Control(RBAC). MAC policy designates a security level to data and users, and therefore makes it possible to control the abnormal flow</w:t>
      </w:r>
      <w:r>
        <w:rPr>
          <w:color w:val="231F20"/>
          <w:spacing w:val="-1"/>
        </w:rPr>
        <w:t> </w:t>
      </w:r>
      <w:r>
        <w:rPr>
          <w:color w:val="231F20"/>
        </w:rPr>
        <w:t>of information.</w:t>
      </w:r>
      <w:r>
        <w:rPr>
          <w:color w:val="231F20"/>
          <w:spacing w:val="-1"/>
        </w:rPr>
        <w:t> </w:t>
      </w:r>
      <w:r>
        <w:rPr>
          <w:color w:val="231F20"/>
        </w:rPr>
        <w:t>However,</w:t>
      </w:r>
      <w:r>
        <w:rPr>
          <w:color w:val="231F20"/>
          <w:spacing w:val="-1"/>
        </w:rPr>
        <w:t> </w:t>
      </w:r>
      <w:r>
        <w:rPr>
          <w:color w:val="231F20"/>
        </w:rPr>
        <w:t>the MAC policy lacks the flexibility to fulfill the conditions for a complex access control[2]. While DAC policy can control the access flexibly rather than the MAC policy, it cannot control an illegal flow of information to unauthorized users[3]. RBAC policy assigns the users to applicable roles, and the users can</w:t>
      </w:r>
      <w:r>
        <w:rPr>
          <w:color w:val="231F20"/>
          <w:spacing w:val="-1"/>
        </w:rPr>
        <w:t> </w:t>
      </w:r>
      <w:r>
        <w:rPr>
          <w:color w:val="231F20"/>
        </w:rPr>
        <w:t>access</w:t>
      </w:r>
      <w:r>
        <w:rPr>
          <w:color w:val="231F20"/>
          <w:spacing w:val="-1"/>
        </w:rPr>
        <w:t> </w:t>
      </w:r>
      <w:r>
        <w:rPr>
          <w:color w:val="231F20"/>
        </w:rPr>
        <w:t>to</w:t>
      </w:r>
      <w:r>
        <w:rPr>
          <w:color w:val="231F20"/>
          <w:spacing w:val="-1"/>
        </w:rPr>
        <w:t> </w:t>
      </w:r>
      <w:r>
        <w:rPr>
          <w:color w:val="231F20"/>
        </w:rPr>
        <w:t>data by the access right assigned to each role. Therefore, RBAC policy can provide simple security management methods and also prevent the abused access right by allowing only least privilege to the users[4][5].</w:t>
      </w:r>
    </w:p>
    <w:p>
      <w:pPr>
        <w:pStyle w:val="BodyText"/>
        <w:spacing w:line="232" w:lineRule="auto" w:before="1"/>
        <w:ind w:left="111" w:right="106" w:firstLine="199"/>
        <w:jc w:val="both"/>
      </w:pPr>
      <w:r>
        <w:rPr>
          <w:color w:val="231F20"/>
        </w:rPr>
        <w:t>With respect to the characteristics of each access control policy above, some security models using one or two policies were proposed for the database system. Some models using the MAC policy are Access Matrix model, Task-Grant model, Action-Entity model, Wood and so on[6]. Jojodia-sandhu model and Smith-Winslett model adopt the DAC policy[7][8][9]. Sea View model is a suggestion to combine both</w:t>
      </w:r>
      <w:r>
        <w:rPr>
          <w:color w:val="231F20"/>
          <w:spacing w:val="-2"/>
        </w:rPr>
        <w:t> </w:t>
      </w:r>
      <w:r>
        <w:rPr>
          <w:color w:val="231F20"/>
        </w:rPr>
        <w:t>policies[10]. Additionally, there</w:t>
      </w:r>
      <w:r>
        <w:rPr>
          <w:color w:val="231F20"/>
          <w:spacing w:val="-1"/>
        </w:rPr>
        <w:t> </w:t>
      </w:r>
      <w:r>
        <w:rPr>
          <w:color w:val="231F20"/>
        </w:rPr>
        <w:t>are</w:t>
      </w:r>
      <w:r>
        <w:rPr>
          <w:color w:val="231F20"/>
          <w:spacing w:val="-1"/>
        </w:rPr>
        <w:t> </w:t>
      </w:r>
      <w:r>
        <w:rPr>
          <w:color w:val="231F20"/>
        </w:rPr>
        <w:t>researches</w:t>
      </w:r>
      <w:r>
        <w:rPr>
          <w:color w:val="231F20"/>
          <w:spacing w:val="-3"/>
        </w:rPr>
        <w:t> </w:t>
      </w:r>
      <w:r>
        <w:rPr>
          <w:color w:val="231F20"/>
        </w:rPr>
        <w:t>referring</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RBAC</w:t>
      </w:r>
      <w:r>
        <w:rPr>
          <w:color w:val="231F20"/>
          <w:spacing w:val="-3"/>
        </w:rPr>
        <w:t> </w:t>
      </w:r>
      <w:r>
        <w:rPr>
          <w:color w:val="231F20"/>
        </w:rPr>
        <w:t>techniques that provide simple security management by Sandhu-Bhamidipati and </w:t>
      </w:r>
      <w:r>
        <w:rPr>
          <w:color w:val="231F20"/>
          <w:spacing w:val="-2"/>
        </w:rPr>
        <w:t>Ferraiolo[11][12].</w:t>
      </w:r>
    </w:p>
    <w:p>
      <w:pPr>
        <w:pStyle w:val="BodyText"/>
        <w:spacing w:line="235" w:lineRule="auto"/>
        <w:ind w:left="111" w:right="105" w:firstLine="199"/>
        <w:jc w:val="both"/>
      </w:pPr>
      <w:r>
        <w:rPr>
          <w:color w:val="231F20"/>
        </w:rPr>
        <w:t>Those security models extend the standard relational database model, and have a drawback</w:t>
      </w:r>
      <w:r>
        <w:rPr>
          <w:color w:val="231F20"/>
          <w:spacing w:val="-2"/>
        </w:rPr>
        <w:t> </w:t>
      </w:r>
      <w:r>
        <w:rPr>
          <w:color w:val="231F20"/>
        </w:rPr>
        <w:t>that</w:t>
      </w:r>
      <w:r>
        <w:rPr>
          <w:color w:val="231F20"/>
          <w:spacing w:val="-1"/>
        </w:rPr>
        <w:t> </w:t>
      </w:r>
      <w:r>
        <w:rPr>
          <w:color w:val="231F20"/>
        </w:rPr>
        <w:t>a</w:t>
      </w:r>
      <w:r>
        <w:rPr>
          <w:color w:val="231F20"/>
          <w:spacing w:val="-1"/>
        </w:rPr>
        <w:t> </w:t>
      </w:r>
      <w:r>
        <w:rPr>
          <w:color w:val="231F20"/>
        </w:rPr>
        <w:t>modification</w:t>
      </w:r>
      <w:r>
        <w:rPr>
          <w:color w:val="231F20"/>
          <w:spacing w:val="-2"/>
        </w:rPr>
        <w:t> </w:t>
      </w:r>
      <w:r>
        <w:rPr>
          <w:color w:val="231F20"/>
        </w:rPr>
        <w:t>or alternation</w:t>
      </w:r>
      <w:r>
        <w:rPr>
          <w:color w:val="231F20"/>
          <w:spacing w:val="-2"/>
        </w:rPr>
        <w:t> </w:t>
      </w:r>
      <w:r>
        <w:rPr>
          <w:color w:val="231F20"/>
        </w:rPr>
        <w:t>is</w:t>
      </w:r>
      <w:r>
        <w:rPr>
          <w:color w:val="231F20"/>
          <w:spacing w:val="-2"/>
        </w:rPr>
        <w:t> </w:t>
      </w:r>
      <w:r>
        <w:rPr>
          <w:color w:val="231F20"/>
        </w:rPr>
        <w:t>not</w:t>
      </w:r>
      <w:r>
        <w:rPr>
          <w:color w:val="231F20"/>
          <w:spacing w:val="-4"/>
        </w:rPr>
        <w:t> </w:t>
      </w:r>
      <w:r>
        <w:rPr>
          <w:color w:val="231F20"/>
        </w:rPr>
        <w:t>easy</w:t>
      </w:r>
      <w:r>
        <w:rPr>
          <w:color w:val="231F20"/>
          <w:spacing w:val="-5"/>
        </w:rPr>
        <w:t> </w:t>
      </w:r>
      <w:r>
        <w:rPr>
          <w:color w:val="231F20"/>
        </w:rPr>
        <w:t>when</w:t>
      </w:r>
      <w:r>
        <w:rPr>
          <w:color w:val="231F20"/>
          <w:spacing w:val="-5"/>
        </w:rPr>
        <w:t> </w:t>
      </w:r>
      <w:r>
        <w:rPr>
          <w:color w:val="231F20"/>
        </w:rPr>
        <w:t>security</w:t>
      </w:r>
      <w:r>
        <w:rPr>
          <w:color w:val="231F20"/>
          <w:spacing w:val="-5"/>
        </w:rPr>
        <w:t> </w:t>
      </w:r>
      <w:r>
        <w:rPr>
          <w:color w:val="231F20"/>
        </w:rPr>
        <w:t>requirements</w:t>
      </w:r>
      <w:r>
        <w:rPr>
          <w:color w:val="231F20"/>
          <w:spacing w:val="-4"/>
        </w:rPr>
        <w:t> </w:t>
      </w:r>
      <w:r>
        <w:rPr>
          <w:color w:val="231F20"/>
        </w:rPr>
        <w:t>are frequently changed. That is, they are not suitable to the situations when the user’s access right on a data changes at any time, and also have difficulty in performing different access control for each user to the same data. For example, if two users have same access right on the same attributes but have different access right on the</w:t>
      </w:r>
      <w:r>
        <w:rPr>
          <w:color w:val="231F20"/>
          <w:spacing w:val="40"/>
        </w:rPr>
        <w:t> </w:t>
      </w:r>
      <w:r>
        <w:rPr>
          <w:color w:val="231F20"/>
        </w:rPr>
        <w:t>different tuples in a table of medical information database, it is not easy</w:t>
      </w:r>
      <w:r>
        <w:rPr>
          <w:color w:val="231F20"/>
          <w:spacing w:val="-1"/>
        </w:rPr>
        <w:t> </w:t>
      </w:r>
      <w:r>
        <w:rPr>
          <w:color w:val="231F20"/>
        </w:rPr>
        <w:t>to</w:t>
      </w:r>
      <w:r>
        <w:rPr>
          <w:color w:val="231F20"/>
          <w:spacing w:val="-1"/>
        </w:rPr>
        <w:t> </w:t>
      </w:r>
      <w:r>
        <w:rPr>
          <w:color w:val="231F20"/>
        </w:rPr>
        <w:t>control the individual access by the existing security models. In some situations</w:t>
      </w:r>
      <w:r>
        <w:rPr>
          <w:color w:val="231F20"/>
          <w:sz w:val="18"/>
        </w:rPr>
        <w:t>, </w:t>
      </w:r>
      <w:r>
        <w:rPr>
          <w:color w:val="231F20"/>
        </w:rPr>
        <w:t>it is frequently required</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user who</w:t>
      </w:r>
      <w:r>
        <w:rPr>
          <w:color w:val="231F20"/>
          <w:spacing w:val="-1"/>
        </w:rPr>
        <w:t> </w:t>
      </w:r>
      <w:r>
        <w:rPr>
          <w:color w:val="231F20"/>
        </w:rPr>
        <w:t>has</w:t>
      </w:r>
      <w:r>
        <w:rPr>
          <w:color w:val="231F20"/>
          <w:spacing w:val="-1"/>
        </w:rPr>
        <w:t> </w:t>
      </w:r>
      <w:r>
        <w:rPr>
          <w:color w:val="231F20"/>
        </w:rPr>
        <w:t>access</w:t>
      </w:r>
      <w:r>
        <w:rPr>
          <w:color w:val="231F20"/>
          <w:spacing w:val="-1"/>
        </w:rPr>
        <w:t> </w:t>
      </w:r>
      <w:r>
        <w:rPr>
          <w:color w:val="231F20"/>
        </w:rPr>
        <w:t>right</w:t>
      </w:r>
      <w:r>
        <w:rPr>
          <w:color w:val="231F20"/>
          <w:spacing w:val="-1"/>
        </w:rPr>
        <w:t> </w:t>
      </w:r>
      <w:r>
        <w:rPr>
          <w:color w:val="231F20"/>
        </w:rPr>
        <w:t>on</w:t>
      </w:r>
      <w:r>
        <w:rPr>
          <w:color w:val="231F20"/>
          <w:spacing w:val="-1"/>
        </w:rPr>
        <w:t> </w:t>
      </w:r>
      <w:r>
        <w:rPr>
          <w:color w:val="231F20"/>
        </w:rPr>
        <w:t>specific</w:t>
      </w:r>
      <w:r>
        <w:rPr>
          <w:color w:val="231F20"/>
          <w:spacing w:val="-1"/>
        </w:rPr>
        <w:t> </w:t>
      </w:r>
      <w:r>
        <w:rPr>
          <w:color w:val="231F20"/>
        </w:rPr>
        <w:t>patient</w:t>
      </w:r>
      <w:r>
        <w:rPr>
          <w:color w:val="231F20"/>
          <w:spacing w:val="-1"/>
        </w:rPr>
        <w:t> </w:t>
      </w:r>
      <w:r>
        <w:rPr>
          <w:color w:val="231F20"/>
        </w:rPr>
        <w:t>data</w:t>
      </w:r>
      <w:r>
        <w:rPr>
          <w:color w:val="231F20"/>
          <w:spacing w:val="-1"/>
        </w:rPr>
        <w:t> </w:t>
      </w:r>
      <w:r>
        <w:rPr>
          <w:color w:val="231F20"/>
        </w:rPr>
        <w:t>should</w:t>
      </w:r>
      <w:r>
        <w:rPr>
          <w:color w:val="231F20"/>
          <w:spacing w:val="-3"/>
        </w:rPr>
        <w:t> </w:t>
      </w:r>
      <w:r>
        <w:rPr>
          <w:color w:val="231F20"/>
        </w:rPr>
        <w:t>grant</w:t>
      </w:r>
      <w:r>
        <w:rPr>
          <w:color w:val="231F20"/>
          <w:spacing w:val="-3"/>
        </w:rPr>
        <w:t> </w:t>
      </w:r>
      <w:r>
        <w:rPr>
          <w:color w:val="231F20"/>
        </w:rPr>
        <w:t>access right to some users who does not have. Consequently, a special access control is necessary for each data group of different sizes, which is formed by a combination of various tuples and attributes.</w:t>
      </w:r>
    </w:p>
    <w:p>
      <w:pPr>
        <w:pStyle w:val="BodyText"/>
        <w:spacing w:line="211" w:lineRule="exact"/>
        <w:ind w:left="310"/>
        <w:jc w:val="both"/>
      </w:pPr>
      <w:r>
        <w:rPr>
          <w:color w:val="231F20"/>
        </w:rPr>
        <w:t>In</w:t>
      </w:r>
      <w:r>
        <w:rPr>
          <w:color w:val="231F20"/>
          <w:spacing w:val="-4"/>
        </w:rPr>
        <w:t> </w:t>
      </w:r>
      <w:r>
        <w:rPr>
          <w:color w:val="231F20"/>
        </w:rPr>
        <w:t>this</w:t>
      </w:r>
      <w:r>
        <w:rPr>
          <w:color w:val="231F20"/>
          <w:spacing w:val="-4"/>
        </w:rPr>
        <w:t> </w:t>
      </w:r>
      <w:r>
        <w:rPr>
          <w:color w:val="231F20"/>
        </w:rPr>
        <w:t>paper,</w:t>
      </w:r>
      <w:r>
        <w:rPr>
          <w:color w:val="231F20"/>
          <w:spacing w:val="-3"/>
        </w:rPr>
        <w:t> </w:t>
      </w:r>
      <w:r>
        <w:rPr>
          <w:color w:val="231F20"/>
        </w:rPr>
        <w:t>we</w:t>
      </w:r>
      <w:r>
        <w:rPr>
          <w:color w:val="231F20"/>
          <w:spacing w:val="-4"/>
        </w:rPr>
        <w:t> </w:t>
      </w:r>
      <w:r>
        <w:rPr>
          <w:color w:val="231F20"/>
        </w:rPr>
        <w:t>propose</w:t>
      </w:r>
      <w:r>
        <w:rPr>
          <w:color w:val="231F20"/>
          <w:spacing w:val="-4"/>
        </w:rPr>
        <w:t> </w:t>
      </w:r>
      <w:r>
        <w:rPr>
          <w:color w:val="231F20"/>
        </w:rPr>
        <w:t>a</w:t>
      </w:r>
      <w:r>
        <w:rPr>
          <w:color w:val="231F20"/>
          <w:spacing w:val="-4"/>
        </w:rPr>
        <w:t> </w:t>
      </w:r>
      <w:r>
        <w:rPr>
          <w:color w:val="231F20"/>
        </w:rPr>
        <w:t>system</w:t>
      </w:r>
      <w:r>
        <w:rPr>
          <w:color w:val="231F20"/>
          <w:spacing w:val="-4"/>
        </w:rPr>
        <w:t> </w:t>
      </w:r>
      <w:r>
        <w:rPr>
          <w:color w:val="231F20"/>
        </w:rPr>
        <w:t>for</w:t>
      </w:r>
      <w:r>
        <w:rPr>
          <w:color w:val="231F20"/>
          <w:spacing w:val="-2"/>
        </w:rPr>
        <w:t> </w:t>
      </w:r>
      <w:r>
        <w:rPr>
          <w:color w:val="231F20"/>
        </w:rPr>
        <w:t>user-specific</w:t>
      </w:r>
      <w:r>
        <w:rPr>
          <w:color w:val="231F20"/>
          <w:spacing w:val="-3"/>
        </w:rPr>
        <w:t> </w:t>
      </w:r>
      <w:r>
        <w:rPr>
          <w:color w:val="231F20"/>
        </w:rPr>
        <w:t>access</w:t>
      </w:r>
      <w:r>
        <w:rPr>
          <w:color w:val="231F20"/>
          <w:spacing w:val="-3"/>
        </w:rPr>
        <w:t> </w:t>
      </w:r>
      <w:r>
        <w:rPr>
          <w:color w:val="231F20"/>
        </w:rPr>
        <w:t>control</w:t>
      </w:r>
      <w:r>
        <w:rPr>
          <w:color w:val="231F20"/>
          <w:spacing w:val="-3"/>
        </w:rPr>
        <w:t> </w:t>
      </w:r>
      <w:r>
        <w:rPr>
          <w:color w:val="231F20"/>
        </w:rPr>
        <w:t>to</w:t>
      </w:r>
      <w:r>
        <w:rPr>
          <w:color w:val="231F20"/>
          <w:spacing w:val="-5"/>
        </w:rPr>
        <w:t> </w:t>
      </w:r>
      <w:r>
        <w:rPr>
          <w:color w:val="231F20"/>
        </w:rPr>
        <w:t>data</w:t>
      </w:r>
      <w:r>
        <w:rPr>
          <w:color w:val="231F20"/>
          <w:spacing w:val="-4"/>
        </w:rPr>
        <w:t> </w:t>
      </w:r>
      <w:r>
        <w:rPr>
          <w:color w:val="231F20"/>
        </w:rPr>
        <w:t>groups</w:t>
      </w:r>
      <w:r>
        <w:rPr>
          <w:color w:val="231F20"/>
          <w:spacing w:val="-7"/>
        </w:rPr>
        <w:t> </w:t>
      </w:r>
      <w:r>
        <w:rPr>
          <w:color w:val="231F20"/>
          <w:spacing w:val="-5"/>
        </w:rPr>
        <w:t>of</w:t>
      </w:r>
    </w:p>
    <w:p>
      <w:pPr>
        <w:pStyle w:val="BodyText"/>
        <w:spacing w:line="237" w:lineRule="auto"/>
        <w:ind w:left="111" w:right="106" w:hanging="1"/>
        <w:jc w:val="both"/>
      </w:pPr>
      <w:r>
        <w:rPr>
          <w:color w:val="231F20"/>
        </w:rPr>
        <w:t>various sizes. The proposed system operates in two phases. The first phase is composed of a modified MAC model and RBAC model. A user can access any data that has lower or equal security levels, and that is accessible by the roles to which the user is assigned. All types of access mode are controlled in this phase. In the second phase, a modified DAC</w:t>
      </w:r>
      <w:r>
        <w:rPr>
          <w:color w:val="231F20"/>
          <w:spacing w:val="-1"/>
        </w:rPr>
        <w:t> </w:t>
      </w:r>
      <w:r>
        <w:rPr>
          <w:color w:val="231F20"/>
        </w:rPr>
        <w:t>model is</w:t>
      </w:r>
      <w:r>
        <w:rPr>
          <w:color w:val="231F20"/>
          <w:spacing w:val="-1"/>
        </w:rPr>
        <w:t> </w:t>
      </w:r>
      <w:r>
        <w:rPr>
          <w:color w:val="231F20"/>
        </w:rPr>
        <w:t>applied</w:t>
      </w:r>
      <w:r>
        <w:rPr>
          <w:color w:val="231F20"/>
          <w:spacing w:val="-2"/>
        </w:rPr>
        <w:t> </w:t>
      </w:r>
      <w:r>
        <w:rPr>
          <w:color w:val="231F20"/>
        </w:rPr>
        <w:t>to</w:t>
      </w:r>
      <w:r>
        <w:rPr>
          <w:color w:val="231F20"/>
          <w:spacing w:val="-1"/>
        </w:rPr>
        <w:t> </w:t>
      </w:r>
      <w:r>
        <w:rPr>
          <w:color w:val="231F20"/>
        </w:rPr>
        <w:t>re-control</w:t>
      </w:r>
      <w:r>
        <w:rPr>
          <w:color w:val="231F20"/>
          <w:spacing w:val="-3"/>
        </w:rPr>
        <w:t> </w:t>
      </w:r>
      <w:r>
        <w:rPr>
          <w:color w:val="231F20"/>
        </w:rPr>
        <w:t>the</w:t>
      </w:r>
      <w:r>
        <w:rPr>
          <w:color w:val="231F20"/>
          <w:spacing w:val="-2"/>
        </w:rPr>
        <w:t> </w:t>
      </w:r>
      <w:r>
        <w:rPr>
          <w:color w:val="231F20"/>
        </w:rPr>
        <w:t>‘</w:t>
      </w:r>
      <w:r>
        <w:rPr>
          <w:i/>
          <w:color w:val="231F20"/>
        </w:rPr>
        <w:t>read</w:t>
      </w:r>
      <w:r>
        <w:rPr>
          <w:color w:val="231F20"/>
        </w:rPr>
        <w:t>’</w:t>
      </w:r>
      <w:r>
        <w:rPr>
          <w:color w:val="231F20"/>
          <w:spacing w:val="-2"/>
        </w:rPr>
        <w:t> </w:t>
      </w:r>
      <w:r>
        <w:rPr>
          <w:color w:val="231F20"/>
        </w:rPr>
        <w:t>mode</w:t>
      </w:r>
      <w:r>
        <w:rPr>
          <w:color w:val="231F20"/>
          <w:spacing w:val="-2"/>
        </w:rPr>
        <w:t> </w:t>
      </w:r>
      <w:r>
        <w:rPr>
          <w:color w:val="231F20"/>
        </w:rPr>
        <w:t>by</w:t>
      </w:r>
      <w:r>
        <w:rPr>
          <w:color w:val="231F20"/>
          <w:spacing w:val="-5"/>
        </w:rPr>
        <w:t> </w:t>
      </w:r>
      <w:r>
        <w:rPr>
          <w:color w:val="231F20"/>
        </w:rPr>
        <w:t>filtering</w:t>
      </w:r>
      <w:r>
        <w:rPr>
          <w:color w:val="231F20"/>
          <w:spacing w:val="-4"/>
        </w:rPr>
        <w:t> </w:t>
      </w:r>
      <w:r>
        <w:rPr>
          <w:color w:val="231F20"/>
        </w:rPr>
        <w:t>out the non-accessible data from the result obtained at the first phase. For these procedures, user groups and data groups were firstly defined and then an access rule was set up on the basis of the defined groups of user and data. The system does not extend a standard relational model but makes it possible to handle complex access control by providing different access rules to each user or user groups.</w:t>
      </w:r>
    </w:p>
    <w:sectPr>
      <w:pgSz w:w="8600" w:h="13200"/>
      <w:pgMar w:top="540" w:bottom="28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8"/>
      <w:ind w:left="81" w:right="78"/>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kwon@chonnam.ac.kr"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2024-02-20T19:51:55Z</dcterms:created>
  <dcterms:modified xsi:type="dcterms:W3CDTF">2024-02-20T19:51:55Z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2024-02-20T00:00:00Z</vt:filetime>
  </property>
  <property fmtid="{D5CDD505-2E9C-101B-9397-08002B2CF9AE}" pid="3" name="Producer">
    <vt:lpwstr>3-Heights(TM) PDF Security Shell 4.8.25.2 (http://www.pdf-tools.com)</vt:lpwstr>
  </property>
</Properties>
</file>