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E1EC" w14:textId="21A69B7C" w:rsidR="00F33949" w:rsidRPr="00F33949" w:rsidRDefault="00F33949" w:rsidP="00F3394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Segoe UI" w:hAnsi="Segoe UI" w:cs="Segoe UI"/>
          <w:b/>
          <w:bCs/>
          <w:color w:val="374151"/>
          <w:sz w:val="36"/>
          <w:szCs w:val="36"/>
        </w:rPr>
      </w:pPr>
      <w:r w:rsidRPr="00F33949">
        <w:rPr>
          <w:rFonts w:ascii="Segoe UI" w:hAnsi="Segoe UI" w:cs="Segoe UI"/>
          <w:b/>
          <w:bCs/>
          <w:color w:val="374151"/>
          <w:sz w:val="36"/>
          <w:szCs w:val="36"/>
        </w:rPr>
        <w:t>Introduction</w:t>
      </w:r>
    </w:p>
    <w:p w14:paraId="6BDEE908" w14:textId="77777777" w:rsidR="00F33949" w:rsidRDefault="00F33949" w:rsidP="00F3394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420"/>
        <w:rPr>
          <w:rFonts w:ascii="Segoe UI" w:hAnsi="Segoe UI" w:cs="Segoe UI"/>
          <w:color w:val="374151"/>
        </w:rPr>
      </w:pPr>
      <w:bookmarkStart w:id="0" w:name="_Hlk131435780"/>
      <w:r>
        <w:rPr>
          <w:rFonts w:ascii="Segoe UI" w:hAnsi="Segoe UI" w:cs="Segoe UI"/>
          <w:color w:val="374151"/>
        </w:rPr>
        <w:t>This code performs the Expectation-Maximization (EM) algorithm on a dataset that is assumed to be generated from a mixture of two Gaussian distributions. The algorithm estimates the parameters of the two Gaussian distributions, including their means, standard deviations, and weights, as well as calculates the log likelihood of the estimated model on a separate test dataset.</w:t>
      </w:r>
    </w:p>
    <w:bookmarkEnd w:id="0"/>
    <w:p w14:paraId="02C37B8B" w14:textId="77777777" w:rsidR="000C0919" w:rsidRPr="000C0919" w:rsidRDefault="000C0919" w:rsidP="000C0919">
      <w:pPr>
        <w:pStyle w:val="a3"/>
        <w:pBdr>
          <w:top w:val="single" w:sz="2" w:space="0" w:color="D9D9E3"/>
          <w:left w:val="single" w:sz="2" w:space="0" w:color="D9D9E3"/>
          <w:bottom w:val="single" w:sz="2" w:space="0" w:color="D9D9E3"/>
          <w:right w:val="single" w:sz="2" w:space="0" w:color="D9D9E3"/>
        </w:pBdr>
        <w:shd w:val="clear" w:color="auto" w:fill="F7F7F8"/>
        <w:spacing w:before="300" w:after="300"/>
        <w:ind w:firstLine="420"/>
        <w:jc w:val="center"/>
        <w:rPr>
          <w:rFonts w:ascii="Segoe UI" w:hAnsi="Segoe UI" w:cs="Segoe UI"/>
          <w:b/>
          <w:bCs/>
          <w:color w:val="374151"/>
          <w:sz w:val="36"/>
          <w:szCs w:val="36"/>
        </w:rPr>
      </w:pPr>
      <w:r w:rsidRPr="000C0919">
        <w:rPr>
          <w:rFonts w:ascii="Segoe UI" w:hAnsi="Segoe UI" w:cs="Segoe UI"/>
          <w:b/>
          <w:bCs/>
          <w:color w:val="374151"/>
          <w:sz w:val="36"/>
          <w:szCs w:val="36"/>
        </w:rPr>
        <w:t>Methodology</w:t>
      </w:r>
    </w:p>
    <w:p w14:paraId="24C46822" w14:textId="77777777" w:rsidR="00F33949" w:rsidRDefault="00F33949" w:rsidP="000C091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420"/>
        <w:rPr>
          <w:rFonts w:ascii="Segoe UI" w:hAnsi="Segoe UI" w:cs="Segoe UI"/>
          <w:color w:val="374151"/>
        </w:rPr>
      </w:pPr>
      <w:r>
        <w:rPr>
          <w:rFonts w:ascii="Segoe UI" w:hAnsi="Segoe UI" w:cs="Segoe UI"/>
          <w:color w:val="374151"/>
        </w:rPr>
        <w:t xml:space="preserve">The code begins by importing the necessary libraries including NumPy, Pandas, and Matplotlib. It then defines the parameters of the two Gaussian distributions (mean and standard deviation) and generates 500 samples from the first distribution and 1500 samples from the second distribution using the </w:t>
      </w:r>
      <w:r>
        <w:rPr>
          <w:rStyle w:val="HTML"/>
          <w:b/>
          <w:bCs/>
          <w:color w:val="374151"/>
          <w:sz w:val="21"/>
          <w:szCs w:val="21"/>
          <w:bdr w:val="single" w:sz="2" w:space="0" w:color="D9D9E3" w:frame="1"/>
        </w:rPr>
        <w:t>numpy.random.normal()</w:t>
      </w:r>
      <w:r>
        <w:rPr>
          <w:rFonts w:ascii="Segoe UI" w:hAnsi="Segoe UI" w:cs="Segoe UI"/>
          <w:color w:val="374151"/>
        </w:rPr>
        <w:t xml:space="preserve"> function. The two datasets are concatenated together to form the final dataset, which is then split into training and testing datasets using a 7:3 ratio.</w:t>
      </w:r>
    </w:p>
    <w:p w14:paraId="1DDB9B3F" w14:textId="77777777" w:rsidR="00F33949" w:rsidRDefault="00F33949" w:rsidP="00F3394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420"/>
        <w:rPr>
          <w:rFonts w:ascii="Segoe UI" w:hAnsi="Segoe UI" w:cs="Segoe UI"/>
          <w:color w:val="374151"/>
        </w:rPr>
      </w:pPr>
      <w:r>
        <w:rPr>
          <w:rFonts w:ascii="Segoe UI" w:hAnsi="Segoe UI" w:cs="Segoe UI"/>
          <w:color w:val="374151"/>
        </w:rPr>
        <w:t xml:space="preserve">The EM algorithm is then applied to the training dataset to estimate the parameters of the two Gaussian distributions. The algorithm consists of two steps: the E-step, which computes the probability of each sample belonging to each distribution, and the M-step, which updates the parameters of the distributions based on the probabilities computed in the E-step. The algorithm </w:t>
      </w:r>
      <w:r>
        <w:rPr>
          <w:rFonts w:ascii="Segoe UI" w:hAnsi="Segoe UI" w:cs="Segoe UI"/>
          <w:color w:val="374151"/>
        </w:rPr>
        <w:lastRenderedPageBreak/>
        <w:t>iterates over these two steps until convergence, which is determined by checking if the change in the parameters between iterations is less than a predefined threshold.</w:t>
      </w:r>
    </w:p>
    <w:p w14:paraId="0CDF90E3" w14:textId="7B211FAE" w:rsidR="00F33949" w:rsidRDefault="00F33949" w:rsidP="00F3394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420"/>
        <w:rPr>
          <w:rFonts w:ascii="Segoe UI" w:hAnsi="Segoe UI" w:cs="Segoe UI"/>
          <w:color w:val="374151"/>
        </w:rPr>
      </w:pPr>
      <w:r>
        <w:rPr>
          <w:rFonts w:ascii="Segoe UI" w:hAnsi="Segoe UI" w:cs="Segoe UI"/>
          <w:color w:val="374151"/>
        </w:rPr>
        <w:t>Finally, the algorithm calculates the log likelihood of the estimated model on the testing dataset and prints out the estimated parameters of the two Gaussian distributions, including their means, standard deviations, and weights, as well as the log likelihood on the testing dataset.</w:t>
      </w:r>
    </w:p>
    <w:p w14:paraId="40C95E81" w14:textId="309E9DE2" w:rsidR="00F33949" w:rsidRDefault="00F33949" w:rsidP="00F3394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420"/>
        <w:jc w:val="center"/>
        <w:rPr>
          <w:rFonts w:ascii="Segoe UI" w:hAnsi="Segoe UI" w:cs="Segoe UI"/>
          <w:b/>
          <w:bCs/>
          <w:color w:val="374151"/>
          <w:sz w:val="36"/>
          <w:szCs w:val="36"/>
        </w:rPr>
      </w:pPr>
      <w:r w:rsidRPr="00F33949">
        <w:rPr>
          <w:rFonts w:ascii="Segoe UI" w:hAnsi="Segoe UI" w:cs="Segoe UI"/>
          <w:b/>
          <w:bCs/>
          <w:color w:val="374151"/>
          <w:sz w:val="36"/>
          <w:szCs w:val="36"/>
        </w:rPr>
        <w:t>Result</w:t>
      </w:r>
      <w:r w:rsidR="000C0919">
        <w:rPr>
          <w:rFonts w:ascii="Segoe UI" w:hAnsi="Segoe UI" w:cs="Segoe UI"/>
          <w:b/>
          <w:bCs/>
          <w:color w:val="374151"/>
          <w:sz w:val="36"/>
          <w:szCs w:val="36"/>
        </w:rPr>
        <w:t>s</w:t>
      </w:r>
    </w:p>
    <w:p w14:paraId="67E784E0" w14:textId="31F62D2F" w:rsidR="00F33949" w:rsidRDefault="00F33949" w:rsidP="00F3394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420"/>
        <w:rPr>
          <w:rFonts w:ascii="Segoe UI" w:hAnsi="Segoe UI" w:cs="Segoe UI"/>
          <w:color w:val="374151"/>
        </w:rPr>
      </w:pPr>
      <w:r w:rsidRPr="00F33949">
        <w:rPr>
          <w:rFonts w:ascii="Segoe UI" w:hAnsi="Segoe UI" w:cs="Segoe UI"/>
          <w:color w:val="374151"/>
        </w:rPr>
        <w:drawing>
          <wp:inline distT="0" distB="0" distL="0" distR="0" wp14:anchorId="0913AFAC" wp14:editId="72ED9DDD">
            <wp:extent cx="4603713" cy="1466027"/>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8108" cy="1467426"/>
                    </a:xfrm>
                    <a:prstGeom prst="rect">
                      <a:avLst/>
                    </a:prstGeom>
                  </pic:spPr>
                </pic:pic>
              </a:graphicData>
            </a:graphic>
          </wp:inline>
        </w:drawing>
      </w:r>
    </w:p>
    <w:tbl>
      <w:tblPr>
        <w:tblW w:w="7380" w:type="dxa"/>
        <w:tblCellSpacing w:w="15" w:type="dxa"/>
        <w:tblInd w:w="134"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26"/>
        <w:gridCol w:w="1277"/>
        <w:gridCol w:w="2126"/>
        <w:gridCol w:w="851"/>
      </w:tblGrid>
      <w:tr w:rsidR="00DB4754" w:rsidRPr="00F33949" w14:paraId="2184F9F4" w14:textId="77777777" w:rsidTr="000C0919">
        <w:trPr>
          <w:tblHeader/>
          <w:tblCellSpacing w:w="15" w:type="dxa"/>
        </w:trPr>
        <w:tc>
          <w:tcPr>
            <w:tcW w:w="3081"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A557087" w14:textId="202A27CE" w:rsidR="00F33949" w:rsidRPr="00F33949" w:rsidRDefault="00F33949" w:rsidP="000C0919">
            <w:pPr>
              <w:jc w:val="center"/>
              <w:rPr>
                <w:b/>
                <w:bCs/>
              </w:rPr>
            </w:pPr>
            <w:r>
              <w:rPr>
                <w:rFonts w:hint="eastAsia"/>
                <w:b/>
                <w:bCs/>
              </w:rPr>
              <w:t>Ga</w:t>
            </w:r>
            <w:r>
              <w:rPr>
                <w:b/>
                <w:bCs/>
              </w:rPr>
              <w:t>ussion Distribution</w:t>
            </w:r>
          </w:p>
        </w:tc>
        <w:tc>
          <w:tcPr>
            <w:tcW w:w="124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ACAD8D0" w14:textId="1F56E4F4" w:rsidR="00F33949" w:rsidRPr="00F33949" w:rsidRDefault="00DB4754" w:rsidP="000C0919">
            <w:pPr>
              <w:jc w:val="center"/>
              <w:rPr>
                <w:b/>
                <w:bCs/>
              </w:rPr>
            </w:pPr>
            <w:r>
              <w:rPr>
                <w:rFonts w:hint="eastAsia"/>
                <w:b/>
                <w:bCs/>
              </w:rPr>
              <w:t>M</w:t>
            </w:r>
            <w:r>
              <w:rPr>
                <w:b/>
                <w:bCs/>
              </w:rPr>
              <w:t>ean</w:t>
            </w:r>
          </w:p>
        </w:tc>
        <w:tc>
          <w:tcPr>
            <w:tcW w:w="2096"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2EC8160" w14:textId="3BF134D0" w:rsidR="00F33949" w:rsidRPr="00F33949" w:rsidRDefault="00DB4754" w:rsidP="000C0919">
            <w:pPr>
              <w:jc w:val="center"/>
              <w:rPr>
                <w:b/>
                <w:bCs/>
              </w:rPr>
            </w:pPr>
            <w:r>
              <w:rPr>
                <w:rFonts w:hint="eastAsia"/>
                <w:b/>
                <w:bCs/>
              </w:rPr>
              <w:t>S</w:t>
            </w:r>
            <w:r>
              <w:rPr>
                <w:b/>
                <w:bCs/>
              </w:rPr>
              <w:t>tandard deviation</w:t>
            </w:r>
          </w:p>
        </w:tc>
        <w:tc>
          <w:tcPr>
            <w:tcW w:w="80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62C033C" w14:textId="1EA33BAF" w:rsidR="00F33949" w:rsidRPr="00F33949" w:rsidRDefault="00DB4754" w:rsidP="000C0919">
            <w:pPr>
              <w:jc w:val="center"/>
              <w:rPr>
                <w:b/>
                <w:bCs/>
              </w:rPr>
            </w:pPr>
            <w:r>
              <w:rPr>
                <w:b/>
                <w:bCs/>
              </w:rPr>
              <w:t>Weight</w:t>
            </w:r>
          </w:p>
        </w:tc>
      </w:tr>
      <w:tr w:rsidR="00DB4754" w:rsidRPr="00F33949" w14:paraId="41AA5310" w14:textId="77777777" w:rsidTr="000C0919">
        <w:trPr>
          <w:tblCellSpacing w:w="15" w:type="dxa"/>
        </w:trPr>
        <w:tc>
          <w:tcPr>
            <w:tcW w:w="308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75D85E" w14:textId="30D9E28F" w:rsidR="00F33949" w:rsidRPr="00F33949" w:rsidRDefault="00F33949" w:rsidP="000C0919">
            <w:pPr>
              <w:jc w:val="center"/>
            </w:pPr>
            <w:r>
              <w:rPr>
                <w:rFonts w:hint="eastAsia"/>
              </w:rPr>
              <w:t>1</w:t>
            </w:r>
          </w:p>
        </w:tc>
        <w:tc>
          <w:tcPr>
            <w:tcW w:w="124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FA2FA5" w14:textId="1BD6B494" w:rsidR="00F33949" w:rsidRPr="00F33949" w:rsidRDefault="00DB4754" w:rsidP="000C0919">
            <w:pPr>
              <w:jc w:val="center"/>
            </w:pPr>
            <w:r>
              <w:rPr>
                <w:rFonts w:hint="eastAsia"/>
              </w:rPr>
              <w:t>1</w:t>
            </w:r>
            <w:r>
              <w:t>63.60</w:t>
            </w:r>
          </w:p>
        </w:tc>
        <w:tc>
          <w:tcPr>
            <w:tcW w:w="20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0287D5" w14:textId="4050819B" w:rsidR="00F33949" w:rsidRPr="00F33949" w:rsidRDefault="00DB4754" w:rsidP="000C0919">
            <w:pPr>
              <w:jc w:val="center"/>
            </w:pPr>
            <w:r>
              <w:rPr>
                <w:rFonts w:hint="eastAsia"/>
              </w:rPr>
              <w:t>2</w:t>
            </w:r>
            <w:r>
              <w:t>.79</w:t>
            </w:r>
          </w:p>
        </w:tc>
        <w:tc>
          <w:tcPr>
            <w:tcW w:w="80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21EDBD" w14:textId="23206AEC" w:rsidR="00F33949" w:rsidRPr="00F33949" w:rsidRDefault="00DB4754" w:rsidP="000C0919">
            <w:pPr>
              <w:jc w:val="center"/>
            </w:pPr>
            <w:r>
              <w:rPr>
                <w:rFonts w:hint="eastAsia"/>
              </w:rPr>
              <w:t>0</w:t>
            </w:r>
            <w:r>
              <w:t>.22</w:t>
            </w:r>
          </w:p>
        </w:tc>
      </w:tr>
      <w:tr w:rsidR="00DB4754" w:rsidRPr="00F33949" w14:paraId="20587A71" w14:textId="77777777" w:rsidTr="000C0919">
        <w:trPr>
          <w:trHeight w:val="384"/>
          <w:tblCellSpacing w:w="15" w:type="dxa"/>
        </w:trPr>
        <w:tc>
          <w:tcPr>
            <w:tcW w:w="3081" w:type="dxa"/>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3E4159C4" w14:textId="6126BEC9" w:rsidR="00F33949" w:rsidRPr="00F33949" w:rsidRDefault="00F33949" w:rsidP="000C0919">
            <w:pPr>
              <w:jc w:val="center"/>
            </w:pPr>
            <w:r>
              <w:rPr>
                <w:rFonts w:hint="eastAsia"/>
              </w:rPr>
              <w:t>2</w:t>
            </w:r>
          </w:p>
        </w:tc>
        <w:tc>
          <w:tcPr>
            <w:tcW w:w="1247" w:type="dxa"/>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6C1D7C95" w14:textId="39FBFBF9" w:rsidR="00F33949" w:rsidRPr="00F33949" w:rsidRDefault="00DB4754" w:rsidP="000C0919">
            <w:pPr>
              <w:jc w:val="center"/>
            </w:pPr>
            <w:r>
              <w:t>175.85</w:t>
            </w:r>
          </w:p>
        </w:tc>
        <w:tc>
          <w:tcPr>
            <w:tcW w:w="2096" w:type="dxa"/>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42414BCD" w14:textId="6F3D1DCB" w:rsidR="00F33949" w:rsidRPr="00F33949" w:rsidRDefault="00DB4754" w:rsidP="000C0919">
            <w:pPr>
              <w:jc w:val="center"/>
            </w:pPr>
            <w:r>
              <w:rPr>
                <w:rFonts w:hint="eastAsia"/>
              </w:rPr>
              <w:t>5</w:t>
            </w:r>
            <w:r>
              <w:t>.13</w:t>
            </w:r>
          </w:p>
        </w:tc>
        <w:tc>
          <w:tcPr>
            <w:tcW w:w="806" w:type="dxa"/>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5E05D20F" w14:textId="5BF6E09E" w:rsidR="00F33949" w:rsidRPr="00F33949" w:rsidRDefault="00DB4754" w:rsidP="000C0919">
            <w:pPr>
              <w:jc w:val="center"/>
            </w:pPr>
            <w:r>
              <w:rPr>
                <w:rFonts w:hint="eastAsia"/>
              </w:rPr>
              <w:t>0</w:t>
            </w:r>
            <w:r>
              <w:t>.78</w:t>
            </w:r>
          </w:p>
        </w:tc>
      </w:tr>
      <w:tr w:rsidR="00DB4754" w:rsidRPr="00F33949" w14:paraId="024FA1CF" w14:textId="77777777" w:rsidTr="000C0919">
        <w:trPr>
          <w:trHeight w:val="384"/>
          <w:tblCellSpacing w:w="15" w:type="dxa"/>
        </w:trPr>
        <w:tc>
          <w:tcPr>
            <w:tcW w:w="3081"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02C824EA" w14:textId="2389C890" w:rsidR="00DB4754" w:rsidRPr="000C0919" w:rsidRDefault="00DB4754" w:rsidP="000C0919">
            <w:pPr>
              <w:jc w:val="center"/>
              <w:rPr>
                <w:rFonts w:hint="eastAsia"/>
                <w:b/>
                <w:bCs/>
              </w:rPr>
            </w:pPr>
            <w:r w:rsidRPr="000C0919">
              <w:rPr>
                <w:b/>
                <w:bCs/>
              </w:rPr>
              <w:t>Log likehood</w:t>
            </w:r>
            <w:r w:rsidR="000C0919" w:rsidRPr="000C0919">
              <w:rPr>
                <w:b/>
                <w:bCs/>
              </w:rPr>
              <w:t xml:space="preserve"> on the test data</w:t>
            </w:r>
          </w:p>
        </w:tc>
        <w:tc>
          <w:tcPr>
            <w:tcW w:w="1247"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533CE598" w14:textId="4F358FC6" w:rsidR="00DB4754" w:rsidRPr="000C0919" w:rsidRDefault="00DB4754" w:rsidP="000C0919">
            <w:pPr>
              <w:jc w:val="center"/>
              <w:rPr>
                <w:b/>
                <w:bCs/>
              </w:rPr>
            </w:pPr>
            <w:r w:rsidRPr="000C0919">
              <w:rPr>
                <w:b/>
                <w:bCs/>
              </w:rPr>
              <w:t>value</w:t>
            </w:r>
          </w:p>
        </w:tc>
        <w:tc>
          <w:tcPr>
            <w:tcW w:w="2096"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6240E816" w14:textId="77777777" w:rsidR="00DB4754" w:rsidRDefault="00DB4754" w:rsidP="000C0919">
            <w:pPr>
              <w:jc w:val="center"/>
              <w:rPr>
                <w:rFonts w:hint="eastAsia"/>
              </w:rPr>
            </w:pPr>
          </w:p>
        </w:tc>
        <w:tc>
          <w:tcPr>
            <w:tcW w:w="806"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6F148C1A" w14:textId="77777777" w:rsidR="00DB4754" w:rsidRDefault="00DB4754" w:rsidP="000C0919">
            <w:pPr>
              <w:jc w:val="center"/>
              <w:rPr>
                <w:rFonts w:hint="eastAsia"/>
              </w:rPr>
            </w:pPr>
          </w:p>
        </w:tc>
      </w:tr>
      <w:tr w:rsidR="00DB4754" w:rsidRPr="00F33949" w14:paraId="7229BBB1" w14:textId="77777777" w:rsidTr="000C0919">
        <w:trPr>
          <w:trHeight w:val="384"/>
          <w:tblCellSpacing w:w="15" w:type="dxa"/>
        </w:trPr>
        <w:tc>
          <w:tcPr>
            <w:tcW w:w="3081"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43FF2617" w14:textId="4CBF94E4" w:rsidR="00DB4754" w:rsidRDefault="00DB4754" w:rsidP="000C0919">
            <w:pPr>
              <w:jc w:val="center"/>
              <w:rPr>
                <w:rFonts w:hint="eastAsia"/>
              </w:rPr>
            </w:pPr>
            <w:r>
              <w:rPr>
                <w:rFonts w:hint="eastAsia"/>
              </w:rPr>
              <w:t>d</w:t>
            </w:r>
            <w:r>
              <w:t>efult</w:t>
            </w:r>
          </w:p>
        </w:tc>
        <w:tc>
          <w:tcPr>
            <w:tcW w:w="1247"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2E651A6C" w14:textId="6B7DAD00" w:rsidR="00DB4754" w:rsidRDefault="00DB4754" w:rsidP="000C0919">
            <w:pPr>
              <w:jc w:val="center"/>
            </w:pPr>
            <w:r>
              <w:rPr>
                <w:rFonts w:hint="eastAsia"/>
              </w:rPr>
              <w:t>-</w:t>
            </w:r>
            <w:r>
              <w:t>1677.5786</w:t>
            </w:r>
          </w:p>
        </w:tc>
        <w:tc>
          <w:tcPr>
            <w:tcW w:w="2096"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77B37873" w14:textId="77777777" w:rsidR="00DB4754" w:rsidRDefault="00DB4754" w:rsidP="000C0919">
            <w:pPr>
              <w:jc w:val="center"/>
              <w:rPr>
                <w:rFonts w:hint="eastAsia"/>
              </w:rPr>
            </w:pPr>
          </w:p>
        </w:tc>
        <w:tc>
          <w:tcPr>
            <w:tcW w:w="806"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3B20BE1A" w14:textId="77777777" w:rsidR="00DB4754" w:rsidRDefault="00DB4754" w:rsidP="000C0919">
            <w:pPr>
              <w:jc w:val="center"/>
              <w:rPr>
                <w:rFonts w:hint="eastAsia"/>
              </w:rPr>
            </w:pPr>
          </w:p>
        </w:tc>
      </w:tr>
    </w:tbl>
    <w:p w14:paraId="21E00DCB" w14:textId="40C81664" w:rsidR="00673850" w:rsidRDefault="00F33949" w:rsidP="000C091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center"/>
        <w:rPr>
          <w:rFonts w:ascii="Segoe UI" w:hAnsi="Segoe UI" w:cs="Segoe UI"/>
          <w:b/>
          <w:bCs/>
          <w:color w:val="374151"/>
          <w:sz w:val="36"/>
          <w:szCs w:val="36"/>
        </w:rPr>
      </w:pPr>
      <w:r w:rsidRPr="00F33949">
        <w:rPr>
          <w:rFonts w:ascii="Segoe UI" w:hAnsi="Segoe UI" w:cs="Segoe UI"/>
          <w:b/>
          <w:bCs/>
          <w:color w:val="374151"/>
          <w:sz w:val="36"/>
          <w:szCs w:val="36"/>
        </w:rPr>
        <w:t>Conclusion</w:t>
      </w:r>
    </w:p>
    <w:p w14:paraId="570FE22D" w14:textId="593A1C46" w:rsidR="000C0919" w:rsidRPr="000C0919" w:rsidRDefault="000C0919" w:rsidP="00484BE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420"/>
        <w:rPr>
          <w:rFonts w:ascii="Segoe UI" w:hAnsi="Segoe UI" w:cs="Segoe UI"/>
          <w:color w:val="374151"/>
        </w:rPr>
      </w:pPr>
      <w:r>
        <w:rPr>
          <w:rFonts w:ascii="Segoe UI" w:hAnsi="Segoe UI" w:cs="Segoe UI"/>
          <w:color w:val="374151"/>
        </w:rPr>
        <w:t xml:space="preserve">The </w:t>
      </w:r>
      <w:r>
        <w:rPr>
          <w:rFonts w:ascii="Segoe UI" w:hAnsi="Segoe UI" w:cs="Segoe UI" w:hint="eastAsia"/>
          <w:color w:val="374151"/>
        </w:rPr>
        <w:t xml:space="preserve">capability of the </w:t>
      </w:r>
      <w:r w:rsidR="00484BE7">
        <w:rPr>
          <w:rFonts w:ascii="Segoe UI" w:hAnsi="Segoe UI" w:cs="Segoe UI" w:hint="eastAsia"/>
          <w:color w:val="374151"/>
        </w:rPr>
        <w:t>modle is excellent due to</w:t>
      </w:r>
      <w:r w:rsidR="00484BE7">
        <w:rPr>
          <w:rFonts w:ascii="Segoe UI" w:hAnsi="Segoe UI" w:cs="Segoe UI"/>
          <w:color w:val="374151"/>
        </w:rPr>
        <w:t xml:space="preserve"> </w:t>
      </w:r>
      <w:r w:rsidR="00484BE7">
        <w:rPr>
          <w:rFonts w:ascii="Segoe UI" w:hAnsi="Segoe UI" w:cs="Segoe UI" w:hint="eastAsia"/>
          <w:color w:val="374151"/>
        </w:rPr>
        <w:t>the high log</w:t>
      </w:r>
      <w:r w:rsidR="00484BE7">
        <w:rPr>
          <w:rFonts w:ascii="Segoe UI" w:hAnsi="Segoe UI" w:cs="Segoe UI"/>
          <w:color w:val="374151"/>
        </w:rPr>
        <w:t xml:space="preserve"> </w:t>
      </w:r>
      <w:r w:rsidR="00484BE7">
        <w:rPr>
          <w:rFonts w:ascii="Segoe UI" w:hAnsi="Segoe UI" w:cs="Segoe UI" w:hint="eastAsia"/>
          <w:color w:val="374151"/>
        </w:rPr>
        <w:t xml:space="preserve">likehood. </w:t>
      </w:r>
    </w:p>
    <w:sectPr w:rsidR="000C0919" w:rsidRPr="000C0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27"/>
    <w:rsid w:val="00054D75"/>
    <w:rsid w:val="000C0919"/>
    <w:rsid w:val="00484BE7"/>
    <w:rsid w:val="00673850"/>
    <w:rsid w:val="007D1627"/>
    <w:rsid w:val="00DB4754"/>
    <w:rsid w:val="00F33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3BE6"/>
  <w15:chartTrackingRefBased/>
  <w15:docId w15:val="{22279612-F56C-4858-8C82-E2188C9A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394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3394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2023-04-03T09:32:00Z</dcterms:created>
  <dcterms:modified xsi:type="dcterms:W3CDTF">2023-04-03T09:55:00Z</dcterms:modified>
</cp:coreProperties>
</file>