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requires three answers: how to predict phase fractions under the simplex constraint, where the predictions can be trusted, and whether screening saves cost. Six neural-network output heads and a presence-gated two-stage head were benchmarked against four classical baselines on 88,542 mass-balance-validated equilibria from nine systems. The nine systems comprise five Fe-based ternaries, a quaternary Fe–Cr–Ni–C system, a carbide Fe–Cr–C system, and two Fe-free ternaries. Structurally constrained heads closed the simplex to machine precision at no accuracy cost. Confirmed on three seeds held out from the remedy's design, the gated head lifted macro area under the precision–recall curve (macro-AUPRC) to 0.88–0.99 on all nine systems and beat the best seed-matched classical detector on eight of nine, staying ahead of the seed-matched random forest in MAE throughout and costing 12–47% MAE relative to the fraction-only MLP on the two carbide systems. Size-matched and region-matched controls with an ideal-form control showed interior-band penalties are spatial, not volumetric, while strict extrapolation failed on every axis. Ensemble disagreement provided cheap per-row triage inside the trained region. Two lean-nickel screens (501,501 and 330,000 compositions; shortlist precision 1.00 as a census and 0.98; in-scope recall 0.67 and 0.76) repaid their one-time cost by 7–50 times. Failed mechanisms (sparsemax, sum-to-one penalty, residue head) delimit the scope.</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precision 1.00 (census)</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This work regresses full fraction vectors across temperature with a structurally enforced simplex. Their blind gridding left 21.5% of points non-converged where the balance element vanishes. Our probe-driven design space with a mass-balance gate avoids that failure mode by construction, at the price of a sampling-coverage confound priced explicitly by the matched controls below. The two efforts are complementary: augmentation (theirs) repairs training data, while this work regresses fraction vectors across temperature on nine systems and validates the pipeline end to end with two high-throughput screens.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challenges, this study investigates how neural-network architectures predict multi-phase equilibria under strict mass conservation. The benchmark comprises 88,542 validated thermodynamic equilibria from nine systems: five Fe-based ternaries (Fe–Cr–Ni, Fe–Cr–Mn, Fe–Cr–Mo, Fe–Cr–V, Fe–Mn–Ni), a quaternary Fe–Cr–Ni–C system, a carbide Fe–Cr–C system, and two Fe-free ternaries (Cr–Co–Ni, Cr–Ni–Mn). The limits of deep-learning surrogates are evaluated under distribution shifts, and the pipeline is demonstrated end to end with two validated high-throughput screens. The systems cover metallurgically relevant phases, including the FCC solid solutions of stainless steels and nickel-based superalloys.</w:t>
      </w:r>
    </w:p>
    <w:p w14:paraId="61E6CDE1" w14:textId="77777777" w:rsidR="00603A49" w:rsidRPr="00603A49" w:rsidRDefault="00603A49" w:rsidP="00603A49">
      <w:pPr>
        <w:jc w:val="both"/>
        <w:rPr>
          <w:lang w:bidi="fa-IR"/>
        </w:rPr>
      </w:pPr>
      <w:r>
        <w:t>The contributions of this work are sixfold. First, six neural-network output configurations are benchmarked against four classical baselines for regression accuracy and physical admissibility. Second, spatial generalization is tested with a contiguous interior-band holdout and a strict one-sided extrapolation task, using size-matched random controls plus a region-matched reanalysis with an ideal-form control to separate spatial penalties from data-volume effects. Third, the regressor–detector gap is characterized and substantially closed with a presence-gated two-stage head. Fourth, ensemble disagreement is evaluated as a cheap per-row error triage. Fifth, the full protocol is re-run on four scope-extension systems. Finally, the pipeline is validated end to end with two high-throughput lean-nickel screens and a four-point experimental anchor, and negative results for three constraint mechanisms are reported as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CALPHAD data generation from the open MatCalc steel database (five Fe-based ternaries, 44,397 equilibria; four scope-extension systems add 44,145 more, 88,542 in total); cluster-stratified 64/16/20 split; a constrained MLP with six fraction-only heads and a presence-gated two-stage head plus four classical baselines; evaluation under interpolation, contiguous interior-band holdout with matched controls, and strict one-sided extrapolation; deployment through a four-point experimental anchor and two high-throughput screens.</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t>Thermodynamic Database and Phase-Set Selection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draws to identify which phases were actively present: Dirichlet with concentration vector (0.5, 0.3, 0.2) over (Fe, x2, x3) for the five ternaries, and uniform draws inside the bounded design box for the quaternary and the carbide system, with a phase entering the target set when its summed molar amount exceeds 1e-6 in at least one draw.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pPr/>
      <w:r>
        <w:t>Because that database cannot be parsed by pycalphad in its raw form, the parser and the Gibbs-energy minimiser both affect the labels, so the analysis used Python 3.12 with pycalphad 0.11.2, PyTorch 2.8.0 and XGBoost 3.3.0, and the remaining pinned versions are listed with the archived release. Equilibria were generated with eight parallel worker processes and the surrogates were trained on a single NVIDIA RTX 3060, so all reported wall-clock timings are single-workstation figures.</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pPr/>
      <w:r>
        <w:t>The eligible phase counts behind these columns are system-specific: 28, 31, 29, 25 and 29 for the five ternaries, and 35, 32, 23 and 30 for the four scope-extension systems. The 28-phase set used to re-solve the Fe-Cr-Ni screening shortlist is therefore the full eligible set of that system, not a common phase basis shared with the extension systems.</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t>Sampling, Acceptance, and Extension Datasets</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on the 700 to 2000 K domain by five deterministic strategies with deliberately disjoint sub-ranges (uniform, sigma-field focus, liquidus zone, near-pure-Fe, and five fixed isothermal slices), so the temperature distribution is deliberately non-uniform. To prevent the systematic undersampling of </w:t>
      </w:r>
      <w:r w:rsidRPr="0007691C">
        <w:rPr>
          <w:lang w:bidi="fa-IR"/>
        </w:rPr>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design sub-simplex, which is x2 + x3 &lt;= 0.995 for the five ternaries and a solute sum &lt;= 0.95 for the four scope-extension systems, whose compositions are drawn from bounded design boxes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contributes 13,199 rows with 9 active phases among 32, with SIGMA in only 0.4% of rows.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t>Architectures, Simplex Constraints, and the Gated Head</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pPr/>
      <w:r>
        <w:t>Each block of the network is Linear followed by LayerNorm, SiLU and dropout at 0.1. Training used AdamW with learning rate 3e-4 and weight decay 5e-4, cosine annealing over at most 300 epochs, mini-batches of 128, gradient-norm clipping at 1.0, and early stopping on validation MAE with patience 40 epochs. Weights use the default initialisation. The training protocol was fixed before any evaluation and no hyperparameter was tuned, so the reported models are not architecture-optimal.</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r>
        <w:t>Capacity is not matched across heads. The softmax and sparsemax heads apply a single linear map from the shared trunk, whereas every other head adds a per-phase two-layer output block with a learnable per-phase scale, so the softmax shortfall should not be read as a constraint-mechanism result alone.</w:t>
      </w:r>
    </w:p>
    <w:p>
      <w:pPr/>
      <w:r>
        <w:t>To close the regressor–detector gap, a presence-gated two-stage head was evaluated under the same fixed protocol. A shared 3×192 trunk feeds two per-phase heads: a fraction head (per-phase sigmoid outputs with inverse-prevalence phase-weighted Huber loss) and a presence head (per-phase logits with class-weighted binary cross-entropy at the 10⁻³ presence threshold). The two losses are summed without a mixing coefficient. Fraction-head weights are wₖ = clip(1/pₖ, 1, 100) normalised to mean one over phases, and presence-head weights are pos_weightₖ = clip(n⁻ₖ/n⁺ₖ, 1, 100), both computed on the training partition at the 10⁻³ threshold; the caps bind for the rarest phases, so several of them share the same saturated weight. A phase counts as present when its molar amount exceeds 10⁻³, and that single definition governs the fraction-head labels, the presence-head targets and every F₁ and balanced-accuracy score reported here.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t>Baselines, Splits, and Metrics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pPr/>
      <w:r>
        <w:t>The baselines were fitted one output channel at a time with fixed, untuned hyperparameters: ridge regression with alpha = 1 and distance-weighted k-nearest neighbours with k = 10 on standardised features; XGBoost with 500 trees, maximum depth 8, learning rate 0.05, row and column subsampling of 0.8, an MAE evaluation metric and early stopping after 50 rounds on the validation partition; and a random forest of 500 trees with maximum depth 20 on raw features. No neural or classical model was tuned, and the lever is material: a learning-rate sweep moves the renorm head from 0.0131 at 1e-4 to 0.0084 at 1e-3 against 0.0106 at the fixed default, while the renorm-versus-softmax ordering persists at the tuned value.</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t xml:space="preserve">(20%) sets across the three-dimensional feature space. To account for stochastic training variance, all experiments were averaged over three fixed seeds (42, 123 and 2024) that control network initialisation, dropout masks, the k-means cluster assignment and the per-cluster partition; data generation, the phase probe and the random holdout controls use separate fixed seeds (42, 7 and 1000 or 2000 plus the model seed), and the evaluation partition is a fixed 4,000-row subsample shared across seeds so that seed comparisons are paired.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pPr/>
      <w:r>
        <w:t>Two properties of the split qualify the interpolation numbers. The split unit is the individual composition-temperature row, not the composition, so the compositions that carry more than one sampled temperature have rows in more than one partition and the results are interpolation rather than composition-level generalisation. The partition also does not group near-duplicate rows, and dense sampling regions place near-identical points on both sides of a split boundary, which makes interpolation errors optimistic for every model evaluated; no grouped split was evaluated.</w:t>
      </w:r>
    </w:p>
    <w:p w14:paraId="60B916AD" w14:textId="77777777" w:rsidR="002B1BD5" w:rsidRDefault="002B1BD5" w:rsidP="002B1BD5">
      <w:pPr>
        <w:pStyle w:val="Heading3"/>
        <w:rPr>
          <w:lang w:bidi="fa-IR"/>
        </w:rPr>
      </w:pPr>
      <w:r>
        <w:t>Spatial Generalization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a region-matched reanalysis is also reported: for each band, the band-holdout error is compared against the main-study models on the identical band rows inside the interpolation test set. Its residual confound is a roughly 15% training-size difference. The ideal-form control removes it by retraining at equal size: band rows kept in training, with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t>Interpolation Accuracy and Simplex Closure</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pPr/>
      <w:r>
        <w:t>Projection, not architecture, is where the accuracy comes from. Projecting the stored raw sigmoid outputs through clip-and-renormalize reproduces the trained renorm head within 1.3×10⁻⁴ MAE in every system: the simplex constraint costs nothing because the repair is a projection. Closure alone certifies nothing: ridge closes to ~10⁻¹⁰ with 16.6–27.7% of cells negative, and XGBoost with 19.0–35.8%, while sigmoid, forest, and k-NN emit no negative cells.</w:t>
      </w:r>
    </w:p>
    <w:p w14:paraId="4A8FDE32" w14:textId="77777777" w:rsidR="00F63CDE" w:rsidRDefault="00F63CDE" w:rsidP="00F63CDE">
      <w:pPr>
        <w:pStyle w:val="Heading2"/>
        <w:rPr>
          <w:lang w:bidi="fa-IR"/>
        </w:rPr>
      </w:pPr>
      <w:r>
        <w:t>The Regressor–Detector Gap and the Presence-Gated Remedy</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r>
        <w:t>Confirmatory on three seeds held out from the remedy's design (1009,20260905 and 31337), the presence-gated head reaches macro-AUPRC 0.88–0.99 on all nine systems and beats the best seed-matched classical detector on eight of nine, the single exception being Fe–Cr–V at 0.989 against 0.992 for XGBoost. The comparisons below measure the gated head against the fraction-only MLP and report per-phase scores; they use the development seeds 42, 123 and 2024 on which the remedy was designed, so they are descriptive rather than confirmatory. On those seeds, across the five ternaries, the bare renorm MLP macro area under the precision–recall curve (macro-AUPRC) spans 0.36–0.99 and the gated head 0.91–0.99. The gated head beats the best classical detector on four of the five systems (Fe–Cr–V is 0.988 against 0.990, a near-tie). Test MAE falls on all five systems, by 6% on Fe–Cr–Ni and 72% on Fe–Mn–Ni (0.0140 to 0.0039). Per-phase scores locate the effect: on Fe–Cr–Mn, ALPHA_MN rises from 0.004 to 0.933 and BETA_MN from 0.005 to 0.896; on Fe–Mn–Ni, MNNI rises from 0.003 to 1.00. One rare phase resists: the 0.1%-occurrence MU_PHASE_I in Fe–Cr–Mo stays below 0.5. The weighted-only ablation is insufficient (0.51–0.99, and it degrades MAE by 28% on Fe–Cr–V). Presence supervision, not loss reweighting, is the operative ingredient.</w:t>
      </w:r>
    </w:p>
    <w:p>
      <w:pPr/>
      <w:r>
        <w:t>The identical recipe transfers, and no hyperparameter search was performed for it: a presence temperature fitted on the validation rows was tried and made test MAE worse on all three seeds. The values in this paragraph are development-seed values. On quaternary Fe–Cr–Ni–C, the gated head raises macro-AUPRC from 0.805 to 0.965 (CEMENTITE from 0.09 to 0.873, GRAPHITE from 0.58 to 0.926) at a 12% MAE cost. On Fe–Cr–C, it rises from 0.559 to 0.922 at a 47% cost. On the Fe-free systems, detection comes nearly for free. Cr–Co–Ni rises from 0.799 to 0.979 (HCP_A3, invisible to the joint head at 0.02, reaches 0.91) while MAE improves from 0.0055 to 0.0045. Cr–Ni–Mn rises from 0.877 to 0.971 with MAE improving from 0.0040 to 0.0036.</w:t>
      </w:r>
    </w:p>
    <w:p>
      <w:pPr/>
      <w:r>
        <w:t>The gated head was designed after the bare regressor failed on these test sets, so its shift numbers are exploratory; the interpolation result above is the confirmatory one. Under shift, the remedy holds except where detection itself collapses (Table 8). On contiguous bands, the gated head matches or beats the fraction-only MLP while outperforming the forest by a wide margin, with macro-AUPRC at 0.96–1.00. Under composition extrapolation, it wins on Fe–Cr–Ni (0.147 against 0.172) but loses on Fe–Cr–V, where the presence head misfires out of distribution (0.090 against 0.046 for the fraction-only head). Under temperature extrapolation, all families fail together and gated AUPRC collapses to 0.59–0.63. Two caveats apply: the remedy was designed after the bare regressor failed on these test sets, so its numbers are post-hoc; and the shift evaluation covers two systems only.</w:t>
      </w:r>
    </w:p>
    <w:p>
      <w:pPr/>
      <w:r>
        <w:t>Table 8. Gated head under the spatial protocols. Test MAE (mean over three seeds) with the stored same-seed, same-block renorm-MLP and random-forest values alongside, plus gated macro-AUPRC. Presence supervision transfers to missing-region shift and (on one system) composition extrapolation, but not to temperature extrapolation, where detection collapses for every model.</w:t>
      </w:r>
    </w:p>
    <w:p>
      <w:pPr/>
      <w:r>
        <w:t>Table 9.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XGBoost</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System</w:t>
            </w:r>
          </w:p>
        </w:tc>
        <w:tc>
          <w:tcPr>
            <w:tcW w:type="dxa" w:w="1560"/>
          </w:tcPr>
          <w:p>
            <w:r/>
            <w:r>
              <w:rPr>
                <w:b/>
                <w:sz w:val="18"/>
              </w:rPr>
              <w:t>Protocol</w:t>
            </w:r>
          </w:p>
        </w:tc>
        <w:tc>
          <w:tcPr>
            <w:tcW w:type="dxa" w:w="1560"/>
          </w:tcPr>
          <w:p>
            <w:r/>
            <w:r>
              <w:rPr>
                <w:b/>
                <w:sz w:val="18"/>
              </w:rPr>
              <w:t>gated</w:t>
            </w:r>
          </w:p>
        </w:tc>
        <w:tc>
          <w:tcPr>
            <w:tcW w:type="dxa" w:w="1560"/>
          </w:tcPr>
          <w:p>
            <w:r/>
            <w:r>
              <w:rPr>
                <w:b/>
                <w:sz w:val="18"/>
              </w:rPr>
              <w:t>renorm MLP</w:t>
            </w:r>
          </w:p>
        </w:tc>
        <w:tc>
          <w:tcPr>
            <w:tcW w:type="dxa" w:w="1560"/>
          </w:tcPr>
          <w:p>
            <w:r/>
            <w:r>
              <w:rPr>
                <w:b/>
                <w:sz w:val="18"/>
              </w:rPr>
              <w:t>random forest</w:t>
            </w:r>
          </w:p>
        </w:tc>
        <w:tc>
          <w:tcPr>
            <w:tcW w:type="dxa" w:w="1560"/>
          </w:tcPr>
          <w:p>
            <w:r/>
            <w:r>
              <w:rPr>
                <w:b/>
                <w:sz w:val="18"/>
              </w:rPr>
              <w:t>gated AUPRC</w:t>
            </w:r>
          </w:p>
        </w:tc>
      </w:tr>
      <w:tr>
        <w:tc>
          <w:tcPr>
            <w:tcW w:type="dxa" w:w="1560"/>
          </w:tcPr>
          <w:p>
            <w:r/>
            <w:r>
              <w:rPr>
                <w:b w:val="0"/>
                <w:sz w:val="18"/>
              </w:rPr>
              <w:t>Fe–Cr–Ni</w:t>
            </w:r>
          </w:p>
        </w:tc>
        <w:tc>
          <w:tcPr>
            <w:tcW w:type="dxa" w:w="1560"/>
          </w:tcPr>
          <w:p>
            <w:r/>
            <w:r>
              <w:rPr>
                <w:b w:val="0"/>
                <w:sz w:val="18"/>
              </w:rPr>
              <w:t>T band</w:t>
            </w:r>
          </w:p>
        </w:tc>
        <w:tc>
          <w:tcPr>
            <w:tcW w:type="dxa" w:w="1560"/>
          </w:tcPr>
          <w:p>
            <w:r/>
            <w:r>
              <w:rPr>
                <w:b w:val="0"/>
                <w:sz w:val="18"/>
              </w:rPr>
              <w:t>0.0127</w:t>
            </w:r>
          </w:p>
        </w:tc>
        <w:tc>
          <w:tcPr>
            <w:tcW w:type="dxa" w:w="1560"/>
          </w:tcPr>
          <w:p>
            <w:r/>
            <w:r>
              <w:rPr>
                <w:b w:val="0"/>
                <w:sz w:val="18"/>
              </w:rPr>
              <w:t>0.0132</w:t>
            </w:r>
          </w:p>
        </w:tc>
        <w:tc>
          <w:tcPr>
            <w:tcW w:type="dxa" w:w="1560"/>
          </w:tcPr>
          <w:p>
            <w:r/>
            <w:r>
              <w:rPr>
                <w:b w:val="0"/>
                <w:sz w:val="18"/>
              </w:rPr>
              <w:t>0.0258</w:t>
            </w:r>
          </w:p>
        </w:tc>
        <w:tc>
          <w:tcPr>
            <w:tcW w:type="dxa" w:w="1560"/>
          </w:tcPr>
          <w:p>
            <w:r/>
            <w:r>
              <w:rPr>
                <w:b w:val="0"/>
                <w:sz w:val="18"/>
              </w:rPr>
              <w:t>0.960</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0.0134</w:t>
            </w:r>
          </w:p>
        </w:tc>
        <w:tc>
          <w:tcPr>
            <w:tcW w:type="dxa" w:w="1560"/>
          </w:tcPr>
          <w:p>
            <w:r/>
            <w:r>
              <w:rPr>
                <w:b w:val="0"/>
                <w:sz w:val="18"/>
              </w:rPr>
              <w:t>0.0162</w:t>
            </w:r>
          </w:p>
        </w:tc>
        <w:tc>
          <w:tcPr>
            <w:tcW w:type="dxa" w:w="1560"/>
          </w:tcPr>
          <w:p>
            <w:r/>
            <w:r>
              <w:rPr>
                <w:b w:val="0"/>
                <w:sz w:val="18"/>
              </w:rPr>
              <w:t>0.0615</w:t>
            </w:r>
          </w:p>
        </w:tc>
        <w:tc>
          <w:tcPr>
            <w:tcW w:type="dxa" w:w="1560"/>
          </w:tcPr>
          <w:p>
            <w:r/>
            <w:r>
              <w:rPr>
                <w:b w:val="0"/>
                <w:sz w:val="18"/>
              </w:rPr>
              <w:t>0.993</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0.1466</w:t>
            </w:r>
          </w:p>
        </w:tc>
        <w:tc>
          <w:tcPr>
            <w:tcW w:type="dxa" w:w="1560"/>
          </w:tcPr>
          <w:p>
            <w:r/>
            <w:r>
              <w:rPr>
                <w:b w:val="0"/>
                <w:sz w:val="18"/>
              </w:rPr>
              <w:t>0.1721</w:t>
            </w:r>
          </w:p>
        </w:tc>
        <w:tc>
          <w:tcPr>
            <w:tcW w:type="dxa" w:w="1560"/>
          </w:tcPr>
          <w:p>
            <w:r/>
            <w:r>
              <w:rPr>
                <w:b w:val="0"/>
                <w:sz w:val="18"/>
              </w:rPr>
              <w:t>0.2152</w:t>
            </w:r>
          </w:p>
        </w:tc>
        <w:tc>
          <w:tcPr>
            <w:tcW w:type="dxa" w:w="1560"/>
          </w:tcPr>
          <w:p>
            <w:r/>
            <w:r>
              <w:rPr>
                <w:b w:val="0"/>
                <w:sz w:val="18"/>
              </w:rPr>
              <w:t>0.903</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0.2264</w:t>
            </w:r>
          </w:p>
        </w:tc>
        <w:tc>
          <w:tcPr>
            <w:tcW w:type="dxa" w:w="1560"/>
          </w:tcPr>
          <w:p>
            <w:r/>
            <w:r>
              <w:rPr>
                <w:b w:val="0"/>
                <w:sz w:val="18"/>
              </w:rPr>
              <w:t>0.2227</w:t>
            </w:r>
          </w:p>
        </w:tc>
        <w:tc>
          <w:tcPr>
            <w:tcW w:type="dxa" w:w="1560"/>
          </w:tcPr>
          <w:p>
            <w:r/>
            <w:r>
              <w:rPr>
                <w:b w:val="0"/>
                <w:sz w:val="18"/>
              </w:rPr>
              <w:t>0.2346</w:t>
            </w:r>
          </w:p>
        </w:tc>
        <w:tc>
          <w:tcPr>
            <w:tcW w:type="dxa" w:w="1560"/>
          </w:tcPr>
          <w:p>
            <w:r/>
            <w:r>
              <w:rPr>
                <w:b w:val="0"/>
                <w:sz w:val="18"/>
              </w:rPr>
              <w:t>0.630</w:t>
            </w:r>
          </w:p>
        </w:tc>
      </w:tr>
      <w:tr>
        <w:tc>
          <w:tcPr>
            <w:tcW w:type="dxa" w:w="1560"/>
          </w:tcPr>
          <w:p>
            <w:r/>
            <w:r>
              <w:rPr>
                <w:b w:val="0"/>
                <w:sz w:val="18"/>
              </w:rPr>
              <w:t>Fe–Cr–V</w:t>
            </w:r>
          </w:p>
        </w:tc>
        <w:tc>
          <w:tcPr>
            <w:tcW w:type="dxa" w:w="1560"/>
          </w:tcPr>
          <w:p>
            <w:r/>
            <w:r>
              <w:rPr>
                <w:b w:val="0"/>
                <w:sz w:val="18"/>
              </w:rPr>
              <w:t>T band</w:t>
            </w:r>
          </w:p>
        </w:tc>
        <w:tc>
          <w:tcPr>
            <w:tcW w:type="dxa" w:w="1560"/>
          </w:tcPr>
          <w:p>
            <w:r/>
            <w:r>
              <w:rPr>
                <w:b w:val="0"/>
                <w:sz w:val="18"/>
              </w:rPr>
              <w:t>0.0228</w:t>
            </w:r>
          </w:p>
        </w:tc>
        <w:tc>
          <w:tcPr>
            <w:tcW w:type="dxa" w:w="1560"/>
          </w:tcPr>
          <w:p>
            <w:r/>
            <w:r>
              <w:rPr>
                <w:b w:val="0"/>
                <w:sz w:val="18"/>
              </w:rPr>
              <w:t>0.0358</w:t>
            </w:r>
          </w:p>
        </w:tc>
        <w:tc>
          <w:tcPr>
            <w:tcW w:type="dxa" w:w="1560"/>
          </w:tcPr>
          <w:p>
            <w:r/>
            <w:r>
              <w:rPr>
                <w:b w:val="0"/>
                <w:sz w:val="18"/>
              </w:rPr>
              <w:t>0.0762</w:t>
            </w:r>
          </w:p>
        </w:tc>
        <w:tc>
          <w:tcPr>
            <w:tcW w:type="dxa" w:w="1560"/>
          </w:tcPr>
          <w:p>
            <w:r/>
            <w:r>
              <w:rPr>
                <w:b w:val="0"/>
                <w:sz w:val="18"/>
              </w:rPr>
              <w:t>0.979</w:t>
            </w:r>
          </w:p>
        </w:tc>
      </w:tr>
      <w:tr>
        <w:tc>
          <w:tcPr>
            <w:tcW w:type="dxa" w:w="1560"/>
          </w:tcPr>
          <w:p>
            <w:r/>
            <w:r>
              <w:rPr>
                <w:b w:val="0"/>
                <w:sz w:val="18"/>
              </w:rPr>
            </w:r>
          </w:p>
        </w:tc>
        <w:tc>
          <w:tcPr>
            <w:tcW w:type="dxa" w:w="1560"/>
          </w:tcPr>
          <w:p>
            <w:r/>
            <w:r>
              <w:rPr>
                <w:b w:val="0"/>
                <w:sz w:val="18"/>
              </w:rPr>
              <w:t>x₂ band</w:t>
            </w:r>
          </w:p>
        </w:tc>
        <w:tc>
          <w:tcPr>
            <w:tcW w:type="dxa" w:w="1560"/>
          </w:tcPr>
          <w:p>
            <w:r/>
            <w:r>
              <w:rPr>
                <w:b w:val="0"/>
                <w:sz w:val="18"/>
              </w:rPr>
              <w:t>0.0103</w:t>
            </w:r>
          </w:p>
        </w:tc>
        <w:tc>
          <w:tcPr>
            <w:tcW w:type="dxa" w:w="1560"/>
          </w:tcPr>
          <w:p>
            <w:r/>
            <w:r>
              <w:rPr>
                <w:b w:val="0"/>
                <w:sz w:val="18"/>
              </w:rPr>
              <w:t>0.0111</w:t>
            </w:r>
          </w:p>
        </w:tc>
        <w:tc>
          <w:tcPr>
            <w:tcW w:type="dxa" w:w="1560"/>
          </w:tcPr>
          <w:p>
            <w:r/>
            <w:r>
              <w:rPr>
                <w:b w:val="0"/>
                <w:sz w:val="18"/>
              </w:rPr>
              <w:t>0.0288</w:t>
            </w:r>
          </w:p>
        </w:tc>
        <w:tc>
          <w:tcPr>
            <w:tcW w:type="dxa" w:w="1560"/>
          </w:tcPr>
          <w:p>
            <w:r/>
            <w:r>
              <w:rPr>
                <w:b w:val="0"/>
                <w:sz w:val="18"/>
              </w:rPr>
              <w:t>0.999</w:t>
            </w:r>
          </w:p>
        </w:tc>
      </w:tr>
      <w:tr>
        <w:tc>
          <w:tcPr>
            <w:tcW w:type="dxa" w:w="1560"/>
          </w:tcPr>
          <w:p>
            <w:r/>
            <w:r>
              <w:rPr>
                <w:b w:val="0"/>
                <w:sz w:val="18"/>
              </w:rPr>
            </w:r>
          </w:p>
        </w:tc>
        <w:tc>
          <w:tcPr>
            <w:tcW w:type="dxa" w:w="1560"/>
          </w:tcPr>
          <w:p>
            <w:r/>
            <w:r>
              <w:rPr>
                <w:b w:val="0"/>
                <w:sz w:val="18"/>
              </w:rPr>
              <w:t>x₂ extrap.</w:t>
            </w:r>
          </w:p>
        </w:tc>
        <w:tc>
          <w:tcPr>
            <w:tcW w:type="dxa" w:w="1560"/>
          </w:tcPr>
          <w:p>
            <w:r/>
            <w:r>
              <w:rPr>
                <w:b w:val="0"/>
                <w:sz w:val="18"/>
              </w:rPr>
              <w:t>0.0902</w:t>
            </w:r>
          </w:p>
        </w:tc>
        <w:tc>
          <w:tcPr>
            <w:tcW w:type="dxa" w:w="1560"/>
          </w:tcPr>
          <w:p>
            <w:r/>
            <w:r>
              <w:rPr>
                <w:b w:val="0"/>
                <w:sz w:val="18"/>
              </w:rPr>
              <w:t>0.0464</w:t>
            </w:r>
          </w:p>
        </w:tc>
        <w:tc>
          <w:tcPr>
            <w:tcW w:type="dxa" w:w="1560"/>
          </w:tcPr>
          <w:p>
            <w:r/>
            <w:r>
              <w:rPr>
                <w:b w:val="0"/>
                <w:sz w:val="18"/>
              </w:rPr>
              <w:t>0.0761</w:t>
            </w:r>
          </w:p>
        </w:tc>
        <w:tc>
          <w:tcPr>
            <w:tcW w:type="dxa" w:w="1560"/>
          </w:tcPr>
          <w:p>
            <w:r/>
            <w:r>
              <w:rPr>
                <w:b w:val="0"/>
                <w:sz w:val="18"/>
              </w:rPr>
              <w:t>0.975</w:t>
            </w:r>
          </w:p>
        </w:tc>
      </w:tr>
      <w:tr>
        <w:tc>
          <w:tcPr>
            <w:tcW w:type="dxa" w:w="1560"/>
          </w:tcPr>
          <w:p>
            <w:r/>
            <w:r>
              <w:rPr>
                <w:b w:val="0"/>
                <w:sz w:val="18"/>
              </w:rPr>
            </w:r>
          </w:p>
        </w:tc>
        <w:tc>
          <w:tcPr>
            <w:tcW w:type="dxa" w:w="1560"/>
          </w:tcPr>
          <w:p>
            <w:r/>
            <w:r>
              <w:rPr>
                <w:b w:val="0"/>
                <w:sz w:val="18"/>
              </w:rPr>
              <w:t>T extrap.</w:t>
            </w:r>
          </w:p>
        </w:tc>
        <w:tc>
          <w:tcPr>
            <w:tcW w:type="dxa" w:w="1560"/>
          </w:tcPr>
          <w:p>
            <w:r/>
            <w:r>
              <w:rPr>
                <w:b w:val="0"/>
                <w:sz w:val="18"/>
              </w:rPr>
              <w:t>0.1051</w:t>
            </w:r>
          </w:p>
        </w:tc>
        <w:tc>
          <w:tcPr>
            <w:tcW w:type="dxa" w:w="1560"/>
          </w:tcPr>
          <w:p>
            <w:r/>
            <w:r>
              <w:rPr>
                <w:b w:val="0"/>
                <w:sz w:val="18"/>
              </w:rPr>
              <w:t>0.0994</w:t>
            </w:r>
          </w:p>
        </w:tc>
        <w:tc>
          <w:tcPr>
            <w:tcW w:type="dxa" w:w="1560"/>
          </w:tcPr>
          <w:p>
            <w:r/>
            <w:r>
              <w:rPr>
                <w:b w:val="0"/>
                <w:sz w:val="18"/>
              </w:rPr>
              <w:t>0.1937</w:t>
            </w:r>
          </w:p>
        </w:tc>
        <w:tc>
          <w:tcPr>
            <w:tcW w:type="dxa" w:w="1560"/>
          </w:tcPr>
          <w:p>
            <w:r/>
            <w:r>
              <w:rPr>
                <w:b w:val="0"/>
                <w:sz w:val="18"/>
              </w:rPr>
              <w:t>0.586</w:t>
            </w:r>
          </w:p>
        </w:tc>
      </w:tr>
      <w:tr>
        <w:tc>
          <w:tcPr>
            <w:tcW w:type="dxa" w:w="9360"/>
            <w:gridSpan w:val="6"/>
          </w:tcPr>
          <w:p>
            <w:r/>
            <w:r>
              <w:rPr>
                <w:b w:val="0"/>
                <w:sz w:val="18"/>
              </w:rPr>
              <w:t>Test MAE (mean over three seeds) and gated macro-AUPRC; renorm/RF columns are the stored same-seed, same-block benchmark values.</w:t>
            </w:r>
          </w:p>
        </w:tc>
      </w:tr>
    </w:tbl>
    <w:p>
      <w:pPr/>
      <w:r>
        <w:t>Deployment needs to know when not to trust the surrogate. Two per-row scores were evaluated on the five ternary systems using artifacts the protocol already produces. The first is ensemble disagreement (U1): the per-row standard deviation across the three seed models, averaged over phases. The second is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with similar factors on Fe–Cr–Mn and Fe–Cr–Mo. On Fe–Cr–V and Fe–Mn–Ni the curve is flat or reversed, so the gate must be validated once per system before use. Ensemble averaging itself is only a small refinement (mean gain 0.35% on fully paired rows).</w:t>
      </w:r>
    </w:p>
    <w:p>
      <w:pPr/>
      <w:r>
        <w:t>Input-space distance has no power (mean area under the receiver-operating characteristic curve (AUROC) 0.408, below random). Under interpolation every test row is close to training rows, while the hardest rows sit near phase boundaries. Disagreement cannot replace the spatial protocols either: models trained on the same data can agree confidently and wrongly where training carries no information. The division of labor is therefore fixed: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t>Spatial Generalization and Its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10,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11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10.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11.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r>
        <w:t>Random controls remove different rows than the band, so penalty ratios conflate region difficulty with distribution shift. The region-matched reanalysis compares band-holdout error against the main-study models on the identical band rows (Table 12, panel A). Under this measure, the constrained MLP penalty is smaller than the tree ensembles’ in nine of the ten band–system combinations. On composition bands the ratios are 1.2–2.1 against 1.4–3.0 for the forest; on temperature bands 0.9–2.8 against 1.3–3.9, with Fe–Cr–Ni the single exception (2.8 against 2.1, although absolute holdout error remains twice the MLP’s at 0.0132 against 0.0258). One instability sits behind the headline: on Fe–Mn–Ni the MLP temperature ratios spread 0.9/20.3/0.6 across seeds from a near-zero denominator, downweighted in the ratio-of-means headline (1.1).</w:t>
      </w:r>
    </w:p>
    <w:p>
      <w:pPr/>
      <w:r>
        <w:t>The ideal-form control (Table 12, panel B) confirms the penalty is spatial, not volumetric. At equal training size and on identical test rows, the training-size effect stays within 0.97–1.12 (mean 1.03) while removing the band still costs 0.93–3.84 (mean 2.01). The MLP degrades least in nine of ten combinations. Error therefore tracks data coverage, not data volume.</w:t>
      </w:r>
    </w:p>
    <w:p>
      <w:pPr/>
      <w:r>
        <w:t>Table 12.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t>Ablations and Failed Constraint Mechanisms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13,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13.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t>Error Localization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Transfer to Quaternary, Carbide, and Fe-Free Systems</w:t>
      </w:r>
    </w:p>
    <w:p>
      <w:pPr/>
      <w:r>
        <w:t>The full protocol re-run on the four extension systems shows the smooth-coexistence ranking survives four inputs (Table 14). On quaternary Fe–Cr–Ni–C, the renorm head reaches 0.0037 MAE against 0.0075 for the forest, a twofold margin larger than on any ternary.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become rarer, and the identical gated recipe transfers.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but the band results are region-dependent rather than uniform. On the two carbide systems composition-band holdout costs 2.1–3.5 times the size-matched random control, Cr–Ni–Mn composition bands cost 1.3 times, and the Cr–Co–Ni bands and the Fe–Cr–Ni–C temperature band test easier than the control (0.7–0.8 times, the Cr–Co–Ni bands being FCC-dominated). Strict extrapolation fails on every tested axis and temperature is the worst, at 15–24 times the control across the four systems (15.2, 20.1, 22.2 and 24.3).</w:t>
      </w:r>
    </w:p>
    <w:p>
      <w:pPr/>
      <w:r>
        <w:t>Table 14.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 and High-Throughput Screening</w:t>
      </w:r>
    </w:p>
    <w:p>
      <w:pPr/>
      <w:r>
        <w:t>Four published differential thermal analysis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the same order as the database’s own mean deviation from experiment (19 K, median 8 K, driven by a single +59 K outlier). The surrogate term is larger on three of the four alloys.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r>
        <w:t>Fe–Cr–Ni was screened at T = 1000 K, below liquid appearance and at a service-relevant temperature, for a lean-nickel austenitic window: fully austenitic (FCC ≥ 0.99), sigma-free and melt-free (each ≤ 10⁻³), with nickel capped at 12 mol% (Table 15, Figure 11). The screen evaluated 501,501 compositions on a 10⁻³ simplex grid in 0.4 s, shortlisting 10,936 hits (2.18%). The whole shortlist was re-solved with the full 28-phase set — all 11 Pareto-frontier points (minimal Ni per Cr bin, falling from 7.5% Ni at 1.5% Cr to 4.8% near 12–13% Cr), a random 400-point subset, and the remaining 10,525 in a follow-up run, with no solver failures — so shortlist precision is a census and not an estimate: 10,936 of 10,936 confirm. Recall is bounded instead, because the screen's false negatives were sampled rather than enumerated. A uniform draw of the non-shortlisted in-scope points found 4 qualifying alloys among 76, a miss rate of 5.3% with a Clopper–Pearson 95% interval of 1.5–12.9%. Extrapolated uniformly over the 102,925 in-scope non-hits this implies about 5,400 missed qualifying alloys and a recall of 0.67 (95% interval 0.45–0.88). The estimate is a worst case: all four observed misses lie at Cr ≤ 0.20, and the miss rate is very likely lower in the chromium-rich part of the window. Three of the four sit within 0.01 of a decision cutoff and one is a clear model miss, and ensemble spread separates them from the validated hits (Figure 12, panel a; AUROC 0.86, n = 4, so suggestive rather than conclusive; the clear failure carries ten times the shortlist 95th-percentile spread). The threshold sweep over the 811-point boundary-enriched validation pool gives precision 1.00 at all nine FCC–sigma combinations (Figure 12, panel b; Table 15); because 411 of those 811 points are shortlist members already counted above, this corroborates robustness to the cutoff choice rather than re-estimating deployed precision.</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many times over. The one-time cost is dominated by CALPHAD data generation rather than by training: 8,880 probe-set equilibria at 0.33 s, a 2,000-draw full-eligible-set phase probe at 0.41 s, and 268 s of training for three seeds of one head on one system, summing to 4.0×10³ s. Against the measured 0.41 s per full-set solve this is a break-even near 9.7×10³ points, or 6.7×10⁴ points if the unmeasured 2.5 s per-equilibrium prose figure is substituted for the probe-set cost. The 501,501-point screen therefore pays back about 7 to 50 times in a single query, and the width of that range is set by the unmeasured constant rather than by the screen. For scale, the full benchmark over nine systems, six heads and four baselines took 5.7 h of training and the complete protocol 24.5 h, so 268 s is specific to one deployment configuration rather than a total. Half the training data buys most of the accuracy (0.0121 at 50% against 0.0091 full). Commercial-grade projections recover the two named grades consistently: AISI 304 is refused on its 3.7% CALPHAD sigma and ferritic 430 is refused in agreement.</w:t>
      </w:r>
    </w:p>
    <w:p>
      <w:pPr/>
      <w:r>
        <w:t>With carbon in the query the screen still works, and its failures mark the model’s edge (Table 16, Figure 13). On quaternary Fe–Cr–Ni–C, 330,000 compositions screen in 0.5 s with 14,475 hits (4.39%). The frontier reaches 2.9% Ni at near-zero Cr, with carbon substituting for both Ni and Cr. Re-solving the shortlist gives 15 of 20 frontier points, 392 of a random 400-point subset and 13,736 of the remaining 14,055, for shortlist precision 0.98 (14,143/14,475). The 5 frontier rejections form one contiguous Cr pocket where the screen over-smooths a two-phase region at its decision edge, and the 319 follow-up misses are optimistic flips sitting at the cutoffs, the opposite of the conservative misses on the ternary. Extrapolating the in-scope background miss rate (5 of 131) over the 117,525 in-scope non-hits gives recall 0.76 (95% interval 0.59–0.91). Disagreement gates transfer (AUROC 0.856, n = 5). Here the one-time cost is 13,192 probe-set equilibria at 0.94 s, a 2,000-draw probe at 1.36 s and 660 s of training, so break-even is near 1.2×10⁴ points, or 2.8×10⁴ points on the same unmeasured substitution, and the screen pays back roughly 10 to 30 times.</w:t>
      </w:r>
    </w:p>
    <w:p>
      <w:pPr/>
      <w:r>
        <w:t>Table 15.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uniform extrapolation (4/76 background miss rate over 102,925 in-scope non-hits)</w:t>
            </w:r>
          </w:p>
        </w:tc>
        <w:tc>
          <w:tcPr>
            <w:tcW w:type="dxa" w:w="4680"/>
          </w:tcPr>
          <w:p>
            <w:r/>
            <w:r>
              <w:rPr>
                <w:b w:val="0"/>
                <w:sz w:val="18"/>
              </w:rPr>
              <w:t>0.67 (95% CI 0.45–0.88)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(data generation + phase probe + 268 s training, per-point saving)</w:t>
            </w:r>
          </w:p>
        </w:tc>
        <w:tc>
          <w:tcPr>
            <w:tcW w:type="dxa" w:w="4680"/>
          </w:tcPr>
          <w:p>
            <w:r/>
            <w:r>
              <w:rPr>
                <w:b w:val="0"/>
                <w:sz w:val="18"/>
              </w:rPr>
              <w:t>9.7×10³ (measured probe cost) – 6.7×10⁴ (unmeasured 2.5 s prose cost)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16.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uniform extrapolation (5/131 background miss rate over 117,525 in-scope non-hits)</w:t>
            </w:r>
          </w:p>
        </w:tc>
        <w:tc>
          <w:tcPr>
            <w:tcW w:type="dxa" w:w="4680"/>
          </w:tcPr>
          <w:p>
            <w:r/>
            <w:r>
              <w:rPr>
                <w:b w:val="0"/>
                <w:sz w:val="18"/>
              </w:rPr>
              <w:t>0.76 (95% CI 0.59–0.91)</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(data generation + phase probe + 660 s training, per-point saving)</w:t>
            </w:r>
          </w:p>
        </w:tc>
        <w:tc>
          <w:tcPr>
            <w:tcW w:type="dxa" w:w="4680"/>
          </w:tcPr>
          <w:p>
            <w:r/>
            <w:r>
              <w:rPr>
                <w:b w:val="0"/>
                <w:sz w:val="18"/>
              </w:rPr>
              <w:t>11.6×10³ (measured probe cost) – 2.8×10⁴ (unmeasured 2.5 s prose cost)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t>Topological Dependencies and the Reality of Spatial Generalization</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Error therefore tracks data coverage, not data volume. For screening loops,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screens quantify the filter economics. Break-even near 9.7×10³ points on the ternary and 1.2×10⁴ on the quaternary against payback of about 7–50 and 10–30 times respectively in a single query, with shortlist precision 1.00 (a census) and 0.98, and in-scope recall of 0.67 and 0.76 with 95% intervals of 0.45–0.88 and 0.59–0.91. The boundary conditions stand: one temperature each on two systems, and trusting a screen means re-solving a deliberate sample of the shortlist rather than spot-checking it. Validation cost 26,211 full-set solves across the two campaigns (11,336 and 14,875), about 3% of the 831,501 compositions screened.</w:t>
      </w:r>
    </w:p>
    <w:p w14:paraId="365C1661" w14:textId="77777777" w:rsidR="00317DEF" w:rsidRPr="00317DEF" w:rsidRDefault="00317DEF" w:rsidP="0022478B">
      <w:pPr>
        <w:jc w:val="both"/>
        <w:rPr>
          <w:lang w:bidi="fa-IR"/>
        </w:rPr>
      </w:pP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behavior from database variation but holds database error fixed.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On seeds held out from the remedy's design, the gated two-stage head reaches macro-AUPRC 0.88–0.99 on all nine systems and beats the best seed-matched classical detector on eight of nine, staying ahead of the seed-matched random forest in MAE throughout and costing 12–47% MAE relative to the fraction-only MLP on the two carbide systems. Presence supervision, not architecture, resolves the sharp-boundary cases.</w:t>
      </w:r>
    </w:p>
    <w:p>
      <w:pPr/>
      <w:r>
        <w:t>Penalties are spatial, not volumetric. The ideal-form control holds training size fixed and still doubles the error on band removal (mean 2.01) against a 3% size effect. Error tracks coverage, and strict extrapolation remains unsupported on every axis tested.</w:t>
      </w:r>
    </w:p>
    <w:p>
      <w:pPr/>
      <w:r>
        <w:t>Generality across dimension and chemistry. Rankings, gap, remedy, and protocols transfer to a quaternary, a carbide ternary, and two Fe-free ternaries (88,542 equilibria total). The sparse head is competitive only on dilute nine-phase targets.</w:t>
      </w:r>
    </w:p>
    <w:p>
      <w:pPr/>
      <w:r>
        <w:t>Screening pays. Two lean-nickel screens at one temperature each (501,501 and 330,000 compositions; shortlist precision 1.00 as a census and 0.98; in-scope recall 0.67 and 0.76) repay their one-time cost by 7–50 and 10–30 times, with ensemble disagreement as a shortlist triage gate and a four-point experimental anchor that bounds, but cannot validate, the database.</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