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The gated head lifted macro area under the precision–recall curve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a sampling-coverage confound priced explicitly by the matched controls below. The two efforts are complementary: augmentation (theirs) repairs training data, while this work regresses fraction vectors across temperature on nine systems and validates the pipeline end to end with two high-throughput screens.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and uncertainty screening, dashed arrows). (4) Deployment: a four-point experimental anchor and two validated high-throughput screens (a 501,501-composition ternary screen and a 330,000-composition quaternary screen), with ensemble disagreement gating the ternary screen.</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pPr/>
      <w:r>
        <w:t>Projection, not architecture, is where the accuracy comes from. Projecting the stored raw sigmoid outputs through clip-and-renormalize reproduces the trained renorm head within 1.3×10⁻⁴ MAE in every system: the simplex constraint costs nothing because the repair is a projection. Closure alone certifies nothing: ridge closes to ~10⁻¹⁰ with 16.6–27.7% of cells negative, and XGBoost with 19.0–35.8%, while sigmoid, forest, and k-NN emit no negative cells.</w:t>
      </w: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5). Across the five ternaries, the bare renorm MLP macro area under the precision–recall curve (macro-AUPRC) spans 0.36–0.99 and the gated head 0.91–0.99. The gated head beats the best classical detector on four of the five systems (Fe–Cr–V is a 0.988 against 0.990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(Table 8).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(0.090 against 0.046 for the fraction-only head).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Gated head under the spatial protocols. Test MAE (mean over three seeds) with the stored same-seed, same-block renorm-MLP and random-forest values alongside, plus gated macro-AUPRC. Presence supervision transfers to missing-region shift and (on one system) composition extrapolation, but not to temperature extrapolation, where detection collapses for every model.</w:t>
      </w:r>
    </w:p>
    <w:p>
      <w:pPr/>
      <w:r>
        <w:t>Table 9.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System</w:t>
            </w:r>
          </w:p>
        </w:tc>
        <w:tc>
          <w:tcPr>
            <w:tcW w:type="dxa" w:w="1560"/>
          </w:tcPr>
          <w:p>
            <w:r/>
            <w:r>
              <w:rPr>
                <w:b/>
                <w:sz w:val="18"/>
              </w:rPr>
              <w:t>Protocol</w:t>
            </w:r>
          </w:p>
        </w:tc>
        <w:tc>
          <w:tcPr>
            <w:tcW w:type="dxa" w:w="1560"/>
          </w:tcPr>
          <w:p>
            <w:r/>
            <w:r>
              <w:rPr>
                <w:b/>
                <w:sz w:val="18"/>
              </w:rPr>
              <w:t>gated</w:t>
            </w:r>
          </w:p>
        </w:tc>
        <w:tc>
          <w:tcPr>
            <w:tcW w:type="dxa" w:w="1560"/>
          </w:tcPr>
          <w:p>
            <w:r/>
            <w:r>
              <w:rPr>
                <w:b/>
                <w:sz w:val="18"/>
              </w:rPr>
              <w:t>renorm MLP</w:t>
            </w:r>
          </w:p>
        </w:tc>
        <w:tc>
          <w:tcPr>
            <w:tcW w:type="dxa" w:w="1560"/>
          </w:tcPr>
          <w:p>
            <w:r/>
            <w:r>
              <w:rPr>
                <w:b/>
                <w:sz w:val="18"/>
              </w:rPr>
              <w:t>random forest</w:t>
            </w:r>
          </w:p>
        </w:tc>
        <w:tc>
          <w:tcPr>
            <w:tcW w:type="dxa" w:w="1560"/>
          </w:tcPr>
          <w:p>
            <w:r/>
            <w:r>
              <w:rPr>
                <w:b/>
                <w:sz w:val="18"/>
              </w:rPr>
              <w:t>gated AUPRC</w:t>
            </w:r>
          </w:p>
        </w:tc>
      </w:tr>
      <w:tr>
        <w:tc>
          <w:tcPr>
            <w:tcW w:type="dxa" w:w="1560"/>
          </w:tcPr>
          <w:p>
            <w:r/>
            <w:r>
              <w:rPr>
                <w:b w:val="0"/>
                <w:sz w:val="18"/>
              </w:rPr>
              <w:t>Fe–Cr–Ni</w:t>
            </w:r>
          </w:p>
        </w:tc>
        <w:tc>
          <w:tcPr>
            <w:tcW w:type="dxa" w:w="1560"/>
          </w:tcPr>
          <w:p>
            <w:r/>
            <w:r>
              <w:rPr>
                <w:b w:val="0"/>
                <w:sz w:val="18"/>
              </w:rPr>
              <w:t>T band</w:t>
            </w:r>
          </w:p>
        </w:tc>
        <w:tc>
          <w:tcPr>
            <w:tcW w:type="dxa" w:w="1560"/>
          </w:tcPr>
          <w:p>
            <w:r/>
            <w:r>
              <w:rPr>
                <w:b w:val="0"/>
                <w:sz w:val="18"/>
              </w:rPr>
              <w:t>0.0127</w:t>
            </w:r>
          </w:p>
        </w:tc>
        <w:tc>
          <w:tcPr>
            <w:tcW w:type="dxa" w:w="1560"/>
          </w:tcPr>
          <w:p>
            <w:r/>
            <w:r>
              <w:rPr>
                <w:b w:val="0"/>
                <w:sz w:val="18"/>
              </w:rPr>
              <w:t>0.0132</w:t>
            </w:r>
          </w:p>
        </w:tc>
        <w:tc>
          <w:tcPr>
            <w:tcW w:type="dxa" w:w="1560"/>
          </w:tcPr>
          <w:p>
            <w:r/>
            <w:r>
              <w:rPr>
                <w:b w:val="0"/>
                <w:sz w:val="18"/>
              </w:rPr>
              <w:t>0.0258</w:t>
            </w:r>
          </w:p>
        </w:tc>
        <w:tc>
          <w:tcPr>
            <w:tcW w:type="dxa" w:w="1560"/>
          </w:tcPr>
          <w:p>
            <w:r/>
            <w:r>
              <w:rPr>
                <w:b w:val="0"/>
                <w:sz w:val="18"/>
              </w:rPr>
              <w:t>0.960</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0.0134</w:t>
            </w:r>
          </w:p>
        </w:tc>
        <w:tc>
          <w:tcPr>
            <w:tcW w:type="dxa" w:w="1560"/>
          </w:tcPr>
          <w:p>
            <w:r/>
            <w:r>
              <w:rPr>
                <w:b w:val="0"/>
                <w:sz w:val="18"/>
              </w:rPr>
              <w:t>0.0162</w:t>
            </w:r>
          </w:p>
        </w:tc>
        <w:tc>
          <w:tcPr>
            <w:tcW w:type="dxa" w:w="1560"/>
          </w:tcPr>
          <w:p>
            <w:r/>
            <w:r>
              <w:rPr>
                <w:b w:val="0"/>
                <w:sz w:val="18"/>
              </w:rPr>
              <w:t>0.0615</w:t>
            </w:r>
          </w:p>
        </w:tc>
        <w:tc>
          <w:tcPr>
            <w:tcW w:type="dxa" w:w="1560"/>
          </w:tcPr>
          <w:p>
            <w:r/>
            <w:r>
              <w:rPr>
                <w:b w:val="0"/>
                <w:sz w:val="18"/>
              </w:rPr>
              <w:t>0.993</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0.1466</w:t>
            </w:r>
          </w:p>
        </w:tc>
        <w:tc>
          <w:tcPr>
            <w:tcW w:type="dxa" w:w="1560"/>
          </w:tcPr>
          <w:p>
            <w:r/>
            <w:r>
              <w:rPr>
                <w:b w:val="0"/>
                <w:sz w:val="18"/>
              </w:rPr>
              <w:t>0.1721</w:t>
            </w:r>
          </w:p>
        </w:tc>
        <w:tc>
          <w:tcPr>
            <w:tcW w:type="dxa" w:w="1560"/>
          </w:tcPr>
          <w:p>
            <w:r/>
            <w:r>
              <w:rPr>
                <w:b w:val="0"/>
                <w:sz w:val="18"/>
              </w:rPr>
              <w:t>0.2152</w:t>
            </w:r>
          </w:p>
        </w:tc>
        <w:tc>
          <w:tcPr>
            <w:tcW w:type="dxa" w:w="1560"/>
          </w:tcPr>
          <w:p>
            <w:r/>
            <w:r>
              <w:rPr>
                <w:b w:val="0"/>
                <w:sz w:val="18"/>
              </w:rPr>
              <w:t>0.903</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0.2264</w:t>
            </w:r>
          </w:p>
        </w:tc>
        <w:tc>
          <w:tcPr>
            <w:tcW w:type="dxa" w:w="1560"/>
          </w:tcPr>
          <w:p>
            <w:r/>
            <w:r>
              <w:rPr>
                <w:b w:val="0"/>
                <w:sz w:val="18"/>
              </w:rPr>
              <w:t>0.2227</w:t>
            </w:r>
          </w:p>
        </w:tc>
        <w:tc>
          <w:tcPr>
            <w:tcW w:type="dxa" w:w="1560"/>
          </w:tcPr>
          <w:p>
            <w:r/>
            <w:r>
              <w:rPr>
                <w:b w:val="0"/>
                <w:sz w:val="18"/>
              </w:rPr>
              <w:t>0.2346</w:t>
            </w:r>
          </w:p>
        </w:tc>
        <w:tc>
          <w:tcPr>
            <w:tcW w:type="dxa" w:w="1560"/>
          </w:tcPr>
          <w:p>
            <w:r/>
            <w:r>
              <w:rPr>
                <w:b w:val="0"/>
                <w:sz w:val="18"/>
              </w:rPr>
              <w:t>0.630</w:t>
            </w:r>
          </w:p>
        </w:tc>
      </w:tr>
      <w:tr>
        <w:tc>
          <w:tcPr>
            <w:tcW w:type="dxa" w:w="1560"/>
          </w:tcPr>
          <w:p>
            <w:r/>
            <w:r>
              <w:rPr>
                <w:b w:val="0"/>
                <w:sz w:val="18"/>
              </w:rPr>
              <w:t>Fe–Cr–V</w:t>
            </w:r>
          </w:p>
        </w:tc>
        <w:tc>
          <w:tcPr>
            <w:tcW w:type="dxa" w:w="1560"/>
          </w:tcPr>
          <w:p>
            <w:r/>
            <w:r>
              <w:rPr>
                <w:b w:val="0"/>
                <w:sz w:val="18"/>
              </w:rPr>
              <w:t>T band</w:t>
            </w:r>
          </w:p>
        </w:tc>
        <w:tc>
          <w:tcPr>
            <w:tcW w:type="dxa" w:w="1560"/>
          </w:tcPr>
          <w:p>
            <w:r/>
            <w:r>
              <w:rPr>
                <w:b w:val="0"/>
                <w:sz w:val="18"/>
              </w:rPr>
              <w:t>0.0228</w:t>
            </w:r>
          </w:p>
        </w:tc>
        <w:tc>
          <w:tcPr>
            <w:tcW w:type="dxa" w:w="1560"/>
          </w:tcPr>
          <w:p>
            <w:r/>
            <w:r>
              <w:rPr>
                <w:b w:val="0"/>
                <w:sz w:val="18"/>
              </w:rPr>
              <w:t>0.0358</w:t>
            </w:r>
          </w:p>
        </w:tc>
        <w:tc>
          <w:tcPr>
            <w:tcW w:type="dxa" w:w="1560"/>
          </w:tcPr>
          <w:p>
            <w:r/>
            <w:r>
              <w:rPr>
                <w:b w:val="0"/>
                <w:sz w:val="18"/>
              </w:rPr>
              <w:t>0.0762</w:t>
            </w:r>
          </w:p>
        </w:tc>
        <w:tc>
          <w:tcPr>
            <w:tcW w:type="dxa" w:w="1560"/>
          </w:tcPr>
          <w:p>
            <w:r/>
            <w:r>
              <w:rPr>
                <w:b w:val="0"/>
                <w:sz w:val="18"/>
              </w:rPr>
              <w:t>0.979</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0.0103</w:t>
            </w:r>
          </w:p>
        </w:tc>
        <w:tc>
          <w:tcPr>
            <w:tcW w:type="dxa" w:w="1560"/>
          </w:tcPr>
          <w:p>
            <w:r/>
            <w:r>
              <w:rPr>
                <w:b w:val="0"/>
                <w:sz w:val="18"/>
              </w:rPr>
              <w:t>0.0111</w:t>
            </w:r>
          </w:p>
        </w:tc>
        <w:tc>
          <w:tcPr>
            <w:tcW w:type="dxa" w:w="1560"/>
          </w:tcPr>
          <w:p>
            <w:r/>
            <w:r>
              <w:rPr>
                <w:b w:val="0"/>
                <w:sz w:val="18"/>
              </w:rPr>
              <w:t>0.0288</w:t>
            </w:r>
          </w:p>
        </w:tc>
        <w:tc>
          <w:tcPr>
            <w:tcW w:type="dxa" w:w="1560"/>
          </w:tcPr>
          <w:p>
            <w:r/>
            <w:r>
              <w:rPr>
                <w:b w:val="0"/>
                <w:sz w:val="18"/>
              </w:rPr>
              <w:t>0.999</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0.0902</w:t>
            </w:r>
          </w:p>
        </w:tc>
        <w:tc>
          <w:tcPr>
            <w:tcW w:type="dxa" w:w="1560"/>
          </w:tcPr>
          <w:p>
            <w:r/>
            <w:r>
              <w:rPr>
                <w:b w:val="0"/>
                <w:sz w:val="18"/>
              </w:rPr>
              <w:t>0.0464</w:t>
            </w:r>
          </w:p>
        </w:tc>
        <w:tc>
          <w:tcPr>
            <w:tcW w:type="dxa" w:w="1560"/>
          </w:tcPr>
          <w:p>
            <w:r/>
            <w:r>
              <w:rPr>
                <w:b w:val="0"/>
                <w:sz w:val="18"/>
              </w:rPr>
              <w:t>0.0761</w:t>
            </w:r>
          </w:p>
        </w:tc>
        <w:tc>
          <w:tcPr>
            <w:tcW w:type="dxa" w:w="1560"/>
          </w:tcPr>
          <w:p>
            <w:r/>
            <w:r>
              <w:rPr>
                <w:b w:val="0"/>
                <w:sz w:val="18"/>
              </w:rPr>
              <w:t>0.975</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0.1051</w:t>
            </w:r>
          </w:p>
        </w:tc>
        <w:tc>
          <w:tcPr>
            <w:tcW w:type="dxa" w:w="1560"/>
          </w:tcPr>
          <w:p>
            <w:r/>
            <w:r>
              <w:rPr>
                <w:b w:val="0"/>
                <w:sz w:val="18"/>
              </w:rPr>
              <w:t>0.0994</w:t>
            </w:r>
          </w:p>
        </w:tc>
        <w:tc>
          <w:tcPr>
            <w:tcW w:type="dxa" w:w="1560"/>
          </w:tcPr>
          <w:p>
            <w:r/>
            <w:r>
              <w:rPr>
                <w:b w:val="0"/>
                <w:sz w:val="18"/>
              </w:rPr>
              <w:t>0.1937</w:t>
            </w:r>
          </w:p>
        </w:tc>
        <w:tc>
          <w:tcPr>
            <w:tcW w:type="dxa" w:w="1560"/>
          </w:tcPr>
          <w:p>
            <w:r/>
            <w:r>
              <w:rPr>
                <w:b w:val="0"/>
                <w:sz w:val="18"/>
              </w:rPr>
              <w:t>0.586</w:t>
            </w:r>
          </w:p>
        </w:tc>
      </w:tr>
      <w:tr>
        <w:tc>
          <w:tcPr>
            <w:tcW w:type="dxa" w:w="9360"/>
            <w:gridSpan w:val="6"/>
          </w:tcPr>
          <w:p>
            <w:r/>
            <w:r>
              <w:rPr>
                <w:b w:val="0"/>
                <w:sz w:val="18"/>
              </w:rPr>
              <w:t>Test MAE (mean over three seeds) and gated macro-AUPRC; renorm/RF columns are the stored same-seed, same-block benchmark values.</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10,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11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10.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11.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12,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12,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12.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13,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13.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14).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14.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15, Figure 11).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~0.8. The misses cluster at decision boundaries, and ensemble spread flags the worst one (Figure 12, panel a; AUROC 0.86; the clear failure carries ten times the shortlist 95th-percentile spread). The threshold sweep over the 811-point pool gives precision 1.00 at all nine FCC–sigma combinations (Figure 12, panel b; Table 15).</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16,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~0.8. Disagreement gates transfer (AUROC 0.856), and break-even near 10⁴ points means the screen pays back roughly 10 to 30 times.</w:t>
      </w:r>
    </w:p>
    <w:p>
      <w:pPr/>
      <w:r>
        <w:t>Table 15.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16.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