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needs three answers: how to predict phase fractions under the simplex constraint, where the predictions can be trusted, and whether screening actually saves cost. We benchmark six neural-network output heads and a presence-gated two-stage head against four classical baselines on 88,542 mass-balance-validated equilibria from nine systems: five Fe-based ternaries, a quaternary Fe–Cr–Ni–C system, a carbide Fe–Cr–C system, and two Fe-free ternaries. Structurally constrained heads close the simplex to machine precision at no accuracy cost. A presence-gated head resolves the regressor–detector gap, lifting macro-AUPRC to 0.91–0.99 on all nine systems while leading the random forest in MAE. Size-matched and region-matched controls with an ideal-form control show interior-band penalties are spatial, not volumetric, while strict extrapolation fails on every axis. Ensemble disagreement provides cheap per-row triage inside the trained region. Two validated lean-nickel screens (501,501 and 330,000 compositions; shortlist precision 1.00 and 0.98) pay back data costs several times over. Failed mechanisms (sparsemax, sum-to-one penalty, residue head) delimit the scope.</w:t>
      </w:r>
    </w:p>
    <w:p w14:paraId="1EAB65CD" w14:textId="77777777" w:rsidR="0049628D" w:rsidRPr="0049628D" w:rsidRDefault="008D550B" w:rsidP="008D550B">
      <w:pPr>
        <w:jc w:val="both"/>
        <w:rPr>
          <w:rFonts w:cstheme="majorBidi"/>
          <w:szCs w:val="24"/>
          <w:lang w:bidi="fa-IR"/>
        </w:rPr>
      </w:pPr>
      <w:r w:rsidRPr="008D550B">
        <w:rPr>
          <w:rFonts w:cstheme="majorBidi"/>
          <w:szCs w:val="24"/>
          <w:lang w:bidi="fa-IR"/>
        </w:rPr>
        <w:t xml:space="preserve">Machine-learning surrogates massively accelerate CALPHAD equilibrium calculations, yet predicting multi-phase fractions introduces a strict physical requirement: outputs must reside on the probability simplex to conserve mass. Despite its necessity, a consensus on enforcing this constraint remains absent. To address this, we systematically benchmark six neural network output architectures against four classical baselines across 44,397 mass-balance-validated equilibria from five Fe-based ternary systems (Fe–Cr–Ni, Fe–Cr–Mn, Fe–Cr–Mo, Fe–Cr–V, Fe–Mn–Ni). We demonstrate that structurally constrained heads natively enforce mass balance to float32 precision without compromising continuous regression accuracy. Furthermore, predictive superiority is topologically dependent: constrained Multilayer </w:t>
      </w:r>
      <w:proofErr w:type="spellStart"/>
      <w:r w:rsidRPr="008D550B">
        <w:rPr>
          <w:rFonts w:cstheme="majorBidi"/>
          <w:szCs w:val="24"/>
          <w:lang w:bidi="fa-IR"/>
        </w:rPr>
        <w:t>Perceptrons</w:t>
      </w:r>
      <w:proofErr w:type="spellEnd"/>
      <w:r w:rsidRPr="008D550B">
        <w:rPr>
          <w:rFonts w:cstheme="majorBidi"/>
          <w:szCs w:val="24"/>
          <w:lang w:bidi="fa-IR"/>
        </w:rPr>
        <w:t xml:space="preserve"> (MLPs) excel in systems with smooth phase coexistence, whereas Random Forests dominate systems with sharp, binary boundaries. By utilizing size-matched random controls, we rigorously decouple data-volume penalties from spatial domain shifts across contiguous interior holdouts and strict one-sided extrapolation tasks. While MLPs degrade gracefully during in-hull shifts, true out-of-range extrapolation triggers catastrophic error degradation across all architectures. Additionally, we characterize a critical "regressor-detector gap," revealing that models minimizing aggregate regression error fail to detect rare trace phases, worsening severely under distribution shifts. Finally, detailing failed constraint mechanisms—including </w:t>
      </w:r>
      <w:proofErr w:type="spellStart"/>
      <w:r w:rsidRPr="008D550B">
        <w:rPr>
          <w:rFonts w:cstheme="majorBidi"/>
          <w:szCs w:val="24"/>
          <w:lang w:bidi="fa-IR"/>
        </w:rPr>
        <w:t>sparsemax</w:t>
      </w:r>
      <w:proofErr w:type="spellEnd"/>
      <w:r w:rsidRPr="008D550B">
        <w:rPr>
          <w:rFonts w:cstheme="majorBidi"/>
          <w:szCs w:val="24"/>
          <w:lang w:bidi="fa-IR"/>
        </w:rPr>
        <w:t>, soft loss penalties, and residue closure—establishes robust guidelines for future materials informatics.</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shortlist precision 1.00</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while this work regresses full fraction vectors across temperature with the simplex enforced structurally. Their blind gridding left 21.5% of points non-converged where the balance element vanishes; our probe-driven design space with a mass-balance gate avoids that failure mode by construction, at the price of the sampling-coverage confound discussed in the Limitations.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interconnected challenges, this study systematically investigates how neural network architectures can reliably predict multi-phase equilibria while strictly satisfying physical mass conservation. Based on 88,542 rigorously validated thermodynamic equilibria from nine systems — five Fe-based ternary systems (Fe–Cr–Ni, Fe–Cr–Mn, Fe–Cr–Mo, Fe–Cr–V, Fe–Mn–Ni), a quaternary Fe–Cr–Ni–C system, a carbide Fe–Cr–C system, and two Fe-free ternaries (Cr–Co–Ni, Cr–Ni–Mn) — we evaluate the limits of deep learning surrogates under rigorous distribution shifts and demonstrate two validated high-throughput screens. These benchmark systems cover highly relevant metallurgical phases, including the industrially vital FCC solid-solution structures found in stainless steels and nickel-based superalloys.</w:t>
      </w:r>
    </w:p>
    <w:p w14:paraId="61E6CDE1" w14:textId="77777777" w:rsidR="00603A49" w:rsidRPr="00603A49" w:rsidRDefault="00603A49" w:rsidP="00603A49">
      <w:pPr>
        <w:jc w:val="both"/>
        <w:rPr>
          <w:lang w:bidi="fa-IR"/>
        </w:rPr>
      </w:pPr>
      <w:r>
        <w:t>The specific contributions of this work are sixfold: First, we benchmark six distinct neural network output configurations against four classical baselines to conclusively resolve how structural outputs affect both continuous regression accuracy and physical admissibility. Second, we establish decoupled spatial generalization protocols — a contiguous interior-band holdout and a strict one-sided extrapolation task — utilizing size-matched random controls plus a region-matched reanalysis with an ideal-form control to strictly separate spatial penalties from data volume reductions. Third, we characterize the regressor–detector gap and close most of it with a presence-gated two-stage head. Fourth, we show ensemble disagreement provides cheap per-row error triage inside the trained region. Fifth, we re-run the full protocol on four scope-extension systems (quaternary, carbide, and two Fe-free chemistries) to test generality. Finally, we validate the pipeline end to end with two high-throughput lean-nickel screens and a four-point experimental anchor, and we report informative negative results for three constraint mechanisms to establish clear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(1) CALPHAD data generation: five Fe-based ternary subsystems are extracted from the open MatCalc steel database, probe-driven phase sets fix the target dimensionality, structured sampling draws 11,220 candidate points per system, and a mass-balance gate accepts 44,397 equilibria in total; four scope-extension systems (quaternary Fe–Cr–Ni–C, Fe–Cr–C, and Fe-free Cr–Co–Ni and Cr–Ni–Mn) reuse the same pipeline and add 44,145 equilibria (88,542 in total). (2) A cluster-stratified 64/16/20 split feeds a constrained MLP with six fraction-only heads and a presence-gated two-stage head, plus four classical baselines, all fitted under one fixed protocol and three seeds. (3) Three evaluation protocols — interpolation, contiguous interior-band holdout, and strict one-sided extrapolation, the two spatial ones each with a size-matched random control — plus secondary analyses (ablations, boundary-error analysis, region-matched reanalysis with an ideal-form control, and uncertainty screening, dashed arrows). (4) Deployment: a four-point experimental anchor and two validated high-throughput screens (a 501,501-composition ternary screen and a 330,000-composition quaternary screen), with ensemble disagreement gating the ternary screen.</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rsidRPr="00FC166C">
        <w:rPr>
          <w:lang w:bidi="fa-IR"/>
        </w:rPr>
        <w:t>Thermodynamic Description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12BF41C5" w14:textId="77777777" w:rsidR="0007691C" w:rsidRDefault="0007691C" w:rsidP="0007691C">
      <w:pPr>
        <w:pStyle w:val="Heading3"/>
        <w:rPr>
          <w:lang w:bidi="fa-IR"/>
        </w:rPr>
      </w:pPr>
      <w:r w:rsidRPr="0007691C">
        <w:rPr>
          <w:lang w:bidi="fa-IR"/>
        </w:rPr>
        <w:t>Probe-driven Phase Sets</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Dirichlet draws to identify which phases were actively present.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rsidRPr="0007691C">
        <w:rPr>
          <w:lang w:bidi="fa-IR"/>
        </w:rPr>
        <w:t>Sampling and Acceptance</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uniformly across the 700 to 2000 K domain. To prevent the systematic undersampling of </w:t>
      </w:r>
      <w:r w:rsidRPr="0007691C">
        <w:rPr>
          <w:lang w:bidi="fa-IR"/>
        </w:rPr>
        <w:lastRenderedPageBreak/>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defined sub-simplex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pStyle w:val="Heading3"/>
      </w:pPr>
      <w:r>
        <w:t>Scope-Extension Datasets</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(13,199 rows; 9 active among 32, with SIGMA in only 0.4% of rows) tests carbide-dominated diagrams.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rsidRPr="0007691C">
        <w:rPr>
          <w:lang w:bidi="fa-IR"/>
        </w:rPr>
        <w:t>Neural-Network Architectures and Simplex Constraints</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pStyle w:val="Heading3"/>
      </w:pPr>
      <w:r>
        <w:t>Presence-Gated Two-Stage Head</w:t>
      </w:r>
    </w:p>
    <w:p>
      <w:pPr/>
      <w:r>
        <w:t>To close the regressor–detector gap we evaluate a presence-gated two-stage head under the same fixed protocol. A shared 3×192 trunk feeds two per-phase heads: a fraction head (per-phase sigmoid outputs with inverse-prevalence phase-weighted Huber loss) and a presence head (per-phase logits with class-weighted binary cross-entropy at the 10⁻³ presence threshold).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rsidRPr="0007691C">
        <w:rPr>
          <w:lang w:bidi="fa-IR"/>
        </w:rPr>
        <w:t>Baseline Models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14:paraId="335E6EC5" w14:textId="77777777" w:rsidR="0007691C" w:rsidRDefault="002B1BD5" w:rsidP="002B1BD5">
      <w:pPr>
        <w:pStyle w:val="Heading3"/>
        <w:rPr>
          <w:lang w:bidi="fa-IR"/>
        </w:rPr>
      </w:pPr>
      <w:r w:rsidRPr="002B1BD5">
        <w:rPr>
          <w:lang w:bidi="fa-IR"/>
        </w:rPr>
        <w:t>Splitting Protocols and Evaluation Metrics</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lastRenderedPageBreak/>
        <w:t xml:space="preserve">(20%) sets across the three-dimensional feature space. To account for stochastic training variance, all experiments were averaged over three distinct random initialization seeds.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14:paraId="60B916AD" w14:textId="77777777" w:rsidR="002B1BD5" w:rsidRDefault="002B1BD5" w:rsidP="002B1BD5">
      <w:pPr>
        <w:pStyle w:val="Heading2"/>
        <w:rPr>
          <w:lang w:bidi="fa-IR"/>
        </w:rPr>
      </w:pPr>
      <w:r w:rsidRPr="002B1BD5">
        <w:rPr>
          <w:lang w:bidi="fa-IR"/>
        </w:rPr>
        <w:t>Spatial Generalization Evaluation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we also report a region-matched reanalysis: for each band, the band-holdout error is compared against the main-study models on the identical band rows inside the interpolation test set. Its residual confound is a roughly 15% training-size difference, which an ideal-form control removes by retraining at equal size (band rows kept in training,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rsidRPr="00F63CDE">
        <w:rPr>
          <w:lang w:bidi="fa-IR"/>
        </w:rPr>
        <w:t>Predictive Accuracy on the Interpolation Split</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3D8FA34C" w14:textId="77777777" w:rsidR="00F63CDE" w:rsidRDefault="00F63CDE" w:rsidP="00F63CDE">
      <w:pPr>
        <w:pStyle w:val="Heading2"/>
        <w:rPr>
          <w:lang w:bidi="fa-IR"/>
        </w:rPr>
      </w:pPr>
      <w:r w:rsidRPr="00F63CDE">
        <w:rPr>
          <w:lang w:bidi="fa-IR"/>
        </w:rPr>
        <w:t>Mass-Balance Simplex Closure</w:t>
      </w: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14:paraId="4A8FDE32" w14:textId="77777777" w:rsidR="00F63CDE" w:rsidRDefault="00F63CDE" w:rsidP="00F63CDE">
      <w:pPr>
        <w:pStyle w:val="Heading2"/>
        <w:rPr>
          <w:lang w:bidi="fa-IR"/>
        </w:rPr>
      </w:pPr>
      <w:r w:rsidRPr="00F63CDE">
        <w:rPr>
          <w:lang w:bidi="fa-IR"/>
        </w:rPr>
        <w:t>The Regressor–Detector Gap</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pStyle w:val="Heading2"/>
      </w:pPr>
      <w:r>
        <w:t>Closing the Detector Gap with a Presence-Gated Head</w:t>
      </w:r>
    </w:p>
    <w:p>
      <w:pPr/>
      <w:r>
        <w:t>Separating the presence decision from the fraction estimate closes most of the gap at no regression cost on the ternaries (Table 8, Figure 5). Across the five ternaries the bare renorm MLP macro-AUPRC spans 0.36–0.99 and the gated head 0.91–0.99; the gated head beats the best classical detector on four of the five systems (Fe–Cr–V is a 0.988 against 0.990 near-tie) while reducing test MAE on all five, by 6% (Fe–Cr–Ni) to 72% (Fe–Mn–Ni, 0.0140 to 0.0039). Per-phase scores show where the remedy matters: on Fe–Cr–Mn ALPHA_MN rises from 0.004 to 0.933 and BETA_MN from 0.005 to 0.896; on Fe–Mn–Ni MNNI rises from 0.003 to 1.00. One rare phase resists — the 0.1%-occurrence MU_PHASE_I in Fe–Cr–Mo stays below 0.5. The weighted-only ablation is insufficient (0.51–0.99, and it degrades MAE by 28% on Fe–Cr–V): presence supervision, not loss reweighting, is the operative ingredient.</w:t>
      </w:r>
    </w:p>
    <w:p>
      <w:pPr/>
      <w:r>
        <w:t>The remedy transfers without retuning. On quaternary Fe–Cr–Ni–C the gated head raises macro-AUPRC from 0.805 to 0.965 (CEMENTITE 0.09 to 0.873, GRAPHITE 0.58 to 0.926) at a 12% MAE cost; on Fe–Cr–C from 0.559 to 0.922 at a 47% cost. On the Fe-free systems detection comes nearly for free: Cr–Co–Ni rises from 0.799 to 0.979 (HCP_A3, invisible to the joint head at 0.02, reaches 0.91) while MAE improves from 0.0055 to 0.0045, and Cr–Ni–Mn from 0.877 to 0.971 with MAE improving from 0.0040 to 0.0036.</w:t>
      </w:r>
    </w:p>
    <w:p>
      <w:pPr/>
      <w:r>
        <w:t>Under shift the remedy mostly holds except where detection itself collapses. On contiguous bands the gated head matches or beats the fraction-only MLP while crushing the forest, with macro-AUPRC at 0.96–1.00. Under composition extrapolation it wins on Fe–Cr–Ni (0.147 against 0.172) but loses on Fe–Cr–V, where the presence head misfires out of distribution; under temperature extrapolation all families fail together and gated AUPRC collapses to 0.59–0.63. Two caveats bound this result: the remedy was designed after seeing the bare regressor fail on these test sets, so its numbers are post-hoc; and the shift evaluation covers two systems only.</w:t>
      </w:r>
    </w:p>
    <w:p>
      <w:pPr/>
      <w:r>
        <w:t>Table 8.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p>
      <w:pPr/>
      <w:r>
        <w:t>A deployment needs to know when not to trust the surrogate. From artefacts the protocol already produces we evaluate two per-row scores on the five ternary systems: ensemble disagreement (U1), the per-row standard deviation across the three seed models averaged over phases; and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and by similar factors on Fe–Cr–Mn and Fe–Cr–Mo — but the curve is flat or reversed on Fe–Cr–V and Fe–Mn–Ni, so the gate must be validated once per system before use. Ensemble averaging itself is only a small refinement (mean gain 0.35% on fully paired rows).</w:t>
      </w:r>
    </w:p>
    <w:p>
      <w:pPr/>
      <w:r>
        <w:t>Input-space distance has no power (mean AUROC 0.408, below random): under interpolation every test row is close to training rows, while the hardest rows sit near phase boundaries. Nor can disagreement replace the spatial protocols: models trained on the same data can agree confidently and wrongly where training carries no information. The division of labour is simple: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rsidRPr="001936E2">
        <w:rPr>
          <w:lang w:bidi="fa-IR"/>
        </w:rPr>
        <w:t>Spatial Generalization and Extrapolation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9,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10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9.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10.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pStyle w:val="Heading2"/>
      </w:pPr>
      <w:r>
        <w:t>Region-Matched Reanalysis and the Ideal-Form Control</w:t>
      </w:r>
    </w:p>
    <w:p>
      <w:pPr/>
      <w:r>
        <w:t>Because random controls remove different rows than the band, penalty ratios conflate region difficulty with distribution shift. The region-matched reanalysis compares band-holdout error against the main-study models on the identical band rows (Table 11, panel A). Under this measure the constrained MLP penalty is smaller than the tree ensembles’ in nine of the ten band–system combinations: on composition bands 1.2–2.1 versus 1.4–3.0 for the forest; on temperature bands 0.9–2.8 versus 1.3–3.9, with Fe–Cr–Ni the single exception (2.8 against 2.1, though absolute holdout error stays twice the MLP’s, 0.0132 against 0.0258). One instability sits behind the headline: on Fe–Mn–Ni the MLP temperature ratios spread 0.9/20.3/0.6 across seeds from a near-zero denominator, downweighted in the ratio-of-means headline (1.1).</w:t>
      </w:r>
    </w:p>
    <w:p>
      <w:pPr/>
      <w:r>
        <w:t>The ideal-form control (Table 11, panel B) then confirms the penalty is spatial, not volumetric: at equal training size and on identical test rows, the training-size effect stays within 0.97–1.12 (mean 1.03) while removing the band still costs 0.93–3.84 (mean 2.01). The MLP degrades least in nine of ten combinations. Trust tracks where the data are, not how many there are.</w:t>
      </w:r>
    </w:p>
    <w:p>
      <w:pPr/>
      <w:r>
        <w:t>Table 11.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rsidRPr="002D0919">
        <w:rPr>
          <w:lang w:bidi="fa-IR"/>
        </w:rPr>
        <w:t>Model Ablations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12,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12.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5AA924C7" w14:textId="77777777" w:rsidR="002D0919" w:rsidRDefault="002D0919" w:rsidP="002D0919">
      <w:pPr>
        <w:pStyle w:val="Heading2"/>
        <w:rPr>
          <w:lang w:bidi="fa-IR"/>
        </w:rPr>
      </w:pPr>
      <w:r w:rsidRPr="002D0919">
        <w:rPr>
          <w:lang w:bidi="fa-IR"/>
        </w:rPr>
        <w:t>Evaluation of Failed Constraint Mechanisms (Negative Results)</w:t>
      </w: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rsidRPr="002D0919">
        <w:rPr>
          <w:lang w:bidi="fa-IR"/>
        </w:rPr>
        <w:t>Phase Field Visualization and Error Concentration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Extension to Quaternary, Carbide, and Fe-Free Systems</w:t>
      </w:r>
    </w:p>
    <w:p>
      <w:pPr/>
      <w:r>
        <w:t>The full protocol re-run on the four extension systems shows the smooth-coexistence ranking survives four inputs (Table 13). On quaternary Fe–Cr–Ni–C the renorm head reaches 0.0037 MAE against 0.0075 for the forest — a twofold margin, larger than on any ternary — and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get rarer, and the gated head transfers with no retuning: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composition-band holdout costs about 2–3.5 times the control and strict extrapolation fails on every tested axis, worst in temperature (22–24 times on the transfer systems) — except Cr–Co–Ni bands, which test easier than the control (0.8 times, both bands FCC-dominated).</w:t>
      </w:r>
    </w:p>
    <w:p>
      <w:pPr/>
      <w:r>
        <w:t>Table 13.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w:t>
      </w:r>
    </w:p>
    <w:p>
      <w:pPr/>
      <w:r>
        <w:t>Four published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 the same order as the database’s own mean deviation from experiment (19 K, median 8 K, driven by a single +59 K outlier). The surrogate term is larger on three of the four alloys, and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pStyle w:val="Heading2"/>
      </w:pPr>
      <w:r>
        <w:t>High-Throughput Screening</w:t>
      </w:r>
    </w:p>
    <w:p>
      <w:pPr/>
      <w:r>
        <w:t>We screen Fe–Cr–Ni at T = 1000 K — below liquid appearance, at a service-relevant temperature — for a lean-nickel austenitic window: fully austenitic (FCC ≥ 0.99), sigma-free and melt-free (each ≤ 10⁻³), with nickel capped at 12 mol% (Table 14, Figure 11). The screen evaluates 501,501 compositions on a 10⁻³ simplex grid in 0.4 s, shortlisting 10,936 hits (2.18%). Every shortlisted alloy checked validates: all 11 Pareto-frontier points (minimal Ni per Cr bin, falling from 7.5% Ni at 1.5% Cr to 4.8% near 12–13% Cr) confirm under the full 28-phase set, as do all 400 points of a random hit subset — and a follow-up run validated the remaining 10,525 with zero misses: 10,936 of 10,936. Treating the in-scope background miss rate (4 of 76) as representative, recall is about 0.8; the misses cluster at decision boundaries, and ensemble spread flags the worst one (Figure 12, panel a; AUROC 0.86; the clear failure carries ten times the shortlist 95th-percentile spread). The threshold sweep over the 811-point pool gives precision 1.00 at all nine FCC–sigma combinations (Figure 12, panel b; Table 14).</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several times over: against a measured 0.41 s per full-set solve and 268 s training, break-even is near 10⁴ points — the 501,501-point screen pays back roughly 7 to 50 times in a single query. Half the training data buys most of the accuracy (0.0121 at 50% against 0.0091 full), and commercial-grade projections (AISI 304 correctly refused on its 3.7% CALPHAD sigma; ferritic 430 refused in agreement) show no grade-name bias.</w:t>
      </w:r>
    </w:p>
    <w:p>
      <w:pPr/>
      <w:r>
        <w:t>With carbon in the query the screen still works — and its failures mark the model’s edge (Table 15, Figure 13). On quaternary Fe–Cr–Ni–C, 330,000 compositions screen in 0.5 s with 14,475 hits (4.39%); the frontier reaches 2.9% Ni at near-zero Cr, carbon substituting for both Ni and Cr. Of 20 frontier points 15 confirm; the 5 rejections form one contiguous Cr pocket where the screen over-smooths a two-phase region at its decision edge. Combined shortlist precision is 0.98 (14,143/14,475), recall about 0.8, disagreement gates transfer (AUROC 0.856), and break-even near 10⁴ points means the screen pays back roughly 10 to 30 times.</w:t>
      </w:r>
    </w:p>
    <w:p>
      <w:pPr/>
      <w:r>
        <w:t>Table 14.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(one-time per-point saving)</w:t>
            </w:r>
          </w:p>
        </w:tc>
        <w:tc>
          <w:tcPr>
            <w:tcW w:type="dxa" w:w="4680"/>
          </w:tcPr>
          <w:p>
            <w:r/>
            <w:r>
              <w:rPr>
                <w:b w:val="0"/>
                <w:sz w:val="18"/>
              </w:rPr>
              <w:t>10⁴ (optimistic) – 7×10⁴ (conservative; see text)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15.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(one-time per-point saving)</w:t>
            </w:r>
          </w:p>
        </w:tc>
        <w:tc>
          <w:tcPr>
            <w:tcW w:type="dxa" w:w="4680"/>
          </w:tcPr>
          <w:p>
            <w:r/>
            <w:r>
              <w:rPr>
                <w:b w:val="0"/>
                <w:sz w:val="18"/>
              </w:rPr>
              <w:t>10⁴ (optimistic) – 3×10⁴ (conservative; see text)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rsidRPr="005B451E">
        <w:rPr>
          <w:lang w:bidi="fa-IR"/>
        </w:rPr>
        <w:t xml:space="preserve">Topological Dependencies and Spatial Concentration of Error </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3E1232DD" w14:textId="77777777" w:rsidR="0022478B" w:rsidRDefault="0022478B" w:rsidP="0022478B">
      <w:pPr>
        <w:pStyle w:val="Heading2"/>
        <w:rPr>
          <w:lang w:bidi="fa-IR"/>
        </w:rPr>
      </w:pPr>
      <w:r w:rsidRPr="0022478B">
        <w:rPr>
          <w:lang w:bidi="fa-IR"/>
        </w:rPr>
        <w:t xml:space="preserve">The Reality of Spatial Generalization in Alloy Design </w:t>
      </w: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 trust tracks where the data are, not how many there are. For screening loops this means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validated screens quantify the filter economics: break-even near 10⁴ points against payback of 7–50 times (ternary) and 10–30 times (quaternary) in a single query, with shortlist precision 1.00 and 0.98 and recall about 0.8 on both. The honest boundary stands: one temperature each on two systems, and trusting the screen still requires spot CALPHAD — the screens above spent about 11,000 full-set solves on validation. Screening is cheap; certification is not free.</w:t>
      </w:r>
    </w:p>
    <w:p w14:paraId="365C1661" w14:textId="77777777" w:rsidR="00317DEF" w:rsidRPr="00317DEF" w:rsidRDefault="00317DEF" w:rsidP="0022478B">
      <w:pPr>
        <w:jc w:val="both"/>
        <w:rPr>
          <w:lang w:bidi="fa-IR"/>
        </w:rPr>
      </w:pPr>
    </w:p>
    <w:p w14:paraId="05D345D8" w14:textId="77777777" w:rsidR="007E0EA0" w:rsidRDefault="007E0EA0" w:rsidP="007E0EA0">
      <w:pPr>
        <w:pStyle w:val="Heading2"/>
        <w:rPr>
          <w:lang w:bidi="fa-IR"/>
        </w:rPr>
      </w:pPr>
      <w:r w:rsidRPr="007E0EA0">
        <w:rPr>
          <w:lang w:bidi="fa-IR"/>
        </w:rPr>
        <w:t xml:space="preserve">The Metallurgy of the Regressor–Detector Gap </w:t>
      </w: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behaviour from database variation but holds database error fixed. And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The gated two-stage head lifts macro-AUPRC to 0.91–0.99 on all nine systems (best classical detector beaten on eight) while leading the forest in MAE — presence supervision, not architecture, resolves the sharp-boundary cases.</w:t>
      </w:r>
    </w:p>
    <w:p>
      <w:pPr/>
      <w:r>
        <w:t>Spatial, Not Volumetric: The ideal-form control holds training size fixed and still doubles the error on band removal (mean 2.01) against a 3% size effect — trust tracks coverage, and strict extrapolation remains unsupported on every axis tested.</w:t>
      </w:r>
    </w:p>
    <w:p>
      <w:pPr/>
      <w:r>
        <w:t>Generality Across Dimension and Chemistry: Rankings, gap, remedy, and protocols transfer to a quaternary, a carbide ternary, and two Fe-free ternaries (88,542 equilibria total), with the sparse head competitive only on dilute nine-phase targets.</w:t>
      </w:r>
    </w:p>
    <w:p>
      <w:pPr/>
      <w:r>
        <w:t>Screening Pays: Two validated lean-nickel screens (501,501 and 330,000 compositions; precision 1.00 and 0.98) pay back data costs several times over, with ensemble disagreement as a shortlist triage gate and a four-point experimental anchor bounding database disagreement.</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