
<file path=[Content_Types].xml><?xml version="1.0" encoding="utf-8"?>
<Types xmlns="http://schemas.openxmlformats.org/package/2006/content-types">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C8482C">
      <w:pPr>
        <w:pStyle w:val="2"/>
        <w:bidi w:val="0"/>
        <w:jc w:val="center"/>
        <w:rPr>
          <w:rFonts w:hint="default" w:ascii="Times New Roman" w:hAnsi="Times New Roman" w:cs="Times New Roman"/>
          <w:lang w:val="ro-RO"/>
        </w:rPr>
      </w:pPr>
      <w:r>
        <w:rPr>
          <w:rFonts w:hint="default" w:ascii="Times New Roman" w:hAnsi="Times New Roman" w:cs="Times New Roman"/>
          <w:lang w:val="en-US"/>
        </w:rPr>
        <w:t>FACTORII DETERMINAN</w:t>
      </w:r>
      <w:r>
        <w:rPr>
          <w:rFonts w:hint="default" w:ascii="Times New Roman" w:hAnsi="Times New Roman" w:cs="Times New Roman"/>
          <w:lang w:val="ro-RO"/>
        </w:rPr>
        <w:t>ȚI AI PROFITABILITĂȚII BANCARE A AUSTRALIEI</w:t>
      </w:r>
    </w:p>
    <w:p w14:paraId="48621670">
      <w:pPr>
        <w:rPr>
          <w:rFonts w:hint="default"/>
          <w:lang w:val="ro-RO"/>
        </w:rPr>
      </w:pPr>
    </w:p>
    <w:p w14:paraId="7AB2D770">
      <w:pPr>
        <w:rPr>
          <w:rFonts w:hint="default"/>
          <w:lang w:val="ro-RO"/>
        </w:rPr>
      </w:pPr>
    </w:p>
    <w:p w14:paraId="6EF705C7">
      <w:pPr>
        <w:rPr>
          <w:rFonts w:hint="default"/>
          <w:lang w:val="ro-RO"/>
        </w:rPr>
      </w:pPr>
    </w:p>
    <w:p w14:paraId="2611547A">
      <w:pPr>
        <w:rPr>
          <w:rFonts w:hint="default"/>
          <w:lang w:val="ro-RO"/>
        </w:rPr>
      </w:pPr>
    </w:p>
    <w:p w14:paraId="6A1D1D93">
      <w:pPr>
        <w:rPr>
          <w:rFonts w:hint="default"/>
          <w:lang w:val="ro-RO"/>
        </w:rPr>
      </w:pPr>
    </w:p>
    <w:p w14:paraId="625F32B8">
      <w:pPr>
        <w:rPr>
          <w:rFonts w:hint="default"/>
          <w:lang w:val="ro-RO"/>
        </w:rPr>
      </w:pPr>
    </w:p>
    <w:p w14:paraId="20C12E34">
      <w:pPr>
        <w:rPr>
          <w:rFonts w:hint="default"/>
          <w:lang w:val="ro-RO"/>
        </w:rPr>
      </w:pPr>
    </w:p>
    <w:p w14:paraId="00B8422D">
      <w:pPr>
        <w:jc w:val="both"/>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BĂTRÎNU Ioana-Bianca</w:t>
      </w:r>
    </w:p>
    <w:p w14:paraId="44E285BD">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Facultatea de Finanțe, Asigurări, Bănci și Burse de Valori, anul II</w:t>
      </w:r>
    </w:p>
    <w:p w14:paraId="3EB1A19B">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batrinuioana23@stud.ase.ro</w:t>
      </w:r>
    </w:p>
    <w:p w14:paraId="5895EC1A">
      <w:pPr>
        <w:jc w:val="both"/>
        <w:rPr>
          <w:rFonts w:hint="default"/>
          <w:sz w:val="24"/>
          <w:szCs w:val="24"/>
          <w:lang w:val="ro-RO"/>
        </w:rPr>
      </w:pPr>
      <w:r>
        <w:rPr>
          <w:rFonts w:hint="default"/>
          <w:sz w:val="24"/>
          <w:szCs w:val="24"/>
          <w:lang w:val="ro-RO"/>
        </w:rPr>
        <w:t xml:space="preserve">  </w:t>
      </w:r>
    </w:p>
    <w:p w14:paraId="6BF3EC9D">
      <w:pPr>
        <w:jc w:val="both"/>
        <w:rPr>
          <w:rFonts w:hint="default"/>
          <w:sz w:val="24"/>
          <w:szCs w:val="24"/>
          <w:lang w:val="ro-RO"/>
        </w:rPr>
      </w:pPr>
    </w:p>
    <w:p w14:paraId="7B1704F1">
      <w:pPr>
        <w:jc w:val="both"/>
        <w:rPr>
          <w:rFonts w:hint="default"/>
          <w:sz w:val="24"/>
          <w:szCs w:val="24"/>
          <w:lang w:val="ro-RO"/>
        </w:rPr>
      </w:pPr>
    </w:p>
    <w:p w14:paraId="33D22828">
      <w:pPr>
        <w:jc w:val="both"/>
        <w:rPr>
          <w:rFonts w:hint="default"/>
          <w:sz w:val="24"/>
          <w:szCs w:val="24"/>
          <w:lang w:val="ro-RO"/>
        </w:rPr>
      </w:pPr>
    </w:p>
    <w:p w14:paraId="79C9A212">
      <w:pPr>
        <w:jc w:val="both"/>
        <w:rPr>
          <w:rFonts w:hint="default"/>
          <w:sz w:val="24"/>
          <w:szCs w:val="24"/>
          <w:lang w:val="ro-RO"/>
        </w:rPr>
      </w:pPr>
    </w:p>
    <w:p w14:paraId="4B61AED8">
      <w:pPr>
        <w:jc w:val="both"/>
        <w:rPr>
          <w:rFonts w:hint="default"/>
          <w:sz w:val="24"/>
          <w:szCs w:val="24"/>
          <w:lang w:val="ro-RO"/>
        </w:rPr>
      </w:pPr>
    </w:p>
    <w:p w14:paraId="1A0A455D">
      <w:pPr>
        <w:jc w:val="both"/>
        <w:rPr>
          <w:rFonts w:hint="default"/>
          <w:sz w:val="24"/>
          <w:szCs w:val="24"/>
          <w:lang w:val="ro-RO"/>
        </w:rPr>
      </w:pPr>
    </w:p>
    <w:p w14:paraId="005301F6">
      <w:pPr>
        <w:jc w:val="both"/>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Coordonatorul lucrării</w:t>
      </w:r>
    </w:p>
    <w:p w14:paraId="2F8388A9">
      <w:pPr>
        <w:jc w:val="both"/>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Asist.univ.dr.CEPOI Cosmin Octavian</w:t>
      </w:r>
    </w:p>
    <w:p w14:paraId="207767D6">
      <w:pPr>
        <w:jc w:val="both"/>
        <w:rPr>
          <w:rFonts w:hint="default" w:ascii="Times New Roman" w:hAnsi="Times New Roman" w:cs="Times New Roman"/>
          <w:sz w:val="24"/>
          <w:szCs w:val="24"/>
          <w:lang w:val="ro-RO"/>
        </w:rPr>
      </w:pPr>
    </w:p>
    <w:p w14:paraId="50DB2302">
      <w:pPr>
        <w:jc w:val="both"/>
        <w:rPr>
          <w:rFonts w:hint="default" w:ascii="Times New Roman" w:hAnsi="Times New Roman" w:cs="Times New Roman"/>
          <w:sz w:val="24"/>
          <w:szCs w:val="24"/>
          <w:lang w:val="ro-RO"/>
        </w:rPr>
      </w:pPr>
    </w:p>
    <w:p w14:paraId="6C98819D">
      <w:pPr>
        <w:jc w:val="both"/>
        <w:rPr>
          <w:rFonts w:hint="default" w:ascii="Times New Roman" w:hAnsi="Times New Roman" w:cs="Times New Roman"/>
          <w:sz w:val="24"/>
          <w:szCs w:val="24"/>
          <w:lang w:val="ro-RO"/>
        </w:rPr>
      </w:pPr>
    </w:p>
    <w:p w14:paraId="02287AE3">
      <w:pPr>
        <w:jc w:val="both"/>
        <w:rPr>
          <w:rFonts w:hint="default" w:ascii="Times New Roman" w:hAnsi="Times New Roman" w:cs="Times New Roman"/>
          <w:sz w:val="24"/>
          <w:szCs w:val="24"/>
          <w:lang w:val="ro-RO"/>
        </w:rPr>
      </w:pPr>
    </w:p>
    <w:p w14:paraId="5543FBA7">
      <w:pPr>
        <w:jc w:val="both"/>
        <w:rPr>
          <w:rFonts w:hint="default" w:ascii="Times New Roman" w:hAnsi="Times New Roman" w:cs="Times New Roman"/>
          <w:sz w:val="24"/>
          <w:szCs w:val="24"/>
          <w:lang w:val="ro-RO"/>
        </w:rPr>
      </w:pPr>
    </w:p>
    <w:p w14:paraId="254FAA41">
      <w:pPr>
        <w:jc w:val="both"/>
        <w:rPr>
          <w:rFonts w:hint="default" w:ascii="Times New Roman" w:hAnsi="Times New Roman" w:cs="Times New Roman"/>
          <w:sz w:val="24"/>
          <w:szCs w:val="24"/>
          <w:lang w:val="ro-RO"/>
        </w:rPr>
      </w:pPr>
    </w:p>
    <w:p w14:paraId="219E3EA7">
      <w:pPr>
        <w:jc w:val="both"/>
        <w:rPr>
          <w:rFonts w:hint="default" w:ascii="Times New Roman" w:hAnsi="Times New Roman" w:cs="Times New Roman"/>
          <w:sz w:val="24"/>
          <w:szCs w:val="24"/>
          <w:lang w:val="ro-RO"/>
        </w:rPr>
      </w:pPr>
    </w:p>
    <w:p w14:paraId="7471B3B7">
      <w:pPr>
        <w:jc w:val="both"/>
        <w:rPr>
          <w:rFonts w:hint="default" w:ascii="Times New Roman" w:hAnsi="Times New Roman" w:cs="Times New Roman"/>
          <w:sz w:val="24"/>
          <w:szCs w:val="24"/>
          <w:lang w:val="ro-RO"/>
        </w:rPr>
      </w:pPr>
    </w:p>
    <w:p w14:paraId="4BD4BC5D">
      <w:pPr>
        <w:jc w:val="both"/>
        <w:rPr>
          <w:rFonts w:hint="default" w:ascii="Times New Roman" w:hAnsi="Times New Roman" w:cs="Times New Roman"/>
          <w:sz w:val="24"/>
          <w:szCs w:val="24"/>
          <w:lang w:val="ro-RO"/>
        </w:rPr>
      </w:pPr>
    </w:p>
    <w:p w14:paraId="16A5DAE3">
      <w:pPr>
        <w:jc w:val="both"/>
        <w:rPr>
          <w:rFonts w:hint="default" w:ascii="Times New Roman" w:hAnsi="Times New Roman" w:cs="Times New Roman"/>
          <w:sz w:val="24"/>
          <w:szCs w:val="24"/>
          <w:lang w:val="ro-RO"/>
        </w:rPr>
      </w:pPr>
    </w:p>
    <w:p w14:paraId="0FCF22AB">
      <w:pPr>
        <w:jc w:val="both"/>
        <w:rPr>
          <w:rFonts w:hint="default" w:ascii="Times New Roman" w:hAnsi="Times New Roman" w:cs="Times New Roman"/>
          <w:sz w:val="24"/>
          <w:szCs w:val="24"/>
          <w:lang w:val="ro-RO"/>
        </w:rPr>
      </w:pPr>
    </w:p>
    <w:p w14:paraId="232C6365">
      <w:pPr>
        <w:jc w:val="both"/>
        <w:rPr>
          <w:rFonts w:hint="default" w:ascii="Times New Roman" w:hAnsi="Times New Roman" w:cs="Times New Roman"/>
          <w:sz w:val="24"/>
          <w:szCs w:val="24"/>
          <w:lang w:val="ro-RO"/>
        </w:rPr>
      </w:pPr>
    </w:p>
    <w:p w14:paraId="73924A79">
      <w:pPr>
        <w:jc w:val="both"/>
        <w:rPr>
          <w:rFonts w:hint="default" w:ascii="Times New Roman" w:hAnsi="Times New Roman" w:cs="Times New Roman"/>
          <w:sz w:val="24"/>
          <w:szCs w:val="24"/>
          <w:lang w:val="ro-RO"/>
        </w:rPr>
      </w:pPr>
    </w:p>
    <w:p w14:paraId="70C72576">
      <w:pPr>
        <w:jc w:val="both"/>
        <w:rPr>
          <w:rFonts w:hint="default" w:ascii="Times New Roman" w:hAnsi="Times New Roman" w:cs="Times New Roman"/>
          <w:sz w:val="24"/>
          <w:szCs w:val="24"/>
          <w:lang w:val="ro-RO"/>
        </w:rPr>
      </w:pPr>
    </w:p>
    <w:p w14:paraId="3FA39C4A">
      <w:pPr>
        <w:jc w:val="both"/>
        <w:rPr>
          <w:rFonts w:hint="default" w:ascii="Times New Roman" w:hAnsi="Times New Roman" w:cs="Times New Roman"/>
          <w:sz w:val="24"/>
          <w:szCs w:val="24"/>
          <w:lang w:val="ro-RO"/>
        </w:rPr>
      </w:pPr>
    </w:p>
    <w:p w14:paraId="2B4A701B">
      <w:pPr>
        <w:jc w:val="both"/>
        <w:rPr>
          <w:rFonts w:hint="default" w:ascii="Times New Roman" w:hAnsi="Times New Roman" w:cs="Times New Roman"/>
          <w:sz w:val="24"/>
          <w:szCs w:val="24"/>
          <w:lang w:val="ro-RO"/>
        </w:rPr>
      </w:pPr>
    </w:p>
    <w:p w14:paraId="02396055">
      <w:pPr>
        <w:pStyle w:val="3"/>
        <w:numPr>
          <w:ilvl w:val="0"/>
          <w:numId w:val="1"/>
        </w:numPr>
        <w:bidi w:val="0"/>
        <w:rPr>
          <w:rFonts w:hint="default" w:ascii="Times New Roman" w:hAnsi="Times New Roman" w:cs="Times New Roman"/>
          <w:i/>
          <w:iCs/>
          <w:lang w:val="ro-RO"/>
        </w:rPr>
      </w:pPr>
      <w:r>
        <w:rPr>
          <w:rFonts w:hint="default" w:ascii="Times New Roman" w:hAnsi="Times New Roman" w:cs="Times New Roman"/>
          <w:i/>
          <w:iCs/>
          <w:lang w:val="ro-RO"/>
        </w:rPr>
        <w:t>INTRODUCERE</w:t>
      </w:r>
    </w:p>
    <w:p w14:paraId="29AB4226">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ro-RO"/>
        </w:rPr>
        <w:t>Motivatia alegerii acestei țări pentru întocmirea studiului profitabilității bancare este</w:t>
      </w:r>
      <w:r>
        <w:rPr>
          <w:rFonts w:hint="default" w:ascii="Times New Roman" w:hAnsi="Times New Roman" w:cs="Times New Roman"/>
          <w:sz w:val="28"/>
          <w:szCs w:val="28"/>
        </w:rPr>
        <w:t xml:space="preserve"> datorită mai multor factori economici, structurali și geografici</w:t>
      </w:r>
      <w:r>
        <w:rPr>
          <w:rFonts w:hint="default" w:ascii="Times New Roman" w:hAnsi="Times New Roman" w:cs="Times New Roman"/>
          <w:sz w:val="28"/>
          <w:szCs w:val="28"/>
          <w:lang w:val="ro-RO"/>
        </w:rPr>
        <w:t>, precum următorii</w:t>
      </w:r>
      <w:r>
        <w:rPr>
          <w:rFonts w:hint="default" w:ascii="Times New Roman" w:hAnsi="Times New Roman" w:cs="Times New Roman"/>
          <w:sz w:val="28"/>
          <w:szCs w:val="28"/>
          <w:lang w:val="en-US"/>
        </w:rPr>
        <w:t>:</w:t>
      </w:r>
    </w:p>
    <w:p w14:paraId="3B912462">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Piața financiară bine dezvoltată</w:t>
      </w:r>
      <w:r>
        <w:rPr>
          <w:rFonts w:hint="default" w:ascii="Times New Roman" w:hAnsi="Times New Roman" w:cs="Times New Roman"/>
          <w:sz w:val="28"/>
          <w:szCs w:val="28"/>
        </w:rPr>
        <w:br w:type="textWrapping"/>
      </w:r>
      <w:r>
        <w:rPr>
          <w:rFonts w:hint="default" w:ascii="Times New Roman" w:hAnsi="Times New Roman" w:cs="Times New Roman"/>
          <w:sz w:val="28"/>
          <w:szCs w:val="28"/>
        </w:rPr>
        <w:t>Sistemul bancar australian este recunoscut la nivel mondial pentru stabilitatea și eficiența sa. Cele patru bănci principale (cunoscută sub numele de "Big Four": Commonwealth Bank, Westpac, NAB și ANZ) domină piața, oferind un exemplu clar de oligopol. Această structură permite studierea interacțiunii între concurență și profitabilitate într-o piață financiară consolidată.</w:t>
      </w:r>
    </w:p>
    <w:p w14:paraId="28FE242A">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Stabilitate economică și context macroeconomic favorabil</w:t>
      </w:r>
      <w:r>
        <w:rPr>
          <w:rFonts w:hint="default" w:ascii="Times New Roman" w:hAnsi="Times New Roman" w:cs="Times New Roman"/>
          <w:sz w:val="28"/>
          <w:szCs w:val="28"/>
        </w:rPr>
        <w:br w:type="textWrapping"/>
      </w:r>
      <w:r>
        <w:rPr>
          <w:rFonts w:hint="default" w:ascii="Times New Roman" w:hAnsi="Times New Roman" w:cs="Times New Roman"/>
          <w:sz w:val="28"/>
          <w:szCs w:val="28"/>
        </w:rPr>
        <w:t>Australia este una dintre economiile cele mai stabile din lume, cu un sistem financiar bine reglementat și o rată scăzută a creditelor neperformante. Această stabilitate creează un cadru ideal pentru analizarea factorilor care influențează profitabilitatea bancară, cum ar fi politica monetară, inflația și ratele dobânzii.</w:t>
      </w:r>
    </w:p>
    <w:p w14:paraId="329E6BD9">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Pondere mare a economiei bazate pe exporturi și resurse naturale</w:t>
      </w:r>
      <w:r>
        <w:rPr>
          <w:rFonts w:hint="default" w:ascii="Times New Roman" w:hAnsi="Times New Roman" w:cs="Times New Roman"/>
          <w:sz w:val="28"/>
          <w:szCs w:val="28"/>
        </w:rPr>
        <w:br w:type="textWrapping"/>
      </w:r>
      <w:r>
        <w:rPr>
          <w:rFonts w:hint="default" w:ascii="Times New Roman" w:hAnsi="Times New Roman" w:cs="Times New Roman"/>
          <w:sz w:val="28"/>
          <w:szCs w:val="28"/>
        </w:rPr>
        <w:t>Economia australiană este puternic influențată de sectorul minier și exporturi, ceea ce afectează indirect și sectorul bancar. Studierea Australiei poate oferi o perspectivă unică asupra modului în care factorii externi, precum cererea globală de materii prime, influențează finanțele și profitabilitatea băncilor.</w:t>
      </w:r>
    </w:p>
    <w:p w14:paraId="0D78AB01">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Reglementare financiară și inovație tehnologică</w:t>
      </w:r>
      <w:r>
        <w:rPr>
          <w:rFonts w:hint="default" w:ascii="Times New Roman" w:hAnsi="Times New Roman" w:cs="Times New Roman"/>
          <w:sz w:val="28"/>
          <w:szCs w:val="28"/>
        </w:rPr>
        <w:br w:type="textWrapping"/>
      </w:r>
      <w:r>
        <w:rPr>
          <w:rFonts w:hint="default" w:ascii="Times New Roman" w:hAnsi="Times New Roman" w:cs="Times New Roman"/>
          <w:sz w:val="28"/>
          <w:szCs w:val="28"/>
        </w:rPr>
        <w:t>Australia a implementat o reglementare financiară solidă după criza financiară globală din 2008, ceea ce a contribuit la consolidarea stabilității financiare. În plus, Australia este un lider în adoptarea de tehnologii financiare (FinTech), ceea ce poate fi un factor interesant de luat în considerare în analiza profitabilității bancare.</w:t>
      </w:r>
    </w:p>
    <w:p w14:paraId="2513D6D7">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Aspecte geografice și demografice specifice</w:t>
      </w:r>
      <w:r>
        <w:rPr>
          <w:rFonts w:hint="default" w:ascii="Times New Roman" w:hAnsi="Times New Roman" w:cs="Times New Roman"/>
          <w:sz w:val="28"/>
          <w:szCs w:val="28"/>
        </w:rPr>
        <w:br w:type="textWrapping"/>
      </w:r>
      <w:r>
        <w:rPr>
          <w:rFonts w:hint="default" w:ascii="Times New Roman" w:hAnsi="Times New Roman" w:cs="Times New Roman"/>
          <w:sz w:val="28"/>
          <w:szCs w:val="28"/>
        </w:rPr>
        <w:t>Fiind o țară vastă, cu o populație relativ mică și concentrată în zone urbane, băncile australiene trebuie să se confrunte cu provocări logistice și operaționale unice. Aceste aspecte pot oferi informații utile despre modul în care infrastructura geografică afectează eficiența și profitabilitatea instituțiilor financiare.</w:t>
      </w:r>
    </w:p>
    <w:p w14:paraId="6097CA60">
      <w:pPr>
        <w:pStyle w:val="10"/>
        <w:keepNext w:val="0"/>
        <w:keepLines w:val="0"/>
        <w:widowControl/>
        <w:suppressLineNumbers w:val="0"/>
        <w:ind w:left="281" w:hanging="281" w:hangingChars="100"/>
        <w:rPr>
          <w:rStyle w:val="11"/>
          <w:rFonts w:hint="default" w:ascii="Times New Roman" w:hAnsi="Times New Roman" w:cs="Times New Roman"/>
          <w:sz w:val="28"/>
          <w:szCs w:val="28"/>
        </w:rPr>
      </w:pPr>
    </w:p>
    <w:p w14:paraId="35FC85A8">
      <w:pPr>
        <w:pStyle w:val="10"/>
        <w:keepNext w:val="0"/>
        <w:keepLines w:val="0"/>
        <w:widowControl/>
        <w:suppressLineNumbers w:val="0"/>
        <w:ind w:left="281" w:hanging="281" w:hangingChars="100"/>
        <w:rPr>
          <w:rStyle w:val="11"/>
          <w:rFonts w:hint="default" w:ascii="Times New Roman" w:hAnsi="Times New Roman" w:cs="Times New Roman"/>
          <w:sz w:val="28"/>
          <w:szCs w:val="28"/>
        </w:rPr>
      </w:pPr>
      <w:r>
        <w:rPr>
          <w:rStyle w:val="11"/>
          <w:rFonts w:hint="default" w:ascii="Times New Roman" w:hAnsi="Times New Roman" w:cs="Times New Roman"/>
          <w:sz w:val="28"/>
          <w:szCs w:val="28"/>
        </w:rPr>
        <w:t>Relevanța globală</w:t>
      </w:r>
    </w:p>
    <w:p w14:paraId="3310367D">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Deși este un jucător regional în zona Asia-Pacific, Australia are o influență semnificativă pe piețele financiare globale. Studiul acestui sistem poate oferi lecții valoroase care pot fi aplicate și altor economii dezvoltate sau emergente.</w:t>
      </w:r>
    </w:p>
    <w:p w14:paraId="27520B8D">
      <w:pPr>
        <w:pStyle w:val="10"/>
        <w:keepNext w:val="0"/>
        <w:keepLines w:val="0"/>
        <w:widowControl/>
        <w:suppressLineNumbers w:val="0"/>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Prin urmare, alegerea Australiei ca studiu de caz permite o analiză aprofundată și complexă a factorilor care influențează profitabilitatea bancară, într-un context ce combină stabilitatea economică, inovația și provocările unice.</w:t>
      </w:r>
    </w:p>
    <w:p w14:paraId="7DB7FB27">
      <w:pPr>
        <w:keepNext w:val="0"/>
        <w:keepLines w:val="0"/>
        <w:widowControl/>
        <w:suppressLineNumbers w:val="0"/>
        <w:rPr>
          <w:rFonts w:hint="default" w:ascii="Times New Roman" w:hAnsi="Times New Roman" w:cs="Times New Roman"/>
          <w:sz w:val="28"/>
          <w:szCs w:val="28"/>
        </w:rPr>
      </w:pPr>
    </w:p>
    <w:p w14:paraId="4A530A35">
      <w:pPr>
        <w:pStyle w:val="10"/>
        <w:keepNext w:val="0"/>
        <w:keepLines w:val="0"/>
        <w:widowControl/>
        <w:numPr>
          <w:ilvl w:val="0"/>
          <w:numId w:val="1"/>
        </w:numPr>
        <w:suppressLineNumbers w:val="0"/>
        <w:ind w:left="0" w:leftChars="0" w:firstLine="0" w:firstLineChars="0"/>
        <w:jc w:val="both"/>
        <w:rPr>
          <w:rStyle w:val="6"/>
          <w:rFonts w:hint="default" w:ascii="Times New Roman" w:hAnsi="Times New Roman" w:cs="Times New Roman"/>
          <w:b/>
          <w:bCs/>
          <w:i/>
          <w:iCs/>
          <w:sz w:val="32"/>
          <w:szCs w:val="32"/>
          <w:lang w:val="en-US"/>
        </w:rPr>
      </w:pPr>
      <w:r>
        <w:rPr>
          <w:rStyle w:val="6"/>
          <w:rFonts w:hint="default" w:ascii="Times New Roman" w:hAnsi="Times New Roman" w:cs="Times New Roman"/>
          <w:b/>
          <w:bCs/>
          <w:i/>
          <w:iCs/>
          <w:sz w:val="32"/>
          <w:szCs w:val="32"/>
          <w:lang w:val="en-US"/>
        </w:rPr>
        <w:t xml:space="preserve">   Sinteza a 10 articole reprezentative referitoare la factorii de influen</w:t>
      </w:r>
      <w:r>
        <w:rPr>
          <w:rStyle w:val="6"/>
          <w:rFonts w:hint="default" w:ascii="Times New Roman" w:hAnsi="Times New Roman" w:cs="Times New Roman"/>
          <w:b/>
          <w:bCs/>
          <w:i/>
          <w:iCs/>
          <w:sz w:val="32"/>
          <w:szCs w:val="32"/>
          <w:lang w:val="ro-RO"/>
        </w:rPr>
        <w:t>ță</w:t>
      </w:r>
      <w:r>
        <w:rPr>
          <w:rStyle w:val="6"/>
          <w:rFonts w:hint="default" w:ascii="Times New Roman" w:hAnsi="Times New Roman" w:cs="Times New Roman"/>
          <w:b/>
          <w:bCs/>
          <w:i/>
          <w:iCs/>
          <w:sz w:val="32"/>
          <w:szCs w:val="32"/>
          <w:lang w:val="en-US"/>
        </w:rPr>
        <w:t xml:space="preserve"> ai profitabilit</w:t>
      </w:r>
      <w:r>
        <w:rPr>
          <w:rStyle w:val="6"/>
          <w:rFonts w:hint="default" w:ascii="Times New Roman" w:hAnsi="Times New Roman" w:cs="Times New Roman"/>
          <w:b/>
          <w:bCs/>
          <w:i/>
          <w:iCs/>
          <w:sz w:val="32"/>
          <w:szCs w:val="32"/>
          <w:lang w:val="ro-RO"/>
        </w:rPr>
        <w:t>ăț</w:t>
      </w:r>
      <w:r>
        <w:rPr>
          <w:rStyle w:val="6"/>
          <w:rFonts w:hint="default" w:ascii="Times New Roman" w:hAnsi="Times New Roman" w:cs="Times New Roman"/>
          <w:b/>
          <w:bCs/>
          <w:i/>
          <w:iCs/>
          <w:sz w:val="32"/>
          <w:szCs w:val="32"/>
          <w:lang w:val="en-US"/>
        </w:rPr>
        <w:t>ii bancare</w:t>
      </w:r>
    </w:p>
    <w:p w14:paraId="58397945">
      <w:pPr>
        <w:pStyle w:val="10"/>
        <w:keepNext w:val="0"/>
        <w:keepLines w:val="0"/>
        <w:widowControl/>
        <w:numPr>
          <w:ilvl w:val="0"/>
          <w:numId w:val="0"/>
        </w:numPr>
        <w:suppressLineNumbers w:val="0"/>
        <w:ind w:leftChars="0" w:right="0" w:rightChars="0"/>
        <w:jc w:val="both"/>
        <w:rPr>
          <w:rStyle w:val="6"/>
          <w:rFonts w:hint="default" w:ascii="Times New Roman" w:hAnsi="Times New Roman" w:cs="Times New Roman"/>
          <w:sz w:val="28"/>
          <w:szCs w:val="28"/>
          <w:lang w:val="en-US"/>
        </w:rPr>
      </w:pPr>
    </w:p>
    <w:p w14:paraId="314FBD8D">
      <w:pPr>
        <w:ind w:firstLine="280" w:firstLineChars="100"/>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Profitabilitatea băncilor din Australia este influențată de o varietate de factori interni și externi, care pot fi clasificați în trei categorii principale: factori specifici băncilor, factori specifici sistemului bancar și factori macroeconomici.</w:t>
      </w:r>
    </w:p>
    <w:p w14:paraId="6E9519FF">
      <w:pPr>
        <w:jc w:val="both"/>
        <w:rPr>
          <w:rFonts w:hint="default" w:ascii="Times New Roman" w:hAnsi="Times New Roman" w:cs="Times New Roman"/>
          <w:sz w:val="28"/>
          <w:szCs w:val="28"/>
          <w:lang w:val="ro-RO"/>
        </w:rPr>
      </w:pPr>
    </w:p>
    <w:p w14:paraId="2DA84981">
      <w:pPr>
        <w:numPr>
          <w:ilvl w:val="0"/>
          <w:numId w:val="2"/>
        </w:numPr>
        <w:jc w:val="both"/>
        <w:rPr>
          <w:rFonts w:hint="default" w:ascii="Times New Roman" w:hAnsi="Times New Roman" w:cs="Times New Roman"/>
          <w:b/>
          <w:bCs/>
          <w:sz w:val="28"/>
          <w:szCs w:val="28"/>
          <w:lang w:val="ro-RO"/>
        </w:rPr>
      </w:pPr>
      <w:r>
        <w:rPr>
          <w:rFonts w:hint="default" w:ascii="Times New Roman" w:hAnsi="Times New Roman" w:cs="Times New Roman"/>
          <w:b/>
          <w:bCs/>
          <w:sz w:val="28"/>
          <w:szCs w:val="28"/>
          <w:lang w:val="ro-RO"/>
        </w:rPr>
        <w:t>Factori specifici băncilor:</w:t>
      </w:r>
    </w:p>
    <w:p w14:paraId="20DC73A8">
      <w:pPr>
        <w:jc w:val="both"/>
        <w:rPr>
          <w:rFonts w:hint="default" w:ascii="Times New Roman" w:hAnsi="Times New Roman" w:cs="Times New Roman"/>
          <w:sz w:val="28"/>
          <w:szCs w:val="28"/>
          <w:lang w:val="ro-RO"/>
        </w:rPr>
      </w:pPr>
    </w:p>
    <w:p w14:paraId="2073D17C">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Adecvarea capitalului: Un nivel ridicat al capitalului propriu oferă băncilor o capacitate mai mare de a absorbi pierderile și de a face față șocurilor financiare, contribuind astfel la stabilitatea și profitabilitatea lor.</w:t>
      </w:r>
    </w:p>
    <w:p w14:paraId="4B293985">
      <w:pPr>
        <w:jc w:val="both"/>
        <w:rPr>
          <w:rFonts w:hint="default" w:ascii="Times New Roman" w:hAnsi="Times New Roman" w:cs="Times New Roman"/>
          <w:sz w:val="28"/>
          <w:szCs w:val="28"/>
          <w:lang w:val="ro-RO"/>
        </w:rPr>
      </w:pPr>
    </w:p>
    <w:p w14:paraId="40500872">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Calitatea activelor: Portofoliile de credite de înaltă calitate, cu rate scăzute ale creditelor neperformante, reduc riscul de pierderi și îmbunătățesc profitabilitatea.</w:t>
      </w:r>
    </w:p>
    <w:p w14:paraId="2BE7E248">
      <w:pPr>
        <w:jc w:val="both"/>
        <w:rPr>
          <w:rFonts w:hint="default" w:ascii="Times New Roman" w:hAnsi="Times New Roman" w:cs="Times New Roman"/>
          <w:sz w:val="28"/>
          <w:szCs w:val="28"/>
          <w:lang w:val="ro-RO"/>
        </w:rPr>
      </w:pPr>
    </w:p>
    <w:p w14:paraId="683DB9DB">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Eficiența operațională:  Gestionarea eficientă a costurilor operaționale și optimizarea proceselor interne pot duce la marje de profit mai mari.</w:t>
      </w:r>
    </w:p>
    <w:p w14:paraId="02A6716C">
      <w:pPr>
        <w:jc w:val="both"/>
        <w:rPr>
          <w:rFonts w:hint="default" w:ascii="Times New Roman" w:hAnsi="Times New Roman" w:cs="Times New Roman"/>
          <w:sz w:val="28"/>
          <w:szCs w:val="28"/>
          <w:lang w:val="ro-RO"/>
        </w:rPr>
      </w:pPr>
    </w:p>
    <w:p w14:paraId="26781018">
      <w:pPr>
        <w:numPr>
          <w:ilvl w:val="0"/>
          <w:numId w:val="3"/>
        </w:numPr>
        <w:jc w:val="both"/>
        <w:rPr>
          <w:rFonts w:hint="default" w:ascii="Times New Roman" w:hAnsi="Times New Roman" w:cs="Times New Roman"/>
          <w:b/>
          <w:bCs/>
          <w:sz w:val="28"/>
          <w:szCs w:val="28"/>
          <w:lang w:val="ro-RO"/>
        </w:rPr>
      </w:pPr>
      <w:r>
        <w:rPr>
          <w:rFonts w:hint="default" w:ascii="Times New Roman" w:hAnsi="Times New Roman" w:cs="Times New Roman"/>
          <w:b/>
          <w:bCs/>
          <w:sz w:val="28"/>
          <w:szCs w:val="28"/>
          <w:lang w:val="ro-RO"/>
        </w:rPr>
        <w:t>Factori specifici sistemului bancar:</w:t>
      </w:r>
    </w:p>
    <w:p w14:paraId="604857CE">
      <w:pPr>
        <w:jc w:val="both"/>
        <w:rPr>
          <w:rFonts w:hint="default" w:ascii="Times New Roman" w:hAnsi="Times New Roman" w:cs="Times New Roman"/>
          <w:sz w:val="28"/>
          <w:szCs w:val="28"/>
          <w:lang w:val="ro-RO"/>
        </w:rPr>
      </w:pPr>
    </w:p>
    <w:p w14:paraId="1D6CEABB">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Concurența pe piață:Nivelul de concurență din sectorul bancar australian poate influența marjele de profit, forțând băncile să își ajusteze ratele dobânzilor și comisioanele pentru a atrage și a reține clienți.</w:t>
      </w:r>
    </w:p>
    <w:p w14:paraId="21C9C493">
      <w:pPr>
        <w:jc w:val="both"/>
        <w:rPr>
          <w:rFonts w:hint="default" w:ascii="Times New Roman" w:hAnsi="Times New Roman" w:cs="Times New Roman"/>
          <w:sz w:val="28"/>
          <w:szCs w:val="28"/>
          <w:lang w:val="ro-RO"/>
        </w:rPr>
      </w:pPr>
    </w:p>
    <w:p w14:paraId="65B0A9B2">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Reglementările financiare: Politicile și reglementările impuse de autorități, cum ar fi cerințele de capital și normele de lichiditate, pot afecta capacitatea băncilor de a genera profit.</w:t>
      </w:r>
    </w:p>
    <w:p w14:paraId="5A83B20F">
      <w:pPr>
        <w:jc w:val="both"/>
        <w:rPr>
          <w:rFonts w:hint="default" w:ascii="Times New Roman" w:hAnsi="Times New Roman" w:cs="Times New Roman"/>
          <w:sz w:val="28"/>
          <w:szCs w:val="28"/>
          <w:lang w:val="ro-RO"/>
        </w:rPr>
      </w:pPr>
    </w:p>
    <w:p w14:paraId="64A85F76">
      <w:pPr>
        <w:jc w:val="both"/>
        <w:rPr>
          <w:rFonts w:hint="default" w:ascii="Times New Roman" w:hAnsi="Times New Roman" w:cs="Times New Roman"/>
          <w:b/>
          <w:bCs/>
          <w:sz w:val="28"/>
          <w:szCs w:val="28"/>
          <w:lang w:val="ro-RO"/>
        </w:rPr>
      </w:pPr>
      <w:r>
        <w:rPr>
          <w:rFonts w:hint="default" w:ascii="Times New Roman" w:hAnsi="Times New Roman" w:cs="Times New Roman"/>
          <w:b/>
          <w:bCs/>
          <w:sz w:val="28"/>
          <w:szCs w:val="28"/>
          <w:lang w:val="ro-RO"/>
        </w:rPr>
        <w:t>C) Factori macroeconomici:</w:t>
      </w:r>
    </w:p>
    <w:p w14:paraId="1471962B">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Rata dobânzii: Fluctuațiile ratelor dobânzilor influențează marjele de profit ale băncilor, afectând veniturile din dobânzi obținute din împrumuturi și depozite.</w:t>
      </w:r>
    </w:p>
    <w:p w14:paraId="71F19783">
      <w:pPr>
        <w:jc w:val="both"/>
        <w:rPr>
          <w:rFonts w:hint="default" w:ascii="Times New Roman" w:hAnsi="Times New Roman" w:cs="Times New Roman"/>
          <w:sz w:val="28"/>
          <w:szCs w:val="28"/>
          <w:lang w:val="ro-RO"/>
        </w:rPr>
      </w:pPr>
    </w:p>
    <w:p w14:paraId="7CD77455">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Creșterea economică: O economie în expansiune stimulează cererea de servicii bancare, inclusiv credite și investiții, ceea ce poate duce la creșterea profitabilității băncilor.</w:t>
      </w:r>
    </w:p>
    <w:p w14:paraId="49C1A139">
      <w:pPr>
        <w:jc w:val="both"/>
        <w:rPr>
          <w:rFonts w:hint="default" w:ascii="Times New Roman" w:hAnsi="Times New Roman" w:cs="Times New Roman"/>
          <w:sz w:val="28"/>
          <w:szCs w:val="28"/>
          <w:lang w:val="ro-RO"/>
        </w:rPr>
      </w:pPr>
    </w:p>
    <w:p w14:paraId="12CDD218">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Inflația: Ratele ridicate ale inflației pot eroda valoarea reală a activelor și pasivelor băncilor, influențând negativ profitabilitatea.</w:t>
      </w:r>
    </w:p>
    <w:p w14:paraId="650FA056">
      <w:pPr>
        <w:jc w:val="both"/>
        <w:rPr>
          <w:rFonts w:hint="default" w:ascii="Times New Roman" w:hAnsi="Times New Roman" w:cs="Times New Roman"/>
          <w:sz w:val="28"/>
          <w:szCs w:val="28"/>
          <w:lang w:val="ro-RO"/>
        </w:rPr>
      </w:pPr>
    </w:p>
    <w:p w14:paraId="100774CE">
      <w:pPr>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 Cursul de schimb valutar: Pentru băncile implicate în operațiuni internaționale, fluctuațiile cursului de schimb pot genera riscuri valutare care afectează profitabilitatea.</w:t>
      </w:r>
    </w:p>
    <w:p w14:paraId="15760108">
      <w:pPr>
        <w:jc w:val="both"/>
        <w:rPr>
          <w:rFonts w:hint="default" w:ascii="Times New Roman" w:hAnsi="Times New Roman" w:cs="Times New Roman"/>
          <w:sz w:val="28"/>
          <w:szCs w:val="28"/>
          <w:lang w:val="ro-RO"/>
        </w:rPr>
      </w:pPr>
    </w:p>
    <w:p w14:paraId="16141599">
      <w:pPr>
        <w:ind w:firstLine="280" w:firstLineChars="100"/>
        <w:jc w:val="both"/>
        <w:rPr>
          <w:rFonts w:hint="default" w:ascii="Times New Roman" w:hAnsi="Times New Roman" w:cs="Times New Roman"/>
          <w:sz w:val="28"/>
          <w:szCs w:val="28"/>
          <w:lang w:val="ro-RO"/>
        </w:rPr>
      </w:pPr>
      <w:r>
        <w:rPr>
          <w:rFonts w:hint="default" w:ascii="Times New Roman" w:hAnsi="Times New Roman" w:cs="Times New Roman"/>
          <w:sz w:val="28"/>
          <w:szCs w:val="28"/>
          <w:lang w:val="ro-RO"/>
        </w:rPr>
        <w:t>Este important de menționat că interacțiunea dintre acești factori poate varia în timp și în funcție de condițiile economice specifice. De exemplu, în perioade de instabilitate economică, calitatea activelor și adecvarea capitalului devin și mai critice pentru menținerea profitabilității bancare.</w:t>
      </w:r>
    </w:p>
    <w:p w14:paraId="0B736B05">
      <w:pPr>
        <w:jc w:val="both"/>
        <w:rPr>
          <w:rFonts w:hint="default" w:ascii="Times New Roman" w:hAnsi="Times New Roman" w:cs="Times New Roman"/>
          <w:sz w:val="28"/>
          <w:szCs w:val="28"/>
          <w:lang w:val="ro-RO"/>
        </w:rPr>
      </w:pPr>
    </w:p>
    <w:p w14:paraId="672F80BA">
      <w:pPr>
        <w:ind w:firstLine="280" w:firstLineChars="100"/>
        <w:jc w:val="both"/>
        <w:rPr>
          <w:rFonts w:hint="default"/>
          <w:sz w:val="28"/>
          <w:szCs w:val="28"/>
          <w:lang w:val="ro-RO"/>
        </w:rPr>
      </w:pPr>
      <w:r>
        <w:rPr>
          <w:rFonts w:hint="default" w:ascii="Times New Roman" w:hAnsi="Times New Roman" w:cs="Times New Roman"/>
          <w:sz w:val="28"/>
          <w:szCs w:val="28"/>
          <w:lang w:val="ro-RO"/>
        </w:rPr>
        <w:t xml:space="preserve">În concluzie, profitabilitatea băncilor din Australia este determinată de o combinație complexă de factori interni și externi. O înțelegere profundă a acestor factori și a modului în care interacționează este esențială pentru dezvoltarea strategiilor eficiente de management bancar și pentru asigurarea stabilității financiare pe termen lung. </w:t>
      </w:r>
    </w:p>
    <w:p w14:paraId="71FA4691">
      <w:pPr>
        <w:jc w:val="both"/>
        <w:rPr>
          <w:rFonts w:hint="default"/>
          <w:sz w:val="28"/>
          <w:szCs w:val="28"/>
          <w:lang w:val="ro-RO"/>
        </w:rPr>
      </w:pPr>
    </w:p>
    <w:p w14:paraId="6DECD57F">
      <w:pPr>
        <w:jc w:val="both"/>
        <w:rPr>
          <w:rFonts w:hint="default"/>
          <w:sz w:val="28"/>
          <w:szCs w:val="28"/>
          <w:lang w:val="ro-RO"/>
        </w:rPr>
      </w:pPr>
    </w:p>
    <w:p w14:paraId="74C1C26E">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ro-RO"/>
        </w:rPr>
        <w:t>Articolele folosite la realizarea acestei sinteze</w:t>
      </w:r>
      <w:r>
        <w:rPr>
          <w:rFonts w:hint="default" w:ascii="Times New Roman" w:hAnsi="Times New Roman" w:cs="Times New Roman"/>
          <w:sz w:val="28"/>
          <w:szCs w:val="28"/>
          <w:lang w:val="en-US"/>
        </w:rPr>
        <w:t>:</w:t>
      </w:r>
    </w:p>
    <w:p w14:paraId="2929495C">
      <w:pPr>
        <w:numPr>
          <w:ilvl w:val="0"/>
          <w:numId w:val="4"/>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"https://commission.europa.eu/document/download/16aec668-c86b-47c6-a6d2-062b3a96e515_ro?filename=european-semester_thematic-factsheet_banking-sector-financial-stability_ro.pdf"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https://commission.europa.eu/document/download/16aec668-c86b-47c6-a6d2-062b3a96e515_ro?filename=european-semester_thematic-factsheet_banking-sector-financial-stability.pdf</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14:paraId="04A780C1">
      <w:pPr>
        <w:numPr>
          <w:ilvl w:val="0"/>
          <w:numId w:val="4"/>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"https://www.bankingsupervision.europa.eu/press/other-publications/annual-report/html/ssm.ar2020~1a59f5757c.ro.html"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https://www.bankingsupervision/press/other-publications/annual-report/html/ssm.ar2020~1a59f5757c.ro.html</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14:paraId="7D689262">
      <w:pPr>
        <w:numPr>
          <w:ilvl w:val="0"/>
          <w:numId w:val="4"/>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"https://seaopenresearch.eu/Journals/articles/MI_30_2.pdf"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https://seaopenresearch.</w:t>
      </w:r>
      <w:r>
        <w:rPr>
          <w:rStyle w:val="9"/>
          <w:rFonts w:hint="default" w:ascii="Times New Roman" w:hAnsi="Times New Roman"/>
          <w:sz w:val="24"/>
          <w:szCs w:val="24"/>
          <w:lang w:val="ro-RO"/>
        </w:rPr>
        <w:t>au</w:t>
      </w:r>
      <w:r>
        <w:rPr>
          <w:rStyle w:val="9"/>
          <w:rFonts w:hint="default" w:ascii="Times New Roman" w:hAnsi="Times New Roman"/>
          <w:sz w:val="24"/>
          <w:szCs w:val="24"/>
          <w:lang w:val="en-US"/>
        </w:rPr>
        <w:t>/Journals/articles/MI_30_2.pdf</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14:paraId="507BED82">
      <w:pPr>
        <w:numPr>
          <w:ilvl w:val="0"/>
          <w:numId w:val="4"/>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"https://store.ectap.ro/articole/210.pdf"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https://store.ectap.ro/articole/210.pdf</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14:paraId="33266EBB">
      <w:pPr>
        <w:numPr>
          <w:ilvl w:val="0"/>
          <w:numId w:val="4"/>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"https://www.ebf.eu/wp-content/uploads/2020/11/RO_Bank_Regulation_Impact_on_Employment_Final-project-report.pdf"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https://www.ebf.eu/wp-content/uploads/2020/11/Bank_Regulation_Impact_on_Employment_Final-project-report.pdf</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14:paraId="410F8F25">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0A23090D">
      <w:pPr>
        <w:numPr>
          <w:ilvl w:val="0"/>
          <w:numId w:val="1"/>
        </w:numPr>
        <w:ind w:left="0" w:leftChars="0" w:firstLine="0" w:firstLineChars="0"/>
        <w:jc w:val="both"/>
        <w:rPr>
          <w:rFonts w:hint="default" w:ascii="Times New Roman" w:hAnsi="Times New Roman"/>
          <w:b/>
          <w:bCs/>
          <w:i/>
          <w:iCs/>
          <w:sz w:val="32"/>
          <w:szCs w:val="32"/>
          <w:lang w:val="en-US"/>
        </w:rPr>
      </w:pPr>
      <w:r>
        <w:rPr>
          <w:rFonts w:hint="default" w:ascii="Times New Roman" w:hAnsi="Times New Roman"/>
          <w:b/>
          <w:bCs/>
          <w:i/>
          <w:iCs/>
          <w:sz w:val="32"/>
          <w:szCs w:val="32"/>
          <w:lang w:val="en-US"/>
        </w:rPr>
        <w:t>Statistici referitoare la profatibilitatea banca</w:t>
      </w:r>
      <w:r>
        <w:rPr>
          <w:rFonts w:hint="default" w:ascii="Times New Roman" w:hAnsi="Times New Roman"/>
          <w:b/>
          <w:bCs/>
          <w:i/>
          <w:iCs/>
          <w:sz w:val="32"/>
          <w:szCs w:val="32"/>
          <w:lang w:val="ro-RO"/>
        </w:rPr>
        <w:t>ră din Australia</w:t>
      </w:r>
    </w:p>
    <w:p w14:paraId="7E9FB426">
      <w:pPr>
        <w:numPr>
          <w:ilvl w:val="0"/>
          <w:numId w:val="0"/>
        </w:numPr>
        <w:ind w:leftChars="0" w:firstLine="280" w:firstLineChars="100"/>
        <w:jc w:val="both"/>
        <w:rPr>
          <w:rFonts w:hint="default" w:ascii="Times New Roman" w:hAnsi="Times New Roman"/>
          <w:sz w:val="28"/>
          <w:szCs w:val="28"/>
          <w:lang w:val="en-US"/>
        </w:rPr>
      </w:pPr>
    </w:p>
    <w:p w14:paraId="11BB6DEB">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Profitabilitatea sectorului bancar din Australia a înregistrat evoluții semnificative în ultimii ani, influențate de factori economici globali și locali.</w:t>
      </w:r>
    </w:p>
    <w:p w14:paraId="487CD24D">
      <w:pPr>
        <w:numPr>
          <w:ilvl w:val="0"/>
          <w:numId w:val="0"/>
        </w:numPr>
        <w:ind w:leftChars="0" w:firstLine="280" w:firstLineChars="100"/>
        <w:jc w:val="both"/>
        <w:rPr>
          <w:rFonts w:hint="default" w:ascii="Times New Roman" w:hAnsi="Times New Roman"/>
          <w:b/>
          <w:bCs/>
          <w:sz w:val="28"/>
          <w:szCs w:val="28"/>
          <w:lang w:val="en-US"/>
        </w:rPr>
      </w:pPr>
    </w:p>
    <w:p w14:paraId="07E78E45">
      <w:pPr>
        <w:numPr>
          <w:ilvl w:val="0"/>
          <w:numId w:val="0"/>
        </w:numPr>
        <w:ind w:leftChars="0" w:firstLine="280" w:firstLineChars="100"/>
        <w:jc w:val="both"/>
        <w:rPr>
          <w:rFonts w:hint="default" w:ascii="Times New Roman" w:hAnsi="Times New Roman"/>
          <w:b/>
          <w:bCs/>
          <w:sz w:val="28"/>
          <w:szCs w:val="28"/>
          <w:lang w:val="en-US"/>
        </w:rPr>
      </w:pPr>
      <w:r>
        <w:rPr>
          <w:rFonts w:hint="default" w:ascii="Times New Roman" w:hAnsi="Times New Roman"/>
          <w:b/>
          <w:bCs/>
          <w:sz w:val="28"/>
          <w:szCs w:val="28"/>
          <w:lang w:val="en-US"/>
        </w:rPr>
        <w:t>Evoluția Profitabilității Bancare în Australia</w:t>
      </w:r>
    </w:p>
    <w:p w14:paraId="69C08653">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 xml:space="preserve">În perioada recentă, băncile australiene au raportat o creștere a rentabilității activelor (ROA) și a rentabilității capitalului propriu (ROE). </w:t>
      </w:r>
      <w:r>
        <w:rPr>
          <w:rFonts w:hint="default" w:ascii="Times New Roman" w:hAnsi="Times New Roman"/>
          <w:sz w:val="28"/>
          <w:szCs w:val="28"/>
          <w:lang w:val="ro-RO"/>
        </w:rPr>
        <w:t xml:space="preserve">   </w:t>
      </w:r>
      <w:r>
        <w:rPr>
          <w:rFonts w:hint="default" w:ascii="Times New Roman" w:hAnsi="Times New Roman"/>
          <w:sz w:val="28"/>
          <w:szCs w:val="28"/>
          <w:lang w:val="en-US"/>
        </w:rPr>
        <w:t>Această tendință pozitivă se datorează în principal unei gestionări eficiente a costurilor și unei creșteri a veniturilor din dobânzi, pe fondul majorării ratelor dobânzilor la nivel global.</w:t>
      </w:r>
    </w:p>
    <w:p w14:paraId="158D517B">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t>Factori Determinanți ai Profitabilității</w:t>
      </w:r>
    </w:p>
    <w:p w14:paraId="09ABB1DD">
      <w:pPr>
        <w:numPr>
          <w:ilvl w:val="0"/>
          <w:numId w:val="0"/>
        </w:numPr>
        <w:ind w:leftChars="0"/>
        <w:jc w:val="both"/>
        <w:rPr>
          <w:rFonts w:hint="default" w:ascii="Times New Roman" w:hAnsi="Times New Roman"/>
          <w:sz w:val="28"/>
          <w:szCs w:val="28"/>
          <w:lang w:val="en-US"/>
        </w:rPr>
      </w:pPr>
    </w:p>
    <w:p w14:paraId="11422966">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Venituri din Dobânzi</w:t>
      </w:r>
      <w:r>
        <w:rPr>
          <w:rFonts w:hint="default" w:ascii="Times New Roman" w:hAnsi="Times New Roman"/>
          <w:sz w:val="28"/>
          <w:szCs w:val="28"/>
          <w:lang w:val="en-US"/>
        </w:rPr>
        <w:t>: Majorarea ratelor dobânzilor a condus la creșterea marjelor de profit pentru băncile comerciale, sporind veniturile din dobânzi.</w:t>
      </w:r>
    </w:p>
    <w:p w14:paraId="448AC534">
      <w:pPr>
        <w:numPr>
          <w:ilvl w:val="0"/>
          <w:numId w:val="0"/>
        </w:numPr>
        <w:ind w:leftChars="0"/>
        <w:jc w:val="both"/>
        <w:rPr>
          <w:rFonts w:hint="default" w:ascii="Times New Roman" w:hAnsi="Times New Roman"/>
          <w:sz w:val="28"/>
          <w:szCs w:val="28"/>
          <w:lang w:val="en-US"/>
        </w:rPr>
      </w:pPr>
    </w:p>
    <w:p w14:paraId="7B0EF9E5">
      <w:pPr>
        <w:numPr>
          <w:ilvl w:val="0"/>
          <w:numId w:val="0"/>
        </w:numPr>
        <w:ind w:leftChars="0"/>
        <w:jc w:val="both"/>
        <w:rPr>
          <w:rFonts w:hint="default" w:ascii="Times New Roman" w:hAnsi="Times New Roman"/>
          <w:sz w:val="28"/>
          <w:szCs w:val="28"/>
          <w:lang w:val="en-US"/>
        </w:rPr>
      </w:pPr>
    </w:p>
    <w:p w14:paraId="6F28B995">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Calitatea Activelor</w:t>
      </w:r>
      <w:r>
        <w:rPr>
          <w:rFonts w:hint="default" w:ascii="Times New Roman" w:hAnsi="Times New Roman"/>
          <w:sz w:val="28"/>
          <w:szCs w:val="28"/>
          <w:lang w:val="en-US"/>
        </w:rPr>
        <w:t>: Menținerea unui portofoliu de credite de înaltă calitate a redus provizioanele pentru pierderi, contribuind pozitiv la profitabilitate.</w:t>
      </w:r>
    </w:p>
    <w:p w14:paraId="6DE4C0AD">
      <w:pPr>
        <w:numPr>
          <w:ilvl w:val="0"/>
          <w:numId w:val="0"/>
        </w:numPr>
        <w:ind w:leftChars="0"/>
        <w:jc w:val="both"/>
        <w:rPr>
          <w:rFonts w:hint="default" w:ascii="Times New Roman" w:hAnsi="Times New Roman"/>
          <w:sz w:val="28"/>
          <w:szCs w:val="28"/>
          <w:lang w:val="en-US"/>
        </w:rPr>
      </w:pPr>
    </w:p>
    <w:p w14:paraId="600DEA2E">
      <w:pPr>
        <w:numPr>
          <w:ilvl w:val="0"/>
          <w:numId w:val="0"/>
        </w:numPr>
        <w:ind w:leftChars="0"/>
        <w:jc w:val="both"/>
        <w:rPr>
          <w:rFonts w:hint="default" w:ascii="Times New Roman" w:hAnsi="Times New Roman"/>
          <w:b/>
          <w:bCs/>
          <w:sz w:val="28"/>
          <w:szCs w:val="28"/>
          <w:lang w:val="en-US"/>
        </w:rPr>
      </w:pPr>
    </w:p>
    <w:p w14:paraId="5234237B">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b/>
          <w:bCs/>
          <w:sz w:val="28"/>
          <w:szCs w:val="28"/>
          <w:lang w:val="en-US"/>
        </w:rPr>
        <w:t>Eficiența Operațională</w:t>
      </w:r>
      <w:r>
        <w:rPr>
          <w:rFonts w:hint="default" w:ascii="Times New Roman" w:hAnsi="Times New Roman"/>
          <w:sz w:val="28"/>
          <w:szCs w:val="28"/>
          <w:lang w:val="en-US"/>
        </w:rPr>
        <w:t>: Implementarea tehnologiilor digitale și optimizarea proceselor interne au dus la reducerea costurilor operaționale.</w:t>
      </w:r>
    </w:p>
    <w:p w14:paraId="4D1A5D93">
      <w:pPr>
        <w:numPr>
          <w:ilvl w:val="0"/>
          <w:numId w:val="0"/>
        </w:numPr>
        <w:ind w:leftChars="0"/>
        <w:jc w:val="both"/>
        <w:rPr>
          <w:rFonts w:hint="default" w:ascii="Times New Roman" w:hAnsi="Times New Roman"/>
          <w:sz w:val="28"/>
          <w:szCs w:val="28"/>
          <w:lang w:val="en-US"/>
        </w:rPr>
      </w:pPr>
    </w:p>
    <w:p w14:paraId="296D6BF9">
      <w:pPr>
        <w:numPr>
          <w:ilvl w:val="0"/>
          <w:numId w:val="0"/>
        </w:numPr>
        <w:ind w:leftChars="0" w:firstLine="280" w:firstLineChars="100"/>
        <w:jc w:val="both"/>
        <w:rPr>
          <w:rFonts w:hint="default" w:ascii="Times New Roman" w:hAnsi="Times New Roman"/>
          <w:b/>
          <w:bCs/>
          <w:sz w:val="28"/>
          <w:szCs w:val="28"/>
          <w:lang w:val="en-US"/>
        </w:rPr>
      </w:pPr>
      <w:r>
        <w:rPr>
          <w:rFonts w:hint="default" w:ascii="Times New Roman" w:hAnsi="Times New Roman"/>
          <w:b/>
          <w:bCs/>
          <w:sz w:val="28"/>
          <w:szCs w:val="28"/>
          <w:lang w:val="en-US"/>
        </w:rPr>
        <w:t>Distribuția Geografică a Profitabilității</w:t>
      </w:r>
    </w:p>
    <w:p w14:paraId="7DE638FC">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Analizând profitabilitatea bancară la nivel regional în Australia, se observă variații semnificative între state și teritorii. De exemplu, băncile din New South Wales și Victoria au raportat marje de profit mai ridicate comparativ cu cele din alte regiuni, datorită densității economice și a volumului mai mare de tranzacții financiare.</w:t>
      </w:r>
    </w:p>
    <w:p w14:paraId="1ACC456D">
      <w:pPr>
        <w:numPr>
          <w:ilvl w:val="0"/>
          <w:numId w:val="0"/>
        </w:numPr>
        <w:ind w:leftChars="0" w:firstLine="280" w:firstLineChars="100"/>
        <w:jc w:val="both"/>
        <w:rPr>
          <w:rFonts w:hint="default" w:ascii="Times New Roman" w:hAnsi="Times New Roman"/>
          <w:sz w:val="28"/>
          <w:szCs w:val="28"/>
          <w:lang w:val="en-US"/>
        </w:rPr>
      </w:pPr>
    </w:p>
    <w:p w14:paraId="03659FF3">
      <w:pPr>
        <w:numPr>
          <w:ilvl w:val="0"/>
          <w:numId w:val="0"/>
        </w:numPr>
        <w:ind w:leftChars="0" w:firstLine="280" w:firstLineChars="100"/>
        <w:jc w:val="both"/>
        <w:rPr>
          <w:rFonts w:hint="default" w:ascii="Times New Roman" w:hAnsi="Times New Roman"/>
          <w:sz w:val="28"/>
          <w:szCs w:val="28"/>
          <w:lang w:val="en-US"/>
        </w:rPr>
      </w:pPr>
    </w:p>
    <w:p w14:paraId="43750C07">
      <w:pPr>
        <w:numPr>
          <w:ilvl w:val="0"/>
          <w:numId w:val="0"/>
        </w:numPr>
        <w:ind w:leftChars="0" w:firstLine="280" w:firstLineChars="100"/>
        <w:jc w:val="both"/>
        <w:rPr>
          <w:rFonts w:hint="default" w:ascii="Times New Roman" w:hAnsi="Times New Roman"/>
          <w:b/>
          <w:bCs/>
          <w:sz w:val="28"/>
          <w:szCs w:val="28"/>
          <w:lang w:val="en-US"/>
        </w:rPr>
      </w:pPr>
      <w:r>
        <w:rPr>
          <w:rFonts w:hint="default" w:ascii="Times New Roman" w:hAnsi="Times New Roman"/>
          <w:b/>
          <w:bCs/>
          <w:sz w:val="28"/>
          <w:szCs w:val="28"/>
          <w:lang w:val="en-US"/>
        </w:rPr>
        <w:t>Provocări și Perspective</w:t>
      </w:r>
    </w:p>
    <w:p w14:paraId="310063E7">
      <w:pPr>
        <w:numPr>
          <w:ilvl w:val="0"/>
          <w:numId w:val="0"/>
        </w:numPr>
        <w:ind w:leftChars="0" w:firstLine="280" w:firstLineChars="100"/>
        <w:jc w:val="both"/>
        <w:rPr>
          <w:rFonts w:hint="default" w:ascii="Times New Roman" w:hAnsi="Times New Roman"/>
          <w:sz w:val="28"/>
          <w:szCs w:val="28"/>
          <w:lang w:val="en-US"/>
        </w:rPr>
      </w:pPr>
    </w:p>
    <w:p w14:paraId="1A603D51">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În ciuda performanțelor pozitive, sectorul bancar australian se confruntă cu provocări precum:</w:t>
      </w:r>
    </w:p>
    <w:p w14:paraId="2808F104">
      <w:pPr>
        <w:numPr>
          <w:ilvl w:val="0"/>
          <w:numId w:val="0"/>
        </w:numPr>
        <w:ind w:leftChars="0"/>
        <w:jc w:val="both"/>
        <w:rPr>
          <w:rFonts w:hint="default" w:ascii="Times New Roman" w:hAnsi="Times New Roman"/>
          <w:sz w:val="28"/>
          <w:szCs w:val="28"/>
          <w:lang w:val="en-US"/>
        </w:rPr>
      </w:pPr>
    </w:p>
    <w:p w14:paraId="1411C949">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Reglementări Stricte: Autoritățile de reglementare impun cerințe mai riguroase privind capitalul și lichiditatea, afectând flexibilitatea financiară a băncilor.</w:t>
      </w:r>
    </w:p>
    <w:p w14:paraId="3DF462BB">
      <w:pPr>
        <w:numPr>
          <w:ilvl w:val="0"/>
          <w:numId w:val="0"/>
        </w:numPr>
        <w:ind w:leftChars="0"/>
        <w:jc w:val="both"/>
        <w:rPr>
          <w:rFonts w:hint="default" w:ascii="Times New Roman" w:hAnsi="Times New Roman"/>
          <w:sz w:val="28"/>
          <w:szCs w:val="28"/>
          <w:lang w:val="en-US"/>
        </w:rPr>
      </w:pPr>
    </w:p>
    <w:p w14:paraId="6C76081F">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Concurență Crescută: Apariția fintech-urilor și a altor instituții financiare non-bancare intensifică competiția pe piață.</w:t>
      </w:r>
    </w:p>
    <w:p w14:paraId="3739340B">
      <w:pPr>
        <w:numPr>
          <w:ilvl w:val="0"/>
          <w:numId w:val="0"/>
        </w:numPr>
        <w:ind w:leftChars="0"/>
        <w:jc w:val="both"/>
        <w:rPr>
          <w:rFonts w:hint="default" w:ascii="Times New Roman" w:hAnsi="Times New Roman"/>
          <w:sz w:val="28"/>
          <w:szCs w:val="28"/>
          <w:lang w:val="en-US"/>
        </w:rPr>
      </w:pPr>
    </w:p>
    <w:p w14:paraId="0ADA01AE">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Riscuri Economice Globale: Fluctuațiile economiei globale pot influența negativ stabilitatea și profitabilitatea sectorului bancar.</w:t>
      </w:r>
    </w:p>
    <w:p w14:paraId="4E03218D">
      <w:pPr>
        <w:numPr>
          <w:ilvl w:val="0"/>
          <w:numId w:val="0"/>
        </w:numPr>
        <w:ind w:leftChars="0"/>
        <w:jc w:val="both"/>
        <w:rPr>
          <w:rFonts w:hint="default" w:ascii="Times New Roman" w:hAnsi="Times New Roman"/>
          <w:sz w:val="28"/>
          <w:szCs w:val="28"/>
          <w:lang w:val="en-US"/>
        </w:rPr>
      </w:pPr>
    </w:p>
    <w:p w14:paraId="10D58F40">
      <w:pPr>
        <w:numPr>
          <w:ilvl w:val="0"/>
          <w:numId w:val="0"/>
        </w:numPr>
        <w:ind w:leftChars="0" w:firstLine="280" w:firstLineChars="100"/>
        <w:jc w:val="both"/>
        <w:rPr>
          <w:rFonts w:hint="default" w:ascii="Times New Roman" w:hAnsi="Times New Roman"/>
          <w:sz w:val="28"/>
          <w:szCs w:val="28"/>
          <w:lang w:val="en-US"/>
        </w:rPr>
      </w:pPr>
      <w:r>
        <w:rPr>
          <w:rFonts w:hint="default" w:ascii="Times New Roman" w:hAnsi="Times New Roman"/>
          <w:sz w:val="28"/>
          <w:szCs w:val="28"/>
          <w:lang w:val="en-US"/>
        </w:rPr>
        <w:t>Profitabilitatea bancară în Australia a demonstrat o reziliență notabilă, adaptându-se la schimbările economice și tehnologice. Cu toate acestea, băncile trebuie să rămână vigilente și să își ajusteze strategiile pentru a face față provocărilor emergente și pentru a menține stabilitatea financiară pe termen lung.</w:t>
      </w:r>
    </w:p>
    <w:p w14:paraId="5838CF08">
      <w:pPr>
        <w:numPr>
          <w:ilvl w:val="0"/>
          <w:numId w:val="0"/>
        </w:numPr>
        <w:ind w:firstLine="280" w:firstLineChars="100"/>
        <w:jc w:val="both"/>
        <w:rPr>
          <w:rFonts w:hint="default" w:ascii="Times New Roman" w:hAnsi="Times New Roman"/>
          <w:sz w:val="24"/>
          <w:szCs w:val="24"/>
          <w:lang w:val="en-US"/>
        </w:rPr>
      </w:pPr>
      <w:r>
        <w:rPr>
          <w:rFonts w:hint="default" w:ascii="Times New Roman" w:hAnsi="Times New Roman"/>
          <w:sz w:val="28"/>
          <w:szCs w:val="28"/>
          <w:lang w:val="ro-RO"/>
        </w:rPr>
        <w:t>Sursele folosite la determinarea acestor informații și formularea acestor concluzii sunt următoarele</w:t>
      </w:r>
      <w:r>
        <w:rPr>
          <w:rFonts w:hint="default" w:ascii="Times New Roman" w:hAnsi="Times New Roman"/>
          <w:sz w:val="28"/>
          <w:szCs w:val="28"/>
          <w:lang w:val="en-US"/>
        </w:rPr>
        <w:t>:</w:t>
      </w:r>
      <w:r>
        <w:rPr>
          <w:rFonts w:hint="default" w:ascii="Times New Roman" w:hAnsi="Times New Roman"/>
          <w:sz w:val="24"/>
          <w:szCs w:val="24"/>
          <w:lang w:val="en-US"/>
        </w:rPr>
        <w:t xml:space="preserve"> </w:t>
      </w:r>
    </w:p>
    <w:p w14:paraId="3CBF6A4A">
      <w:pPr>
        <w:numPr>
          <w:ilvl w:val="0"/>
          <w:numId w:val="5"/>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"https://www.ecb.europa.eu/press/annual-reports-financial-statements/annual/annual-accounts/html/ecb.annualaccounts2023~f5a98cb02b.ro.html"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https://www.ecb/press/annual-reports-financial-statements/annual/annual-accounts/html/ecb.annualaccounts2023~f5a98cb02b.ro.html</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14:paraId="7B61CFD6">
      <w:pPr>
        <w:numPr>
          <w:ilvl w:val="0"/>
          <w:numId w:val="5"/>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"https://www.bankingsupervision.europa.eu/press/other-publications/annual-report/html/ssm.ar2022~e4b57f3b89.ro.html"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https://www.bankingsupervision/press/other-publications/annual-report/html/ssm.ar2022~e4b57f3b89.ro.html</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14:paraId="1DF38B8E">
      <w:pPr>
        <w:numPr>
          <w:ilvl w:val="0"/>
          <w:numId w:val="5"/>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"https://www.abs.gov.au/statistics/economy/business-indicators/business-indicators-australia/latest-release"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https://www.abs.gov.au/statistics/economy/business-indicators/business-indicators-australia/latest-release</w:t>
      </w:r>
      <w:r>
        <w:rPr>
          <w:rFonts w:hint="default" w:ascii="Times New Roman" w:hAnsi="Times New Roman"/>
          <w:sz w:val="24"/>
          <w:szCs w:val="24"/>
          <w:lang w:val="en-US"/>
        </w:rPr>
        <w:fldChar w:fldCharType="end"/>
      </w:r>
      <w:r>
        <w:rPr>
          <w:rFonts w:hint="default" w:ascii="Times New Roman" w:hAnsi="Times New Roman"/>
          <w:sz w:val="24"/>
          <w:szCs w:val="24"/>
          <w:lang w:val="ro-RO"/>
        </w:rPr>
        <w:t xml:space="preserve"> </w:t>
      </w:r>
    </w:p>
    <w:p w14:paraId="01873C61">
      <w:pPr>
        <w:numPr>
          <w:ilvl w:val="0"/>
          <w:numId w:val="5"/>
        </w:numPr>
        <w:tabs>
          <w:tab w:val="clear" w:pos="420"/>
        </w:tabs>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"https://www.researchgate.net/publication/227372542_Cost_and_Profit_Efficiencies_of_Australian_Banks_and_the_Impact_of_the_Global_Financial_Crisis" </w:instrText>
      </w:r>
      <w:r>
        <w:rPr>
          <w:rFonts w:hint="default" w:ascii="Times New Roman" w:hAnsi="Times New Roman"/>
          <w:sz w:val="24"/>
          <w:szCs w:val="24"/>
          <w:lang w:val="en-US"/>
        </w:rPr>
        <w:fldChar w:fldCharType="separate"/>
      </w:r>
      <w:r>
        <w:rPr>
          <w:rFonts w:hint="default" w:ascii="Times New Roman" w:hAnsi="Times New Roman"/>
          <w:sz w:val="24"/>
          <w:szCs w:val="24"/>
          <w:lang w:val="en-US"/>
        </w:rPr>
        <w:t>https://www.researchgate.net/publication/227372542_Cost_and_Profit_Efficiencies_of_Australian_Banks_and_the_Impact_of_the_Global_Financial_Crisis</w:t>
      </w:r>
      <w:r>
        <w:rPr>
          <w:rFonts w:hint="default" w:ascii="Times New Roman" w:hAnsi="Times New Roman"/>
          <w:sz w:val="24"/>
          <w:szCs w:val="24"/>
          <w:lang w:val="en-US"/>
        </w:rPr>
        <w:fldChar w:fldCharType="end"/>
      </w:r>
      <w:r>
        <w:rPr>
          <w:rFonts w:hint="default" w:ascii="Times New Roman" w:hAnsi="Times New Roman"/>
          <w:sz w:val="24"/>
          <w:szCs w:val="24"/>
          <w:lang w:val="ro-RO"/>
        </w:rPr>
        <w:t xml:space="preserve">  </w:t>
      </w:r>
    </w:p>
    <w:p w14:paraId="425EEFCD">
      <w:pPr>
        <w:numPr>
          <w:ilvl w:val="0"/>
          <w:numId w:val="0"/>
        </w:numPr>
        <w:ind w:leftChars="0"/>
        <w:jc w:val="both"/>
        <w:rPr>
          <w:rFonts w:hint="default" w:ascii="Times New Roman" w:hAnsi="Times New Roman"/>
          <w:sz w:val="24"/>
          <w:szCs w:val="24"/>
          <w:lang w:val="en-US"/>
        </w:rPr>
      </w:pPr>
    </w:p>
    <w:p w14:paraId="5809BC00">
      <w:pPr>
        <w:numPr>
          <w:ilvl w:val="0"/>
          <w:numId w:val="0"/>
        </w:numPr>
        <w:ind w:leftChars="0"/>
        <w:jc w:val="both"/>
        <w:rPr>
          <w:rFonts w:hint="default" w:ascii="Times New Roman" w:hAnsi="Times New Roman"/>
          <w:sz w:val="28"/>
          <w:szCs w:val="28"/>
          <w:lang w:val="en-US"/>
        </w:rPr>
      </w:pPr>
    </w:p>
    <w:p w14:paraId="192CC68B">
      <w:pPr>
        <w:numPr>
          <w:ilvl w:val="0"/>
          <w:numId w:val="0"/>
        </w:numPr>
        <w:ind w:leftChars="0"/>
        <w:jc w:val="both"/>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261610" cy="2923540"/>
            <wp:effectExtent l="0" t="0" r="15240" b="10160"/>
            <wp:docPr id="1" name="Picture 1" descr="Financial and insurance services, Chain volum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nancial and insurance services, Chain volume measures"/>
                    <pic:cNvPicPr>
                      <a:picLocks noChangeAspect="1"/>
                    </pic:cNvPicPr>
                  </pic:nvPicPr>
                  <pic:blipFill>
                    <a:blip r:embed="rId4"/>
                    <a:stretch>
                      <a:fillRect/>
                    </a:stretch>
                  </pic:blipFill>
                  <pic:spPr>
                    <a:xfrm>
                      <a:off x="0" y="0"/>
                      <a:ext cx="5261610" cy="2923540"/>
                    </a:xfrm>
                    <a:prstGeom prst="rect">
                      <a:avLst/>
                    </a:prstGeom>
                  </pic:spPr>
                </pic:pic>
              </a:graphicData>
            </a:graphic>
          </wp:inline>
        </w:drawing>
      </w:r>
    </w:p>
    <w:p w14:paraId="209F67AF">
      <w:pPr>
        <w:numPr>
          <w:ilvl w:val="0"/>
          <w:numId w:val="0"/>
        </w:numPr>
        <w:ind w:leftChars="0"/>
        <w:jc w:val="both"/>
      </w:pPr>
    </w:p>
    <w:p w14:paraId="3EAE5C82">
      <w:pPr>
        <w:numPr>
          <w:ilvl w:val="0"/>
          <w:numId w:val="0"/>
        </w:numPr>
        <w:ind w:leftChars="0"/>
        <w:jc w:val="both"/>
      </w:pPr>
      <w:r>
        <w:drawing>
          <wp:inline distT="0" distB="0" distL="114300" distR="114300">
            <wp:extent cx="5270500" cy="2734310"/>
            <wp:effectExtent l="0" t="0" r="635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0500" cy="2734310"/>
                    </a:xfrm>
                    <a:prstGeom prst="rect">
                      <a:avLst/>
                    </a:prstGeom>
                    <a:noFill/>
                    <a:ln>
                      <a:noFill/>
                    </a:ln>
                  </pic:spPr>
                </pic:pic>
              </a:graphicData>
            </a:graphic>
          </wp:inline>
        </w:drawing>
      </w:r>
    </w:p>
    <w:p w14:paraId="56A0EE03">
      <w:pPr>
        <w:numPr>
          <w:ilvl w:val="0"/>
          <w:numId w:val="0"/>
        </w:numPr>
        <w:ind w:leftChars="0"/>
        <w:jc w:val="both"/>
        <w:rPr>
          <w:rFonts w:hint="default"/>
          <w:lang w:val="en-US"/>
        </w:rPr>
      </w:pPr>
      <w:r>
        <w:rPr>
          <w:rFonts w:hint="default"/>
          <w:lang w:val="en-US"/>
        </w:rPr>
        <w:t xml:space="preserve"> </w:t>
      </w:r>
    </w:p>
    <w:p w14:paraId="62703515">
      <w:pPr>
        <w:numPr>
          <w:ilvl w:val="0"/>
          <w:numId w:val="1"/>
        </w:numPr>
        <w:ind w:left="0" w:leftChars="0" w:firstLine="0" w:firstLineChars="0"/>
        <w:jc w:val="both"/>
        <w:rPr>
          <w:rFonts w:hint="default"/>
          <w:b/>
          <w:bCs/>
          <w:i/>
          <w:iCs/>
          <w:sz w:val="32"/>
          <w:szCs w:val="32"/>
          <w:lang w:val="en-US"/>
        </w:rPr>
      </w:pPr>
      <w:r>
        <w:rPr>
          <w:rFonts w:hint="default"/>
          <w:b/>
          <w:bCs/>
          <w:i/>
          <w:iCs/>
          <w:sz w:val="32"/>
          <w:szCs w:val="32"/>
          <w:lang w:val="en-US"/>
        </w:rPr>
        <w:t xml:space="preserve"> Indicele de concentrare bancară IHH calculat la nivel de țara in Australia</w:t>
      </w:r>
    </w:p>
    <w:p w14:paraId="7A90A972">
      <w:pPr>
        <w:pStyle w:val="10"/>
        <w:keepNext w:val="0"/>
        <w:keepLines w:val="0"/>
        <w:widowControl/>
        <w:suppressLineNumbers w:val="0"/>
        <w:ind w:firstLine="280" w:firstLineChars="100"/>
        <w:jc w:val="both"/>
        <w:rPr>
          <w:sz w:val="28"/>
          <w:szCs w:val="28"/>
        </w:rPr>
      </w:pPr>
      <w:r>
        <w:rPr>
          <w:sz w:val="28"/>
          <w:szCs w:val="28"/>
        </w:rPr>
        <w:t>Indicele Herfindahl-Hirschman (IHH) este un indicator utilizat pentru a măsura gradul de concentrare pe piața bancară, oferind informații despre nivelul de concurență și potențialele riscuri sistemice. Valori mai mari ale IHH indică o piață mai concentrată, cu un număr redus de instituții dominante, în timp ce valori mai mici sugerează o concurență mai intensă între bănci.</w:t>
      </w:r>
    </w:p>
    <w:p w14:paraId="153F4CD4">
      <w:pPr>
        <w:pStyle w:val="10"/>
        <w:keepNext w:val="0"/>
        <w:keepLines w:val="0"/>
        <w:widowControl/>
        <w:suppressLineNumbers w:val="0"/>
        <w:ind w:firstLine="280" w:firstLineChars="100"/>
        <w:jc w:val="both"/>
        <w:rPr>
          <w:sz w:val="28"/>
          <w:szCs w:val="28"/>
        </w:rPr>
      </w:pPr>
      <w:r>
        <w:rPr>
          <w:sz w:val="28"/>
          <w:szCs w:val="28"/>
        </w:rPr>
        <w:t>În Australia, piața bancară este dominată de patru mari instituții financiare: Commonwealth Bank, Westpac, ANZ și NAB. Această structură oligopolistică se reflectă în valorile ridicate ale IHH. De exemplu, în 2017, IHH pentru piața bancară australiană era de aproximativ 1.800 de puncte, indicând o concentrare moderată spre ridicată.</w:t>
      </w:r>
    </w:p>
    <w:p w14:paraId="0153BB08">
      <w:pPr>
        <w:pStyle w:val="10"/>
        <w:keepNext w:val="0"/>
        <w:keepLines w:val="0"/>
        <w:widowControl/>
        <w:suppressLineNumbers w:val="0"/>
        <w:ind w:firstLine="280" w:firstLineChars="100"/>
        <w:jc w:val="both"/>
        <w:rPr>
          <w:sz w:val="28"/>
          <w:szCs w:val="28"/>
        </w:rPr>
      </w:pPr>
      <w:r>
        <w:rPr>
          <w:sz w:val="28"/>
          <w:szCs w:val="28"/>
        </w:rPr>
        <w:t>În perioada 2015-2023, piața bancară australiană a cunoscut o serie de schimbări semnificative. În 2018, Comisia Regală pentru Sectorul Bancar a dezvăluit practici necorespunzătoare în rândul marilor bănci, ceea ce a dus la creșterea supravegherii și la implementarea unor reglementări mai stricte. Aceste măsuri au avut ca efect stimularea concurenței, permițând băncilor mai mici și instituțiilor financiare nebancare să își extindă cota de piață.</w:t>
      </w:r>
    </w:p>
    <w:p w14:paraId="4DA7B86D">
      <w:pPr>
        <w:pStyle w:val="10"/>
        <w:keepNext w:val="0"/>
        <w:keepLines w:val="0"/>
        <w:widowControl/>
        <w:suppressLineNumbers w:val="0"/>
        <w:ind w:firstLine="280" w:firstLineChars="100"/>
        <w:jc w:val="both"/>
        <w:rPr>
          <w:sz w:val="28"/>
          <w:szCs w:val="28"/>
        </w:rPr>
      </w:pPr>
      <w:r>
        <w:rPr>
          <w:sz w:val="28"/>
          <w:szCs w:val="28"/>
        </w:rPr>
        <w:t>Ca urmare, IHH a înregistrat o ușoară scădere în anii următori, ajungând la aproximativ 1.750 de puncte în 2020. Pandemia de COVID-19 a avut un impact semnificativ asupra economiei australiene, inclusiv asupra sectorului bancar. Deși băncile majore au continuat să domine piața, instituțiile financiare mai mici au reușit să își mențină sau chiar să își crească cota de piață, datorită adaptabilității și inovațiilor în serviciile digitale.</w:t>
      </w:r>
    </w:p>
    <w:p w14:paraId="4473AAA3">
      <w:pPr>
        <w:pStyle w:val="10"/>
        <w:keepNext w:val="0"/>
        <w:keepLines w:val="0"/>
        <w:widowControl/>
        <w:suppressLineNumbers w:val="0"/>
        <w:ind w:firstLine="280" w:firstLineChars="100"/>
        <w:jc w:val="both"/>
        <w:rPr>
          <w:sz w:val="28"/>
          <w:szCs w:val="28"/>
        </w:rPr>
      </w:pPr>
      <w:r>
        <w:rPr>
          <w:sz w:val="28"/>
          <w:szCs w:val="28"/>
        </w:rPr>
        <w:t>În 2023, IHH pentru piața bancară australiană a fost estimat la aproximativ 1.700 de puncte, sugerând o concentrare moderată și o ușoară creștere a concurenței față de anii precedenți. Această evoluție reflectă eforturile autorităților de reglementare de a promova un mediu competitiv și de a încuraja diversificarea serviciilor financiare.</w:t>
      </w:r>
    </w:p>
    <w:p w14:paraId="5882BCFB">
      <w:pPr>
        <w:pStyle w:val="10"/>
        <w:keepNext w:val="0"/>
        <w:keepLines w:val="0"/>
        <w:widowControl/>
        <w:suppressLineNumbers w:val="0"/>
        <w:ind w:firstLine="280" w:firstLineChars="100"/>
        <w:jc w:val="both"/>
        <w:rPr>
          <w:sz w:val="28"/>
          <w:szCs w:val="28"/>
        </w:rPr>
      </w:pPr>
      <w:r>
        <w:rPr>
          <w:sz w:val="28"/>
          <w:szCs w:val="28"/>
        </w:rPr>
        <w:t>În concluzie, între 2015 și 2023, piața bancară australiană a trecut printr-o tranziție de la o structură puternic concentrată către una cu o concurență mai accentuată. Deși marile bănci continuă să joace un rol dominant, creșterea prezenței instituțiilor financiare mai mici și a furnizorilor de servicii financiare tehnologice a contribuit la reducerea ușoară a indicelui IHH, indicând o piață mai competitivă și diversificată.</w:t>
      </w:r>
    </w:p>
    <w:p w14:paraId="774FB104">
      <w:pPr>
        <w:pStyle w:val="10"/>
        <w:keepNext w:val="0"/>
        <w:keepLines w:val="0"/>
        <w:widowControl/>
        <w:suppressLineNumbers w:val="0"/>
        <w:ind w:firstLine="280" w:firstLineChars="100"/>
        <w:jc w:val="both"/>
        <w:rPr>
          <w:rFonts w:hint="default"/>
          <w:sz w:val="28"/>
          <w:szCs w:val="28"/>
          <w:lang w:val="en-US"/>
        </w:rPr>
      </w:pPr>
      <w:r>
        <w:rPr>
          <w:rFonts w:hint="default"/>
          <w:sz w:val="28"/>
          <w:szCs w:val="28"/>
          <w:lang w:val="en-US"/>
        </w:rPr>
        <w:t xml:space="preserve">Sursele folosite </w:t>
      </w:r>
      <w:r>
        <w:rPr>
          <w:rFonts w:hint="default"/>
          <w:sz w:val="28"/>
          <w:szCs w:val="28"/>
          <w:lang w:val="ro-RO"/>
        </w:rPr>
        <w:t>în colectarea informațiilor</w:t>
      </w:r>
      <w:r>
        <w:rPr>
          <w:rFonts w:hint="default"/>
          <w:sz w:val="28"/>
          <w:szCs w:val="28"/>
          <w:lang w:val="en-US"/>
        </w:rPr>
        <w:t>:</w:t>
      </w:r>
    </w:p>
    <w:p w14:paraId="130D160A">
      <w:pPr>
        <w:pStyle w:val="10"/>
        <w:keepNext w:val="0"/>
        <w:keepLines w:val="0"/>
        <w:widowControl/>
        <w:numPr>
          <w:ilvl w:val="0"/>
          <w:numId w:val="6"/>
        </w:numPr>
        <w:suppressLineNumbers w:val="0"/>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"https://assets.kpmg.com/content/dam/kpmg/ro/pdf/2023/al-patrulea-val.pdf" </w:instrText>
      </w:r>
      <w:r>
        <w:rPr>
          <w:rFonts w:hint="default" w:ascii="Times New Roman" w:hAnsi="Times New Roman" w:cs="Times New Roman"/>
          <w:sz w:val="24"/>
          <w:szCs w:val="24"/>
          <w:lang w:val="en-US"/>
        </w:rPr>
        <w:fldChar w:fldCharType="separate"/>
      </w:r>
      <w:r>
        <w:rPr>
          <w:rStyle w:val="9"/>
          <w:rFonts w:hint="default" w:ascii="Times New Roman" w:hAnsi="Times New Roman" w:cs="Times New Roman"/>
          <w:sz w:val="24"/>
          <w:szCs w:val="24"/>
          <w:lang w:val="en-US"/>
        </w:rPr>
        <w:t>https://assets.kpmg.com/content/dam/kpmg/ro/pdf/2023/al-patrulea-val.pdf</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14:paraId="2C0B6FB3">
      <w:pPr>
        <w:numPr>
          <w:ilvl w:val="0"/>
          <w:numId w:val="6"/>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"https://wits.worldbank.org/CountryProfile/en/Country/AUS/Year/2022" </w:instrText>
      </w:r>
      <w:r>
        <w:rPr>
          <w:rFonts w:hint="default" w:ascii="Times New Roman" w:hAnsi="Times New Roman" w:cs="Times New Roman"/>
          <w:sz w:val="24"/>
          <w:szCs w:val="24"/>
          <w:lang w:val="en-US"/>
        </w:rPr>
        <w:fldChar w:fldCharType="separate"/>
      </w:r>
      <w:r>
        <w:rPr>
          <w:rStyle w:val="9"/>
          <w:rFonts w:hint="default" w:ascii="Times New Roman" w:hAnsi="Times New Roman" w:cs="Times New Roman"/>
          <w:sz w:val="24"/>
          <w:szCs w:val="24"/>
          <w:lang w:val="en-US"/>
        </w:rPr>
        <w:t>https://wits.worldbank.org/CountryProfile/en/Country/AUS/Year/2022</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14:paraId="2B89CCB4">
      <w:pPr>
        <w:numPr>
          <w:ilvl w:val="0"/>
          <w:numId w:val="6"/>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"https://www.rba.gov.au/publications/rdp/2023/2023-02/how-concentrated-are-australian-markets.html" </w:instrText>
      </w:r>
      <w:r>
        <w:rPr>
          <w:rFonts w:hint="default" w:ascii="Times New Roman" w:hAnsi="Times New Roman" w:cs="Times New Roman"/>
          <w:sz w:val="24"/>
          <w:szCs w:val="24"/>
          <w:lang w:val="en-US"/>
        </w:rPr>
        <w:fldChar w:fldCharType="separate"/>
      </w:r>
      <w:r>
        <w:rPr>
          <w:rStyle w:val="9"/>
          <w:rFonts w:hint="default" w:ascii="Times New Roman" w:hAnsi="Times New Roman" w:cs="Times New Roman"/>
          <w:sz w:val="24"/>
          <w:szCs w:val="24"/>
          <w:lang w:val="en-US"/>
        </w:rPr>
        <w:t>https://www.rba.gov.au/publications/rdp/2023/2023-02/how-concentrated-are-australian-markets.html</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14:paraId="4599A214">
      <w:pPr>
        <w:numPr>
          <w:ilvl w:val="0"/>
          <w:numId w:val="0"/>
        </w:numPr>
        <w:ind w:leftChars="0"/>
        <w:jc w:val="both"/>
        <w:rPr>
          <w:rFonts w:hint="default" w:ascii="Times New Roman" w:hAnsi="Times New Roman" w:cs="Times New Roman"/>
          <w:sz w:val="24"/>
          <w:szCs w:val="24"/>
          <w:lang w:val="en-US"/>
        </w:rPr>
      </w:pPr>
    </w:p>
    <w:p w14:paraId="7B74DBF0">
      <w:pPr>
        <w:numPr>
          <w:ilvl w:val="0"/>
          <w:numId w:val="0"/>
        </w:numPr>
        <w:ind w:leftChars="0"/>
        <w:jc w:val="both"/>
        <w:rPr>
          <w:rFonts w:hint="default" w:ascii="Times New Roman" w:hAnsi="Times New Roman" w:cs="Times New Roman"/>
          <w:sz w:val="24"/>
          <w:szCs w:val="24"/>
          <w:lang w:val="en-US"/>
        </w:rPr>
      </w:pPr>
    </w:p>
    <w:p w14:paraId="174573AB">
      <w:pPr>
        <w:numPr>
          <w:ilvl w:val="0"/>
          <w:numId w:val="0"/>
        </w:numPr>
        <w:ind w:leftChars="0"/>
        <w:jc w:val="center"/>
        <w:rPr>
          <w:rFonts w:hint="default"/>
          <w:lang w:val="en-US"/>
        </w:rPr>
      </w:pPr>
      <w:r>
        <w:rPr>
          <w:rFonts w:hint="default"/>
          <w:lang w:val="en-US"/>
        </w:rPr>
        <w:drawing>
          <wp:inline distT="0" distB="0" distL="114300" distR="114300">
            <wp:extent cx="3752850" cy="3810000"/>
            <wp:effectExtent l="0" t="0" r="0" b="0"/>
            <wp:docPr id="3" name="Picture 3" descr="HH Market concentratio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H Market concentration index"/>
                    <pic:cNvPicPr>
                      <a:picLocks noChangeAspect="1"/>
                    </pic:cNvPicPr>
                  </pic:nvPicPr>
                  <pic:blipFill>
                    <a:blip r:embed="rId6"/>
                    <a:stretch>
                      <a:fillRect/>
                    </a:stretch>
                  </pic:blipFill>
                  <pic:spPr>
                    <a:xfrm>
                      <a:off x="0" y="0"/>
                      <a:ext cx="3752850" cy="3810000"/>
                    </a:xfrm>
                    <a:prstGeom prst="rect">
                      <a:avLst/>
                    </a:prstGeom>
                  </pic:spPr>
                </pic:pic>
              </a:graphicData>
            </a:graphic>
          </wp:inline>
        </w:drawing>
      </w:r>
    </w:p>
    <w:p w14:paraId="1950DD3A">
      <w:pPr>
        <w:numPr>
          <w:ilvl w:val="0"/>
          <w:numId w:val="0"/>
        </w:numPr>
        <w:ind w:leftChars="0"/>
        <w:jc w:val="center"/>
      </w:pPr>
      <w:r>
        <w:drawing>
          <wp:inline distT="0" distB="0" distL="114300" distR="114300">
            <wp:extent cx="5267960" cy="1687195"/>
            <wp:effectExtent l="0" t="0" r="8890"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7960" cy="1687195"/>
                    </a:xfrm>
                    <a:prstGeom prst="rect">
                      <a:avLst/>
                    </a:prstGeom>
                    <a:noFill/>
                    <a:ln>
                      <a:noFill/>
                    </a:ln>
                  </pic:spPr>
                </pic:pic>
              </a:graphicData>
            </a:graphic>
          </wp:inline>
        </w:drawing>
      </w:r>
    </w:p>
    <w:p w14:paraId="06D3A419">
      <w:pPr>
        <w:numPr>
          <w:ilvl w:val="0"/>
          <w:numId w:val="0"/>
        </w:numPr>
        <w:ind w:leftChars="0"/>
        <w:jc w:val="center"/>
      </w:pPr>
      <w:r>
        <w:drawing>
          <wp:inline distT="0" distB="0" distL="114300" distR="114300">
            <wp:extent cx="5271770" cy="3152775"/>
            <wp:effectExtent l="0" t="0" r="508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271770" cy="3152775"/>
                    </a:xfrm>
                    <a:prstGeom prst="rect">
                      <a:avLst/>
                    </a:prstGeom>
                    <a:noFill/>
                    <a:ln>
                      <a:noFill/>
                    </a:ln>
                  </pic:spPr>
                </pic:pic>
              </a:graphicData>
            </a:graphic>
          </wp:inline>
        </w:drawing>
      </w:r>
    </w:p>
    <w:p w14:paraId="7E30B95E">
      <w:pPr>
        <w:numPr>
          <w:ilvl w:val="0"/>
          <w:numId w:val="0"/>
        </w:numPr>
        <w:ind w:leftChars="0"/>
        <w:jc w:val="both"/>
        <w:rPr>
          <w:rFonts w:hint="default"/>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
        <w:gridCol w:w="847"/>
        <w:gridCol w:w="838"/>
        <w:gridCol w:w="847"/>
        <w:gridCol w:w="847"/>
        <w:gridCol w:w="847"/>
        <w:gridCol w:w="847"/>
        <w:gridCol w:w="885"/>
        <w:gridCol w:w="885"/>
        <w:gridCol w:w="848"/>
      </w:tblGrid>
      <w:tr w14:paraId="16831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0359805D">
            <w:pPr>
              <w:widowControl w:val="0"/>
              <w:numPr>
                <w:ilvl w:val="0"/>
                <w:numId w:val="0"/>
              </w:numPr>
              <w:jc w:val="center"/>
              <w:rPr>
                <w:rFonts w:hint="default"/>
                <w:vertAlign w:val="baseline"/>
                <w:lang w:val="en-US"/>
              </w:rPr>
            </w:pPr>
            <w:r>
              <w:rPr>
                <w:rFonts w:hint="default"/>
                <w:vertAlign w:val="baseline"/>
                <w:lang w:val="en-US"/>
              </w:rPr>
              <w:t>An</w:t>
            </w:r>
          </w:p>
        </w:tc>
        <w:tc>
          <w:tcPr>
            <w:tcW w:w="852" w:type="dxa"/>
          </w:tcPr>
          <w:p w14:paraId="1972F208">
            <w:pPr>
              <w:widowControl w:val="0"/>
              <w:numPr>
                <w:ilvl w:val="0"/>
                <w:numId w:val="0"/>
              </w:numPr>
              <w:jc w:val="center"/>
              <w:rPr>
                <w:rFonts w:hint="default"/>
                <w:vertAlign w:val="baseline"/>
                <w:lang w:val="en-US"/>
              </w:rPr>
            </w:pPr>
            <w:r>
              <w:rPr>
                <w:rFonts w:hint="default"/>
                <w:vertAlign w:val="baseline"/>
                <w:lang w:val="en-US"/>
              </w:rPr>
              <w:t>2015</w:t>
            </w:r>
          </w:p>
        </w:tc>
        <w:tc>
          <w:tcPr>
            <w:tcW w:w="852" w:type="dxa"/>
          </w:tcPr>
          <w:p w14:paraId="763BD6F2">
            <w:pPr>
              <w:widowControl w:val="0"/>
              <w:numPr>
                <w:ilvl w:val="0"/>
                <w:numId w:val="0"/>
              </w:numPr>
              <w:jc w:val="center"/>
              <w:rPr>
                <w:rFonts w:hint="default"/>
                <w:vertAlign w:val="baseline"/>
                <w:lang w:val="en-US"/>
              </w:rPr>
            </w:pPr>
            <w:r>
              <w:rPr>
                <w:rFonts w:hint="default"/>
                <w:vertAlign w:val="baseline"/>
                <w:lang w:val="en-US"/>
              </w:rPr>
              <w:t>2016</w:t>
            </w:r>
          </w:p>
        </w:tc>
        <w:tc>
          <w:tcPr>
            <w:tcW w:w="852" w:type="dxa"/>
          </w:tcPr>
          <w:p w14:paraId="61711E1A">
            <w:pPr>
              <w:widowControl w:val="0"/>
              <w:numPr>
                <w:ilvl w:val="0"/>
                <w:numId w:val="0"/>
              </w:numPr>
              <w:jc w:val="center"/>
              <w:rPr>
                <w:rFonts w:hint="default"/>
                <w:vertAlign w:val="baseline"/>
                <w:lang w:val="en-US"/>
              </w:rPr>
            </w:pPr>
            <w:r>
              <w:rPr>
                <w:rFonts w:hint="default"/>
                <w:vertAlign w:val="baseline"/>
                <w:lang w:val="en-US"/>
              </w:rPr>
              <w:t>2017</w:t>
            </w:r>
          </w:p>
        </w:tc>
        <w:tc>
          <w:tcPr>
            <w:tcW w:w="852" w:type="dxa"/>
          </w:tcPr>
          <w:p w14:paraId="29B6AC67">
            <w:pPr>
              <w:widowControl w:val="0"/>
              <w:numPr>
                <w:ilvl w:val="0"/>
                <w:numId w:val="0"/>
              </w:numPr>
              <w:jc w:val="center"/>
              <w:rPr>
                <w:rFonts w:hint="default"/>
                <w:vertAlign w:val="baseline"/>
                <w:lang w:val="en-US"/>
              </w:rPr>
            </w:pPr>
            <w:r>
              <w:rPr>
                <w:rFonts w:hint="default"/>
                <w:vertAlign w:val="baseline"/>
                <w:lang w:val="en-US"/>
              </w:rPr>
              <w:t>2018</w:t>
            </w:r>
          </w:p>
        </w:tc>
        <w:tc>
          <w:tcPr>
            <w:tcW w:w="852" w:type="dxa"/>
          </w:tcPr>
          <w:p w14:paraId="3EB0A4CF">
            <w:pPr>
              <w:widowControl w:val="0"/>
              <w:numPr>
                <w:ilvl w:val="0"/>
                <w:numId w:val="0"/>
              </w:numPr>
              <w:jc w:val="center"/>
              <w:rPr>
                <w:rFonts w:hint="default"/>
                <w:vertAlign w:val="baseline"/>
                <w:lang w:val="en-US"/>
              </w:rPr>
            </w:pPr>
            <w:r>
              <w:rPr>
                <w:rFonts w:hint="default"/>
                <w:vertAlign w:val="baseline"/>
                <w:lang w:val="en-US"/>
              </w:rPr>
              <w:t>2019</w:t>
            </w:r>
          </w:p>
        </w:tc>
        <w:tc>
          <w:tcPr>
            <w:tcW w:w="852" w:type="dxa"/>
          </w:tcPr>
          <w:p w14:paraId="4D156C04">
            <w:pPr>
              <w:widowControl w:val="0"/>
              <w:numPr>
                <w:ilvl w:val="0"/>
                <w:numId w:val="0"/>
              </w:numPr>
              <w:jc w:val="center"/>
              <w:rPr>
                <w:rFonts w:hint="default"/>
                <w:vertAlign w:val="baseline"/>
                <w:lang w:val="en-US"/>
              </w:rPr>
            </w:pPr>
            <w:r>
              <w:rPr>
                <w:rFonts w:hint="default"/>
                <w:vertAlign w:val="baseline"/>
                <w:lang w:val="en-US"/>
              </w:rPr>
              <w:t>2020</w:t>
            </w:r>
          </w:p>
        </w:tc>
        <w:tc>
          <w:tcPr>
            <w:tcW w:w="852" w:type="dxa"/>
          </w:tcPr>
          <w:p w14:paraId="2E26AE63">
            <w:pPr>
              <w:widowControl w:val="0"/>
              <w:numPr>
                <w:ilvl w:val="0"/>
                <w:numId w:val="0"/>
              </w:numPr>
              <w:jc w:val="center"/>
              <w:rPr>
                <w:rFonts w:hint="default"/>
                <w:vertAlign w:val="baseline"/>
                <w:lang w:val="en-US"/>
              </w:rPr>
            </w:pPr>
            <w:r>
              <w:rPr>
                <w:rFonts w:hint="default"/>
                <w:vertAlign w:val="baseline"/>
                <w:lang w:val="en-US"/>
              </w:rPr>
              <w:t>2021</w:t>
            </w:r>
          </w:p>
        </w:tc>
        <w:tc>
          <w:tcPr>
            <w:tcW w:w="853" w:type="dxa"/>
          </w:tcPr>
          <w:p w14:paraId="66F89A54">
            <w:pPr>
              <w:widowControl w:val="0"/>
              <w:numPr>
                <w:ilvl w:val="0"/>
                <w:numId w:val="0"/>
              </w:numPr>
              <w:jc w:val="center"/>
              <w:rPr>
                <w:rFonts w:hint="default"/>
                <w:vertAlign w:val="baseline"/>
                <w:lang w:val="en-US"/>
              </w:rPr>
            </w:pPr>
            <w:r>
              <w:rPr>
                <w:rFonts w:hint="default"/>
                <w:vertAlign w:val="baseline"/>
                <w:lang w:val="en-US"/>
              </w:rPr>
              <w:t>2022</w:t>
            </w:r>
          </w:p>
        </w:tc>
        <w:tc>
          <w:tcPr>
            <w:tcW w:w="853" w:type="dxa"/>
          </w:tcPr>
          <w:p w14:paraId="6BB8D7D5">
            <w:pPr>
              <w:widowControl w:val="0"/>
              <w:numPr>
                <w:ilvl w:val="0"/>
                <w:numId w:val="0"/>
              </w:numPr>
              <w:jc w:val="center"/>
              <w:rPr>
                <w:rFonts w:hint="default"/>
                <w:vertAlign w:val="baseline"/>
                <w:lang w:val="en-US"/>
              </w:rPr>
            </w:pPr>
            <w:r>
              <w:rPr>
                <w:rFonts w:hint="default"/>
                <w:vertAlign w:val="baseline"/>
                <w:lang w:val="en-US"/>
              </w:rPr>
              <w:t>2023</w:t>
            </w:r>
          </w:p>
        </w:tc>
      </w:tr>
      <w:tr w14:paraId="5B935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2B4C12A9">
            <w:pPr>
              <w:widowControl w:val="0"/>
              <w:numPr>
                <w:ilvl w:val="0"/>
                <w:numId w:val="0"/>
              </w:numPr>
              <w:jc w:val="center"/>
              <w:rPr>
                <w:rFonts w:hint="default"/>
                <w:vertAlign w:val="baseline"/>
                <w:lang w:val="en-US"/>
              </w:rPr>
            </w:pPr>
            <w:r>
              <w:rPr>
                <w:rFonts w:hint="default"/>
                <w:vertAlign w:val="baseline"/>
                <w:lang w:val="en-US"/>
              </w:rPr>
              <w:t>IHH</w:t>
            </w:r>
          </w:p>
        </w:tc>
        <w:tc>
          <w:tcPr>
            <w:tcW w:w="852" w:type="dxa"/>
          </w:tcPr>
          <w:p w14:paraId="4666B90B">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0,027</w:t>
            </w:r>
          </w:p>
        </w:tc>
        <w:tc>
          <w:tcPr>
            <w:tcW w:w="852" w:type="dxa"/>
          </w:tcPr>
          <w:p w14:paraId="5B4C718E">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0,1</w:t>
            </w:r>
          </w:p>
        </w:tc>
        <w:tc>
          <w:tcPr>
            <w:tcW w:w="852" w:type="dxa"/>
          </w:tcPr>
          <w:p w14:paraId="558BFB15">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0,036</w:t>
            </w:r>
          </w:p>
        </w:tc>
        <w:tc>
          <w:tcPr>
            <w:tcW w:w="852" w:type="dxa"/>
          </w:tcPr>
          <w:p w14:paraId="6DC1F771">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0,055</w:t>
            </w:r>
          </w:p>
        </w:tc>
        <w:tc>
          <w:tcPr>
            <w:tcW w:w="852" w:type="dxa"/>
          </w:tcPr>
          <w:p w14:paraId="6DCC8FB0">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0,015</w:t>
            </w:r>
          </w:p>
        </w:tc>
        <w:tc>
          <w:tcPr>
            <w:tcW w:w="852" w:type="dxa"/>
          </w:tcPr>
          <w:p w14:paraId="11A4A6DE">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0,048</w:t>
            </w:r>
          </w:p>
        </w:tc>
        <w:tc>
          <w:tcPr>
            <w:tcW w:w="852" w:type="dxa"/>
          </w:tcPr>
          <w:p w14:paraId="4DF33075">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0,0239</w:t>
            </w:r>
          </w:p>
        </w:tc>
        <w:tc>
          <w:tcPr>
            <w:tcW w:w="853" w:type="dxa"/>
          </w:tcPr>
          <w:p w14:paraId="7F12A486">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0,1246</w:t>
            </w:r>
          </w:p>
        </w:tc>
        <w:tc>
          <w:tcPr>
            <w:tcW w:w="853" w:type="dxa"/>
          </w:tcPr>
          <w:p w14:paraId="6E9AEAD3">
            <w:pPr>
              <w:widowControl w:val="0"/>
              <w:numPr>
                <w:ilvl w:val="0"/>
                <w:numId w:val="0"/>
              </w:numPr>
              <w:jc w:val="center"/>
              <w:rPr>
                <w:rFonts w:hint="default"/>
                <w:vertAlign w:val="baseline"/>
                <w:lang w:val="en-US"/>
              </w:rPr>
            </w:pPr>
            <w:r>
              <w:rPr>
                <w:rFonts w:hint="default" w:ascii="Calibri" w:hAnsi="Calibri" w:eastAsia="SimSun" w:cs="Calibri"/>
                <w:i w:val="0"/>
                <w:iCs w:val="0"/>
                <w:color w:val="000000"/>
                <w:kern w:val="0"/>
                <w:sz w:val="24"/>
                <w:szCs w:val="24"/>
                <w:u w:val="none"/>
                <w:lang w:val="en-US" w:eastAsia="zh-CN" w:bidi="ar"/>
              </w:rPr>
              <w:t>0,037</w:t>
            </w:r>
          </w:p>
        </w:tc>
      </w:tr>
    </w:tbl>
    <w:p w14:paraId="400848FD">
      <w:pPr>
        <w:numPr>
          <w:ilvl w:val="0"/>
          <w:numId w:val="0"/>
        </w:numPr>
        <w:ind w:leftChars="0"/>
        <w:jc w:val="both"/>
        <w:rPr>
          <w:rFonts w:hint="default" w:ascii="Times New Roman" w:hAnsi="Times New Roman" w:cs="Times New Roman"/>
          <w:b/>
          <w:bCs/>
          <w:i/>
          <w:iCs/>
          <w:sz w:val="32"/>
          <w:szCs w:val="32"/>
          <w:lang w:val="en-US"/>
        </w:rPr>
      </w:pPr>
    </w:p>
    <w:p w14:paraId="3FDF2992">
      <w:pPr>
        <w:numPr>
          <w:ilvl w:val="0"/>
          <w:numId w:val="1"/>
        </w:numPr>
        <w:ind w:left="0" w:leftChars="0" w:firstLine="0" w:firstLineChars="0"/>
        <w:jc w:val="both"/>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Testarea staționarității seriilor de date si a matricei de corelație a variabilelor explicative</w:t>
      </w:r>
    </w:p>
    <w:p w14:paraId="6FA23A8F">
      <w:pPr>
        <w:numPr>
          <w:ilvl w:val="0"/>
          <w:numId w:val="0"/>
        </w:numPr>
        <w:ind w:leftChars="0"/>
        <w:jc w:val="both"/>
        <w:rPr>
          <w:rFonts w:hint="default" w:ascii="Times New Roman" w:hAnsi="Times New Roman"/>
          <w:b w:val="0"/>
          <w:bCs w:val="0"/>
          <w:i w:val="0"/>
          <w:iCs w:val="0"/>
          <w:sz w:val="28"/>
          <w:szCs w:val="28"/>
          <w:lang w:val="en-US"/>
        </w:rPr>
      </w:pPr>
    </w:p>
    <w:p w14:paraId="774A58ED">
      <w:pPr>
        <w:numPr>
          <w:ilvl w:val="0"/>
          <w:numId w:val="0"/>
        </w:numPr>
        <w:ind w:leftChars="0"/>
        <w:jc w:val="both"/>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Rezultatele testelor de staționaritate pentru seriile temporale includ statistici pentru testele ADF (Dickey-Fuller Augmentat) și KPSS:</w:t>
      </w:r>
    </w:p>
    <w:p w14:paraId="4E9742FC">
      <w:pPr>
        <w:numPr>
          <w:ilvl w:val="0"/>
          <w:numId w:val="0"/>
        </w:numPr>
        <w:ind w:leftChars="0"/>
        <w:jc w:val="both"/>
        <w:rPr>
          <w:rFonts w:hint="default" w:ascii="Times New Roman" w:hAnsi="Times New Roman"/>
          <w:b w:val="0"/>
          <w:bCs w:val="0"/>
          <w:i w:val="0"/>
          <w:iCs w:val="0"/>
          <w:sz w:val="28"/>
          <w:szCs w:val="28"/>
          <w:lang w:val="en-US"/>
        </w:rPr>
      </w:pPr>
    </w:p>
    <w:tbl>
      <w:tblPr>
        <w:tblStyle w:val="12"/>
        <w:tblW w:w="90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3"/>
        <w:gridCol w:w="1628"/>
        <w:gridCol w:w="1995"/>
        <w:gridCol w:w="1822"/>
        <w:gridCol w:w="2049"/>
      </w:tblGrid>
      <w:tr w14:paraId="28CA0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3" w:type="dxa"/>
          </w:tcPr>
          <w:p w14:paraId="73A9171C">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eastAsia="SimSun" w:cs="Times New Roman"/>
                <w:b/>
                <w:bCs/>
                <w:i w:val="0"/>
                <w:iCs w:val="0"/>
                <w:sz w:val="24"/>
                <w:szCs w:val="24"/>
              </w:rPr>
              <w:t>Coloană</w:t>
            </w:r>
          </w:p>
        </w:tc>
        <w:tc>
          <w:tcPr>
            <w:tcW w:w="1628" w:type="dxa"/>
          </w:tcPr>
          <w:p w14:paraId="553D7A8B">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eastAsia="SimSun" w:cs="Times New Roman"/>
                <w:b/>
                <w:bCs/>
                <w:i w:val="0"/>
                <w:iCs w:val="0"/>
                <w:sz w:val="24"/>
                <w:szCs w:val="24"/>
              </w:rPr>
              <w:t>ADF Statistic</w:t>
            </w:r>
          </w:p>
        </w:tc>
        <w:tc>
          <w:tcPr>
            <w:tcW w:w="1995" w:type="dxa"/>
          </w:tcPr>
          <w:p w14:paraId="1D1AEEE8">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eastAsia="SimSun" w:cs="Times New Roman"/>
                <w:b/>
                <w:bCs/>
                <w:i w:val="0"/>
                <w:iCs w:val="0"/>
                <w:sz w:val="24"/>
                <w:szCs w:val="24"/>
              </w:rPr>
              <w:t>ADF p-value</w:t>
            </w:r>
          </w:p>
        </w:tc>
        <w:tc>
          <w:tcPr>
            <w:tcW w:w="1822" w:type="dxa"/>
          </w:tcPr>
          <w:p w14:paraId="3C7AEF84">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eastAsia="SimSun" w:cs="Times New Roman"/>
                <w:b/>
                <w:bCs/>
                <w:i w:val="0"/>
                <w:iCs w:val="0"/>
                <w:sz w:val="24"/>
                <w:szCs w:val="24"/>
              </w:rPr>
              <w:t>KPSS Statistic</w:t>
            </w:r>
          </w:p>
        </w:tc>
        <w:tc>
          <w:tcPr>
            <w:tcW w:w="2049" w:type="dxa"/>
          </w:tcPr>
          <w:p w14:paraId="78612E3C">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KPSS p-value</w:t>
            </w:r>
          </w:p>
        </w:tc>
      </w:tr>
      <w:tr w14:paraId="36050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1E2F4D79">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Crt</w:t>
            </w:r>
          </w:p>
        </w:tc>
        <w:tc>
          <w:tcPr>
            <w:tcW w:w="1628" w:type="dxa"/>
          </w:tcPr>
          <w:p w14:paraId="072F8C35">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3.8287</w:t>
            </w:r>
          </w:p>
        </w:tc>
        <w:tc>
          <w:tcPr>
            <w:tcW w:w="1995" w:type="dxa"/>
          </w:tcPr>
          <w:p w14:paraId="17FC509E">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1.000</w:t>
            </w:r>
          </w:p>
        </w:tc>
        <w:tc>
          <w:tcPr>
            <w:tcW w:w="1822" w:type="dxa"/>
          </w:tcPr>
          <w:p w14:paraId="7AC8A5DD">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2.0259</w:t>
            </w:r>
          </w:p>
        </w:tc>
        <w:tc>
          <w:tcPr>
            <w:tcW w:w="2049" w:type="dxa"/>
          </w:tcPr>
          <w:p w14:paraId="5EB7CFCF">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0.010</w:t>
            </w:r>
          </w:p>
        </w:tc>
      </w:tr>
      <w:tr w14:paraId="00DBE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7D86A94C">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ROA</w:t>
            </w:r>
          </w:p>
        </w:tc>
        <w:tc>
          <w:tcPr>
            <w:tcW w:w="1628" w:type="dxa"/>
          </w:tcPr>
          <w:p w14:paraId="546AF8DE">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lang w:val="en-US"/>
              </w:rPr>
              <w:t>-</w:t>
            </w:r>
            <w:r>
              <w:rPr>
                <w:rFonts w:hint="default" w:ascii="Times New Roman" w:hAnsi="Times New Roman" w:eastAsia="SimSun" w:cs="Times New Roman"/>
                <w:b w:val="0"/>
                <w:bCs w:val="0"/>
                <w:i w:val="0"/>
                <w:iCs w:val="0"/>
                <w:sz w:val="24"/>
                <w:szCs w:val="24"/>
              </w:rPr>
              <w:t>0.2633</w:t>
            </w:r>
          </w:p>
        </w:tc>
        <w:tc>
          <w:tcPr>
            <w:tcW w:w="1995" w:type="dxa"/>
          </w:tcPr>
          <w:p w14:paraId="3A3EDA49">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0.9305</w:t>
            </w:r>
          </w:p>
        </w:tc>
        <w:tc>
          <w:tcPr>
            <w:tcW w:w="1822" w:type="dxa"/>
          </w:tcPr>
          <w:p w14:paraId="2E2C8F85">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1.2637</w:t>
            </w:r>
          </w:p>
        </w:tc>
        <w:tc>
          <w:tcPr>
            <w:tcW w:w="2049" w:type="dxa"/>
          </w:tcPr>
          <w:p w14:paraId="75B1AC8D">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0.010</w:t>
            </w:r>
          </w:p>
        </w:tc>
      </w:tr>
      <w:tr w14:paraId="6F1E8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4149B9A1">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ROE</w:t>
            </w:r>
          </w:p>
        </w:tc>
        <w:tc>
          <w:tcPr>
            <w:tcW w:w="1628" w:type="dxa"/>
          </w:tcPr>
          <w:p w14:paraId="0B7FE159">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-10.6459</w:t>
            </w:r>
          </w:p>
        </w:tc>
        <w:tc>
          <w:tcPr>
            <w:tcW w:w="1995" w:type="dxa"/>
          </w:tcPr>
          <w:p w14:paraId="586FE87C">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4.8019</w:t>
            </w:r>
          </w:p>
        </w:tc>
        <w:tc>
          <w:tcPr>
            <w:tcW w:w="1822" w:type="dxa"/>
          </w:tcPr>
          <w:p w14:paraId="113F74EE">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0.6826</w:t>
            </w:r>
          </w:p>
        </w:tc>
        <w:tc>
          <w:tcPr>
            <w:tcW w:w="2049" w:type="dxa"/>
          </w:tcPr>
          <w:p w14:paraId="691C4532">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0.0151</w:t>
            </w:r>
          </w:p>
        </w:tc>
      </w:tr>
      <w:tr w14:paraId="2BF04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5092AD85">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Assets</w:t>
            </w:r>
          </w:p>
        </w:tc>
        <w:tc>
          <w:tcPr>
            <w:tcW w:w="1628" w:type="dxa"/>
          </w:tcPr>
          <w:p w14:paraId="39966978">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-3.1918</w:t>
            </w:r>
          </w:p>
        </w:tc>
        <w:tc>
          <w:tcPr>
            <w:tcW w:w="1995" w:type="dxa"/>
          </w:tcPr>
          <w:p w14:paraId="7A942167">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0.0205</w:t>
            </w:r>
          </w:p>
        </w:tc>
        <w:tc>
          <w:tcPr>
            <w:tcW w:w="1822" w:type="dxa"/>
          </w:tcPr>
          <w:p w14:paraId="5608A64E">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1.4927</w:t>
            </w:r>
          </w:p>
        </w:tc>
        <w:tc>
          <w:tcPr>
            <w:tcW w:w="2049" w:type="dxa"/>
          </w:tcPr>
          <w:p w14:paraId="78009E5F">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0.010</w:t>
            </w:r>
          </w:p>
        </w:tc>
      </w:tr>
      <w:tr w14:paraId="56247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603" w:type="dxa"/>
          </w:tcPr>
          <w:p w14:paraId="1C7CF122">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Loans</w:t>
            </w:r>
          </w:p>
        </w:tc>
        <w:tc>
          <w:tcPr>
            <w:tcW w:w="1628" w:type="dxa"/>
          </w:tcPr>
          <w:p w14:paraId="1E90AE7B">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-2.2555</w:t>
            </w:r>
          </w:p>
        </w:tc>
        <w:tc>
          <w:tcPr>
            <w:tcW w:w="1995" w:type="dxa"/>
          </w:tcPr>
          <w:p w14:paraId="6CB4FF27">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0.1867</w:t>
            </w:r>
          </w:p>
        </w:tc>
        <w:tc>
          <w:tcPr>
            <w:tcW w:w="1822" w:type="dxa"/>
          </w:tcPr>
          <w:p w14:paraId="333BD8E8">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1.6385</w:t>
            </w:r>
          </w:p>
        </w:tc>
        <w:tc>
          <w:tcPr>
            <w:tcW w:w="2049" w:type="dxa"/>
          </w:tcPr>
          <w:p w14:paraId="57D542B8">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0.010</w:t>
            </w:r>
          </w:p>
        </w:tc>
      </w:tr>
      <w:tr w14:paraId="33441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4F6DCB64">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Deposits</w:t>
            </w:r>
          </w:p>
        </w:tc>
        <w:tc>
          <w:tcPr>
            <w:tcW w:w="1628" w:type="dxa"/>
          </w:tcPr>
          <w:p w14:paraId="15BAADDB">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-2.8178</w:t>
            </w:r>
          </w:p>
        </w:tc>
        <w:tc>
          <w:tcPr>
            <w:tcW w:w="1995" w:type="dxa"/>
          </w:tcPr>
          <w:p w14:paraId="602F9290">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0.0558</w:t>
            </w:r>
          </w:p>
        </w:tc>
        <w:tc>
          <w:tcPr>
            <w:tcW w:w="1822" w:type="dxa"/>
          </w:tcPr>
          <w:p w14:paraId="24334787">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0.8480</w:t>
            </w:r>
          </w:p>
        </w:tc>
        <w:tc>
          <w:tcPr>
            <w:tcW w:w="2049" w:type="dxa"/>
            <w:tcBorders>
              <w:top w:val="single" w:color="auto" w:sz="4" w:space="0"/>
              <w:left w:val="single" w:color="auto" w:sz="4" w:space="0"/>
              <w:bottom w:val="single" w:color="auto" w:sz="4" w:space="0"/>
              <w:right w:val="single" w:color="auto" w:sz="4" w:space="0"/>
            </w:tcBorders>
            <w:vAlign w:val="top"/>
          </w:tcPr>
          <w:p w14:paraId="3E1F2E72">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0.010</w:t>
            </w:r>
          </w:p>
        </w:tc>
      </w:tr>
      <w:tr w14:paraId="0C525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23DB945F">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LNS_to_DEP</w:t>
            </w:r>
          </w:p>
        </w:tc>
        <w:tc>
          <w:tcPr>
            <w:tcW w:w="1628" w:type="dxa"/>
          </w:tcPr>
          <w:p w14:paraId="03E1CDC3">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-2.3550</w:t>
            </w:r>
          </w:p>
        </w:tc>
        <w:tc>
          <w:tcPr>
            <w:tcW w:w="1995" w:type="dxa"/>
          </w:tcPr>
          <w:p w14:paraId="1DD0A85A">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0.1549</w:t>
            </w:r>
          </w:p>
        </w:tc>
        <w:tc>
          <w:tcPr>
            <w:tcW w:w="1822" w:type="dxa"/>
          </w:tcPr>
          <w:p w14:paraId="2BFDC6D9">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0.6018</w:t>
            </w:r>
          </w:p>
        </w:tc>
        <w:tc>
          <w:tcPr>
            <w:tcW w:w="2049" w:type="dxa"/>
            <w:tcBorders>
              <w:top w:val="single" w:color="auto" w:sz="4" w:space="0"/>
              <w:left w:val="single" w:color="auto" w:sz="4" w:space="0"/>
              <w:bottom w:val="single" w:color="auto" w:sz="4" w:space="0"/>
              <w:right w:val="single" w:color="auto" w:sz="4" w:space="0"/>
            </w:tcBorders>
            <w:vAlign w:val="top"/>
          </w:tcPr>
          <w:p w14:paraId="34401497">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lang w:val="en-US"/>
              </w:rPr>
              <w:t>0.0225</w:t>
            </w:r>
          </w:p>
        </w:tc>
      </w:tr>
      <w:tr w14:paraId="5169C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74C61FEF">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GDPg</w:t>
            </w:r>
          </w:p>
        </w:tc>
        <w:tc>
          <w:tcPr>
            <w:tcW w:w="1628" w:type="dxa"/>
          </w:tcPr>
          <w:p w14:paraId="0FC5FE46">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-1.186014</w:t>
            </w:r>
          </w:p>
        </w:tc>
        <w:tc>
          <w:tcPr>
            <w:tcW w:w="1995" w:type="dxa"/>
          </w:tcPr>
          <w:p w14:paraId="208723DB">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0.0000</w:t>
            </w:r>
          </w:p>
        </w:tc>
        <w:tc>
          <w:tcPr>
            <w:tcW w:w="1822" w:type="dxa"/>
          </w:tcPr>
          <w:p w14:paraId="2AD30295">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0.0974</w:t>
            </w:r>
          </w:p>
        </w:tc>
        <w:tc>
          <w:tcPr>
            <w:tcW w:w="2049" w:type="dxa"/>
          </w:tcPr>
          <w:p w14:paraId="1BB06238">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0.100</w:t>
            </w:r>
          </w:p>
        </w:tc>
      </w:tr>
      <w:tr w14:paraId="3677F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30B5DB46">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Inflatie</w:t>
            </w:r>
          </w:p>
        </w:tc>
        <w:tc>
          <w:tcPr>
            <w:tcW w:w="1628" w:type="dxa"/>
          </w:tcPr>
          <w:p w14:paraId="76AF17BB">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-3.498114</w:t>
            </w:r>
          </w:p>
        </w:tc>
        <w:tc>
          <w:tcPr>
            <w:tcW w:w="1995" w:type="dxa"/>
          </w:tcPr>
          <w:p w14:paraId="427D88C1">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0.0000</w:t>
            </w:r>
          </w:p>
        </w:tc>
        <w:tc>
          <w:tcPr>
            <w:tcW w:w="1822" w:type="dxa"/>
          </w:tcPr>
          <w:p w14:paraId="16022F8B">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0.1077</w:t>
            </w:r>
          </w:p>
        </w:tc>
        <w:tc>
          <w:tcPr>
            <w:tcW w:w="2049" w:type="dxa"/>
          </w:tcPr>
          <w:p w14:paraId="0AD0D798">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0.100</w:t>
            </w:r>
          </w:p>
        </w:tc>
      </w:tr>
      <w:tr w14:paraId="24B15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2F461456">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Somaj</w:t>
            </w:r>
          </w:p>
        </w:tc>
        <w:tc>
          <w:tcPr>
            <w:tcW w:w="1628" w:type="dxa"/>
          </w:tcPr>
          <w:p w14:paraId="48BB41C6">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-4.849514</w:t>
            </w:r>
          </w:p>
        </w:tc>
        <w:tc>
          <w:tcPr>
            <w:tcW w:w="1995" w:type="dxa"/>
          </w:tcPr>
          <w:p w14:paraId="60925C99">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0.0000</w:t>
            </w:r>
          </w:p>
        </w:tc>
        <w:tc>
          <w:tcPr>
            <w:tcW w:w="1822" w:type="dxa"/>
          </w:tcPr>
          <w:p w14:paraId="7A84C616">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eastAsia="SimSun" w:cs="Times New Roman"/>
                <w:b w:val="0"/>
                <w:bCs w:val="0"/>
                <w:i w:val="0"/>
                <w:iCs w:val="0"/>
                <w:sz w:val="24"/>
                <w:szCs w:val="24"/>
              </w:rPr>
              <w:t>0.0096</w:t>
            </w:r>
          </w:p>
        </w:tc>
        <w:tc>
          <w:tcPr>
            <w:tcW w:w="2049" w:type="dxa"/>
          </w:tcPr>
          <w:p w14:paraId="48EE3381">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0.100</w:t>
            </w:r>
          </w:p>
        </w:tc>
      </w:tr>
      <w:tr w14:paraId="279AD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14:paraId="3E4D5C6E">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IHH</w:t>
            </w:r>
          </w:p>
        </w:tc>
        <w:tc>
          <w:tcPr>
            <w:tcW w:w="1628" w:type="dxa"/>
          </w:tcPr>
          <w:p w14:paraId="351D31B2">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3.8982</w:t>
            </w:r>
          </w:p>
        </w:tc>
        <w:tc>
          <w:tcPr>
            <w:tcW w:w="1995" w:type="dxa"/>
          </w:tcPr>
          <w:p w14:paraId="6751910A">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1.0000</w:t>
            </w:r>
          </w:p>
        </w:tc>
        <w:tc>
          <w:tcPr>
            <w:tcW w:w="1822" w:type="dxa"/>
          </w:tcPr>
          <w:p w14:paraId="23A8F3D8">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1.8692</w:t>
            </w:r>
          </w:p>
        </w:tc>
        <w:tc>
          <w:tcPr>
            <w:tcW w:w="2049" w:type="dxa"/>
          </w:tcPr>
          <w:p w14:paraId="18438D3A">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0.010</w:t>
            </w:r>
          </w:p>
        </w:tc>
      </w:tr>
    </w:tbl>
    <w:p w14:paraId="2BF72B4C">
      <w:pPr>
        <w:numPr>
          <w:ilvl w:val="0"/>
          <w:numId w:val="0"/>
        </w:numPr>
        <w:ind w:leftChars="0"/>
        <w:jc w:val="both"/>
        <w:rPr>
          <w:rFonts w:hint="default" w:ascii="Times New Roman" w:hAnsi="Times New Roman" w:cs="Times New Roman"/>
          <w:b/>
          <w:bCs/>
          <w:i/>
          <w:iCs/>
          <w:sz w:val="32"/>
          <w:szCs w:val="32"/>
          <w:lang w:val="en-US"/>
        </w:rPr>
      </w:pPr>
    </w:p>
    <w:p w14:paraId="3E74BC8E">
      <w:pPr>
        <w:numPr>
          <w:ilvl w:val="0"/>
          <w:numId w:val="0"/>
        </w:numPr>
        <w:ind w:left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Interpretarea testelor:</w:t>
      </w:r>
    </w:p>
    <w:p w14:paraId="37DD3366">
      <w:pPr>
        <w:numPr>
          <w:ilvl w:val="0"/>
          <w:numId w:val="0"/>
        </w:numPr>
        <w:ind w:leftChars="0"/>
        <w:jc w:val="both"/>
        <w:rPr>
          <w:rFonts w:hint="default" w:ascii="Times New Roman" w:hAnsi="Times New Roman"/>
          <w:b w:val="0"/>
          <w:bCs w:val="0"/>
          <w:i w:val="0"/>
          <w:iCs w:val="0"/>
          <w:sz w:val="24"/>
          <w:szCs w:val="24"/>
          <w:lang w:val="en-US"/>
        </w:rPr>
      </w:pPr>
      <w:r>
        <w:rPr>
          <w:rFonts w:hint="default" w:ascii="Times New Roman" w:hAnsi="Times New Roman"/>
          <w:b/>
          <w:bCs/>
          <w:i/>
          <w:iCs/>
          <w:sz w:val="24"/>
          <w:szCs w:val="24"/>
          <w:lang w:val="en-US"/>
        </w:rPr>
        <w:t>ADF Test</w:t>
      </w:r>
      <w:r>
        <w:rPr>
          <w:rFonts w:hint="default" w:ascii="Times New Roman" w:hAnsi="Times New Roman"/>
          <w:b w:val="0"/>
          <w:bCs w:val="0"/>
          <w:i w:val="0"/>
          <w:iCs w:val="0"/>
          <w:sz w:val="24"/>
          <w:szCs w:val="24"/>
          <w:lang w:val="en-US"/>
        </w:rPr>
        <w:t xml:space="preserve"> (staționaritate pe baza trendului):</w:t>
      </w:r>
    </w:p>
    <w:p w14:paraId="4CE67667">
      <w:pPr>
        <w:numPr>
          <w:ilvl w:val="0"/>
          <w:numId w:val="0"/>
        </w:numPr>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Dacă p-valoarea este sub 0.05, seria este staționară.</w:t>
      </w:r>
    </w:p>
    <w:p w14:paraId="43C94896">
      <w:pPr>
        <w:numPr>
          <w:ilvl w:val="0"/>
          <w:numId w:val="0"/>
        </w:numPr>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Ex. Variabilele precum GDPg, Inflatie, și Somaj sunt staționare (p-valoare = 0.0000).</w:t>
      </w:r>
    </w:p>
    <w:p w14:paraId="28A17D12">
      <w:pPr>
        <w:numPr>
          <w:ilvl w:val="0"/>
          <w:numId w:val="0"/>
        </w:numPr>
        <w:ind w:leftChars="0"/>
        <w:jc w:val="both"/>
        <w:rPr>
          <w:rFonts w:hint="default" w:ascii="Times New Roman" w:hAnsi="Times New Roman"/>
          <w:b w:val="0"/>
          <w:bCs w:val="0"/>
          <w:i w:val="0"/>
          <w:iCs w:val="0"/>
          <w:sz w:val="24"/>
          <w:szCs w:val="24"/>
          <w:lang w:val="en-US"/>
        </w:rPr>
      </w:pPr>
    </w:p>
    <w:p w14:paraId="52B62623">
      <w:pPr>
        <w:numPr>
          <w:ilvl w:val="0"/>
          <w:numId w:val="0"/>
        </w:numPr>
        <w:ind w:leftChars="0"/>
        <w:jc w:val="both"/>
        <w:rPr>
          <w:rFonts w:hint="default" w:ascii="Times New Roman" w:hAnsi="Times New Roman"/>
          <w:b w:val="0"/>
          <w:bCs w:val="0"/>
          <w:i w:val="0"/>
          <w:iCs w:val="0"/>
          <w:sz w:val="24"/>
          <w:szCs w:val="24"/>
          <w:lang w:val="en-US"/>
        </w:rPr>
      </w:pPr>
      <w:r>
        <w:rPr>
          <w:rFonts w:hint="default" w:ascii="Times New Roman" w:hAnsi="Times New Roman"/>
          <w:b/>
          <w:bCs/>
          <w:i/>
          <w:iCs/>
          <w:sz w:val="24"/>
          <w:szCs w:val="24"/>
          <w:lang w:val="en-US"/>
        </w:rPr>
        <w:t>KPSS Test</w:t>
      </w:r>
      <w:r>
        <w:rPr>
          <w:rFonts w:hint="default" w:ascii="Times New Roman" w:hAnsi="Times New Roman"/>
          <w:b w:val="0"/>
          <w:bCs w:val="0"/>
          <w:i w:val="0"/>
          <w:iCs w:val="0"/>
          <w:sz w:val="24"/>
          <w:szCs w:val="24"/>
          <w:lang w:val="en-US"/>
        </w:rPr>
        <w:t xml:space="preserve"> (staționaritate pe baza nivelului):</w:t>
      </w:r>
    </w:p>
    <w:p w14:paraId="7DF05403">
      <w:pPr>
        <w:numPr>
          <w:ilvl w:val="0"/>
          <w:numId w:val="0"/>
        </w:numPr>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Dacă p-valoarea este sub 0.05, seria nu este staționară.</w:t>
      </w:r>
    </w:p>
    <w:p w14:paraId="04097531">
      <w:pPr>
        <w:numPr>
          <w:ilvl w:val="0"/>
          <w:numId w:val="0"/>
        </w:numPr>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Variabile precum Crt, Assets, și Loans sunt non-staționare conform testului KPSS.</w:t>
      </w:r>
    </w:p>
    <w:p w14:paraId="452BA46E">
      <w:pPr>
        <w:numPr>
          <w:ilvl w:val="0"/>
          <w:numId w:val="0"/>
        </w:numPr>
        <w:ind w:leftChars="0"/>
        <w:jc w:val="both"/>
        <w:rPr>
          <w:rFonts w:hint="default" w:ascii="Times New Roman" w:hAnsi="Times New Roman"/>
          <w:b w:val="0"/>
          <w:bCs w:val="0"/>
          <w:i w:val="0"/>
          <w:iCs w:val="0"/>
          <w:sz w:val="28"/>
          <w:szCs w:val="28"/>
          <w:lang w:val="en-US"/>
        </w:rPr>
      </w:pPr>
      <w:r>
        <w:rPr>
          <w:rFonts w:ascii="SimSun" w:hAnsi="SimSun" w:eastAsia="SimSun" w:cs="SimSun"/>
          <w:sz w:val="24"/>
          <w:szCs w:val="24"/>
        </w:rPr>
        <w:drawing>
          <wp:inline distT="0" distB="0" distL="114300" distR="114300">
            <wp:extent cx="5273675" cy="4030980"/>
            <wp:effectExtent l="0" t="0" r="14605" b="762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5273675" cy="4030980"/>
                    </a:xfrm>
                    <a:prstGeom prst="rect">
                      <a:avLst/>
                    </a:prstGeom>
                    <a:noFill/>
                    <a:ln w="9525">
                      <a:noFill/>
                    </a:ln>
                  </pic:spPr>
                </pic:pic>
              </a:graphicData>
            </a:graphic>
          </wp:inline>
        </w:drawing>
      </w:r>
    </w:p>
    <w:p w14:paraId="0CD2D449">
      <w:pPr>
        <w:pStyle w:val="10"/>
        <w:keepNext w:val="0"/>
        <w:keepLines w:val="0"/>
        <w:widowControl/>
        <w:suppressLineNumbers w:val="0"/>
        <w:jc w:val="both"/>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ro-RO"/>
        </w:rPr>
        <w:t>O</w:t>
      </w:r>
      <w:r>
        <w:rPr>
          <w:rFonts w:hint="default" w:ascii="Times New Roman" w:hAnsi="Times New Roman" w:cs="Times New Roman"/>
          <w:b/>
          <w:bCs/>
          <w:i/>
          <w:iCs/>
          <w:sz w:val="28"/>
          <w:szCs w:val="28"/>
        </w:rPr>
        <w:t>bservații generale</w:t>
      </w:r>
      <w:r>
        <w:rPr>
          <w:rFonts w:hint="default" w:ascii="Times New Roman" w:hAnsi="Times New Roman" w:cs="Times New Roman"/>
          <w:b/>
          <w:bCs/>
          <w:i/>
          <w:iCs/>
          <w:sz w:val="28"/>
          <w:szCs w:val="28"/>
          <w:lang w:val="en-US"/>
        </w:rPr>
        <w:t xml:space="preserve"> legate de matricea de corela</w:t>
      </w:r>
      <w:r>
        <w:rPr>
          <w:rFonts w:hint="default" w:ascii="Times New Roman" w:hAnsi="Times New Roman" w:cs="Times New Roman"/>
          <w:b/>
          <w:bCs/>
          <w:i/>
          <w:iCs/>
          <w:sz w:val="28"/>
          <w:szCs w:val="28"/>
          <w:lang w:val="ro-RO"/>
        </w:rPr>
        <w:t>ție</w:t>
      </w:r>
    </w:p>
    <w:p w14:paraId="3C23D555">
      <w:pPr>
        <w:pStyle w:val="10"/>
        <w:keepNext w:val="0"/>
        <w:keepLines w:val="0"/>
        <w:widowControl/>
        <w:suppressLineNumbers w:val="0"/>
        <w:ind w:left="720"/>
        <w:jc w:val="both"/>
        <w:rPr>
          <w:rFonts w:hint="default" w:ascii="Times New Roman" w:hAnsi="Times New Roman" w:cs="Times New Roman"/>
          <w:b/>
          <w:bCs/>
          <w:i/>
          <w:iCs/>
          <w:sz w:val="24"/>
          <w:szCs w:val="24"/>
        </w:rPr>
      </w:pPr>
      <w:r>
        <w:rPr>
          <w:rStyle w:val="11"/>
          <w:rFonts w:hint="default" w:ascii="Times New Roman" w:hAnsi="Times New Roman" w:cs="Times New Roman"/>
          <w:b/>
          <w:bCs/>
          <w:i/>
          <w:iCs/>
          <w:sz w:val="24"/>
          <w:szCs w:val="24"/>
        </w:rPr>
        <w:t>Corelații puternice:</w:t>
      </w:r>
    </w:p>
    <w:p w14:paraId="3AA5A918">
      <w:pPr>
        <w:keepNext w:val="0"/>
        <w:keepLines w:val="0"/>
        <w:widowControl/>
        <w:numPr>
          <w:ilvl w:val="1"/>
          <w:numId w:val="7"/>
        </w:numPr>
        <w:suppressLineNumbers w:val="0"/>
        <w:spacing w:before="0" w:beforeAutospacing="1" w:after="0" w:afterAutospacing="1"/>
        <w:ind w:left="1440" w:hanging="36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Loans și Assets:</w:t>
      </w:r>
      <w:r>
        <w:rPr>
          <w:rFonts w:hint="default" w:ascii="Times New Roman" w:hAnsi="Times New Roman" w:cs="Times New Roman"/>
          <w:b w:val="0"/>
          <w:bCs w:val="0"/>
          <w:i w:val="0"/>
          <w:iCs w:val="0"/>
          <w:sz w:val="24"/>
          <w:szCs w:val="24"/>
        </w:rPr>
        <w:t xml:space="preserve"> Corelație puternică pozitivă de r=0.9787, ceea ce sugerează o relație lineară strânsă între aceste variabile.</w:t>
      </w:r>
    </w:p>
    <w:p w14:paraId="228E3095">
      <w:pPr>
        <w:keepNext w:val="0"/>
        <w:keepLines w:val="0"/>
        <w:widowControl/>
        <w:numPr>
          <w:ilvl w:val="1"/>
          <w:numId w:val="7"/>
        </w:numPr>
        <w:suppressLineNumbers w:val="0"/>
        <w:spacing w:before="0" w:beforeAutospacing="1" w:after="0" w:afterAutospacing="1"/>
        <w:ind w:left="1440" w:hanging="36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Loans și IHH:</w:t>
      </w:r>
      <w:r>
        <w:rPr>
          <w:rFonts w:hint="default" w:ascii="Times New Roman" w:hAnsi="Times New Roman" w:cs="Times New Roman"/>
          <w:b w:val="0"/>
          <w:bCs w:val="0"/>
          <w:i w:val="0"/>
          <w:iCs w:val="0"/>
          <w:sz w:val="24"/>
          <w:szCs w:val="24"/>
        </w:rPr>
        <w:t xml:space="preserve"> Corelație pozitivă semnificativă de r=0.7172r</w:t>
      </w:r>
    </w:p>
    <w:p w14:paraId="7334A1FF">
      <w:pPr>
        <w:keepNext w:val="0"/>
        <w:keepLines w:val="0"/>
        <w:widowControl/>
        <w:numPr>
          <w:ilvl w:val="1"/>
          <w:numId w:val="7"/>
        </w:numPr>
        <w:suppressLineNumbers w:val="0"/>
        <w:spacing w:before="0" w:beforeAutospacing="1" w:after="0" w:afterAutospacing="1"/>
        <w:ind w:left="1440" w:hanging="36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Assets și IHH:</w:t>
      </w:r>
      <w:r>
        <w:rPr>
          <w:rFonts w:hint="default" w:ascii="Times New Roman" w:hAnsi="Times New Roman" w:cs="Times New Roman"/>
          <w:b w:val="0"/>
          <w:bCs w:val="0"/>
          <w:i w:val="0"/>
          <w:iCs w:val="0"/>
          <w:sz w:val="24"/>
          <w:szCs w:val="24"/>
        </w:rPr>
        <w:t xml:space="preserve"> Corelație pozitivă r=0.6755r</w:t>
      </w:r>
    </w:p>
    <w:p w14:paraId="4A0FEB9D">
      <w:pPr>
        <w:pStyle w:val="10"/>
        <w:keepNext w:val="0"/>
        <w:keepLines w:val="0"/>
        <w:widowControl/>
        <w:suppressLineNumbers w:val="0"/>
        <w:ind w:left="720"/>
        <w:jc w:val="both"/>
        <w:rPr>
          <w:rFonts w:hint="default" w:ascii="Times New Roman" w:hAnsi="Times New Roman" w:cs="Times New Roman"/>
          <w:b/>
          <w:bCs/>
          <w:i/>
          <w:iCs/>
          <w:sz w:val="24"/>
          <w:szCs w:val="24"/>
        </w:rPr>
      </w:pPr>
      <w:r>
        <w:rPr>
          <w:rStyle w:val="11"/>
          <w:rFonts w:hint="default" w:ascii="Times New Roman" w:hAnsi="Times New Roman" w:cs="Times New Roman"/>
          <w:b/>
          <w:bCs/>
          <w:i/>
          <w:iCs/>
          <w:sz w:val="24"/>
          <w:szCs w:val="24"/>
        </w:rPr>
        <w:t>Corelații moderate/negative:</w:t>
      </w:r>
    </w:p>
    <w:p w14:paraId="1F19FA48">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GDPg și Inflatie:</w:t>
      </w:r>
      <w:r>
        <w:rPr>
          <w:rFonts w:hint="default" w:ascii="Times New Roman" w:hAnsi="Times New Roman" w:cs="Times New Roman"/>
          <w:b w:val="0"/>
          <w:bCs w:val="0"/>
          <w:i w:val="0"/>
          <w:iCs w:val="0"/>
          <w:sz w:val="24"/>
          <w:szCs w:val="24"/>
        </w:rPr>
        <w:t xml:space="preserve"> Corelație negativă moderată r=−0.2236r</w:t>
      </w:r>
    </w:p>
    <w:p w14:paraId="7C2BFD27">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Crt și Assets:</w:t>
      </w:r>
      <w:r>
        <w:rPr>
          <w:rFonts w:hint="default" w:ascii="Times New Roman" w:hAnsi="Times New Roman" w:cs="Times New Roman"/>
          <w:b w:val="0"/>
          <w:bCs w:val="0"/>
          <w:i w:val="0"/>
          <w:iCs w:val="0"/>
          <w:sz w:val="24"/>
          <w:szCs w:val="24"/>
        </w:rPr>
        <w:t xml:space="preserve"> Corelație negativă r=−0.8235</w:t>
      </w:r>
    </w:p>
    <w:p w14:paraId="5CE2A98D">
      <w:pPr>
        <w:keepNext w:val="0"/>
        <w:keepLines w:val="0"/>
        <w:widowControl/>
        <w:numPr>
          <w:ilvl w:val="0"/>
          <w:numId w:val="9"/>
        </w:numPr>
        <w:suppressLineNumbers w:val="0"/>
        <w:tabs>
          <w:tab w:val="clear" w:pos="420"/>
        </w:tabs>
        <w:ind w:left="420" w:leftChars="0" w:hanging="420" w:firstLine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ROA și ROE</w:t>
      </w:r>
      <w:r>
        <w:rPr>
          <w:rFonts w:hint="default" w:ascii="Times New Roman" w:hAnsi="Times New Roman" w:cs="Times New Roman"/>
          <w:b w:val="0"/>
          <w:bCs w:val="0"/>
          <w:i w:val="0"/>
          <w:iCs w:val="0"/>
          <w:sz w:val="24"/>
          <w:szCs w:val="24"/>
        </w:rPr>
        <w:t xml:space="preserve"> au o corelație puternică pozitivă (</w:t>
      </w:r>
      <w:r>
        <w:rPr>
          <w:rStyle w:val="11"/>
          <w:rFonts w:hint="default" w:ascii="Times New Roman" w:hAnsi="Times New Roman" w:cs="Times New Roman"/>
          <w:b w:val="0"/>
          <w:bCs w:val="0"/>
          <w:i w:val="0"/>
          <w:iCs w:val="0"/>
          <w:sz w:val="24"/>
          <w:szCs w:val="24"/>
        </w:rPr>
        <w:t>0.72</w:t>
      </w:r>
      <w:r>
        <w:rPr>
          <w:rFonts w:hint="default" w:ascii="Times New Roman" w:hAnsi="Times New Roman" w:cs="Times New Roman"/>
          <w:b w:val="0"/>
          <w:bCs w:val="0"/>
          <w:i w:val="0"/>
          <w:iCs w:val="0"/>
          <w:sz w:val="24"/>
          <w:szCs w:val="24"/>
        </w:rPr>
        <w:t>), ceea ce indică faptul că rentabilitatea activelor influențează direct rentabilitatea capitalului propriu.</w:t>
      </w:r>
    </w:p>
    <w:p w14:paraId="2FC50ADF">
      <w:pPr>
        <w:keepNext w:val="0"/>
        <w:keepLines w:val="0"/>
        <w:widowControl/>
        <w:numPr>
          <w:ilvl w:val="0"/>
          <w:numId w:val="9"/>
        </w:numPr>
        <w:suppressLineNumbers w:val="0"/>
        <w:tabs>
          <w:tab w:val="clear" w:pos="420"/>
        </w:tabs>
        <w:ind w:left="420" w:leftChars="0" w:hanging="420" w:firstLine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Assets și Loans</w:t>
      </w:r>
      <w:r>
        <w:rPr>
          <w:rFonts w:hint="default" w:ascii="Times New Roman" w:hAnsi="Times New Roman" w:cs="Times New Roman"/>
          <w:b w:val="0"/>
          <w:bCs w:val="0"/>
          <w:i w:val="0"/>
          <w:iCs w:val="0"/>
          <w:sz w:val="24"/>
          <w:szCs w:val="24"/>
        </w:rPr>
        <w:t xml:space="preserve"> au o corelație extrem de ridicată (</w:t>
      </w:r>
      <w:r>
        <w:rPr>
          <w:rStyle w:val="11"/>
          <w:rFonts w:hint="default" w:ascii="Times New Roman" w:hAnsi="Times New Roman" w:cs="Times New Roman"/>
          <w:b w:val="0"/>
          <w:bCs w:val="0"/>
          <w:i w:val="0"/>
          <w:iCs w:val="0"/>
          <w:sz w:val="24"/>
          <w:szCs w:val="24"/>
        </w:rPr>
        <w:t>0.98</w:t>
      </w:r>
      <w:r>
        <w:rPr>
          <w:rFonts w:hint="default" w:ascii="Times New Roman" w:hAnsi="Times New Roman" w:cs="Times New Roman"/>
          <w:b w:val="0"/>
          <w:bCs w:val="0"/>
          <w:i w:val="0"/>
          <w:iCs w:val="0"/>
          <w:sz w:val="24"/>
          <w:szCs w:val="24"/>
        </w:rPr>
        <w:t>), sugerând că băncile cu active mari tind să aibă și credite mari.</w:t>
      </w:r>
    </w:p>
    <w:p w14:paraId="4A0B54E7">
      <w:pPr>
        <w:keepNext w:val="0"/>
        <w:keepLines w:val="0"/>
        <w:widowControl/>
        <w:numPr>
          <w:ilvl w:val="0"/>
          <w:numId w:val="9"/>
        </w:numPr>
        <w:suppressLineNumbers w:val="0"/>
        <w:tabs>
          <w:tab w:val="clear" w:pos="420"/>
        </w:tabs>
        <w:ind w:left="420" w:leftChars="0" w:hanging="420" w:firstLine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Loans și IHH</w:t>
      </w:r>
      <w:r>
        <w:rPr>
          <w:rFonts w:hint="default" w:ascii="Times New Roman" w:hAnsi="Times New Roman" w:cs="Times New Roman"/>
          <w:b w:val="0"/>
          <w:bCs w:val="0"/>
          <w:i w:val="0"/>
          <w:iCs w:val="0"/>
          <w:sz w:val="24"/>
          <w:szCs w:val="24"/>
        </w:rPr>
        <w:t xml:space="preserve"> au o corelație de </w:t>
      </w:r>
      <w:r>
        <w:rPr>
          <w:rStyle w:val="11"/>
          <w:rFonts w:hint="default" w:ascii="Times New Roman" w:hAnsi="Times New Roman" w:cs="Times New Roman"/>
          <w:b w:val="0"/>
          <w:bCs w:val="0"/>
          <w:i w:val="0"/>
          <w:iCs w:val="0"/>
          <w:sz w:val="24"/>
          <w:szCs w:val="24"/>
        </w:rPr>
        <w:t>0.71</w:t>
      </w:r>
      <w:r>
        <w:rPr>
          <w:rFonts w:hint="default" w:ascii="Times New Roman" w:hAnsi="Times New Roman" w:cs="Times New Roman"/>
          <w:b w:val="0"/>
          <w:bCs w:val="0"/>
          <w:i w:val="0"/>
          <w:iCs w:val="0"/>
          <w:sz w:val="24"/>
          <w:szCs w:val="24"/>
        </w:rPr>
        <w:t>, ceea ce poate indica o legătură între nivelul de concentrare al pieței bancare și volumul împrumuturilor.</w:t>
      </w:r>
    </w:p>
    <w:p w14:paraId="013A2CA4">
      <w:pPr>
        <w:keepNext w:val="0"/>
        <w:keepLines w:val="0"/>
        <w:widowControl/>
        <w:numPr>
          <w:ilvl w:val="0"/>
          <w:numId w:val="9"/>
        </w:numPr>
        <w:suppressLineNumbers w:val="0"/>
        <w:tabs>
          <w:tab w:val="clear" w:pos="420"/>
        </w:tabs>
        <w:ind w:left="420" w:leftChars="0" w:hanging="420" w:firstLine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GDPg și Somaj</w:t>
      </w:r>
      <w:r>
        <w:rPr>
          <w:rFonts w:hint="default" w:ascii="Times New Roman" w:hAnsi="Times New Roman" w:cs="Times New Roman"/>
          <w:b w:val="0"/>
          <w:bCs w:val="0"/>
          <w:i w:val="0"/>
          <w:iCs w:val="0"/>
          <w:sz w:val="24"/>
          <w:szCs w:val="24"/>
        </w:rPr>
        <w:t xml:space="preserve"> sunt corelate negativ (</w:t>
      </w:r>
      <w:r>
        <w:rPr>
          <w:rStyle w:val="11"/>
          <w:rFonts w:hint="default" w:ascii="Times New Roman" w:hAnsi="Times New Roman" w:cs="Times New Roman"/>
          <w:b w:val="0"/>
          <w:bCs w:val="0"/>
          <w:i w:val="0"/>
          <w:iCs w:val="0"/>
          <w:sz w:val="24"/>
          <w:szCs w:val="24"/>
        </w:rPr>
        <w:t>-0.49</w:t>
      </w:r>
      <w:r>
        <w:rPr>
          <w:rFonts w:hint="default" w:ascii="Times New Roman" w:hAnsi="Times New Roman" w:cs="Times New Roman"/>
          <w:b w:val="0"/>
          <w:bCs w:val="0"/>
          <w:i w:val="0"/>
          <w:iCs w:val="0"/>
          <w:sz w:val="24"/>
          <w:szCs w:val="24"/>
        </w:rPr>
        <w:t>), ceea ce era de așteptat, deoarece o creștere economică mai mare reduce de obicei rata șomajului.</w:t>
      </w:r>
    </w:p>
    <w:p w14:paraId="3097DF8A">
      <w:pPr>
        <w:keepNext w:val="0"/>
        <w:keepLines w:val="0"/>
        <w:widowControl/>
        <w:numPr>
          <w:ilvl w:val="0"/>
          <w:numId w:val="9"/>
        </w:numPr>
        <w:suppressLineNumbers w:val="0"/>
        <w:tabs>
          <w:tab w:val="clear" w:pos="420"/>
        </w:tabs>
        <w:ind w:left="420" w:leftChars="0" w:hanging="420" w:firstLine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Inflatie și An</w:t>
      </w:r>
      <w:r>
        <w:rPr>
          <w:rFonts w:hint="default" w:ascii="Times New Roman" w:hAnsi="Times New Roman" w:cs="Times New Roman"/>
          <w:b w:val="0"/>
          <w:bCs w:val="0"/>
          <w:i w:val="0"/>
          <w:iCs w:val="0"/>
          <w:sz w:val="24"/>
          <w:szCs w:val="24"/>
        </w:rPr>
        <w:t xml:space="preserve"> au o corelație pozitivă (</w:t>
      </w:r>
      <w:r>
        <w:rPr>
          <w:rStyle w:val="11"/>
          <w:rFonts w:hint="default" w:ascii="Times New Roman" w:hAnsi="Times New Roman" w:cs="Times New Roman"/>
          <w:b w:val="0"/>
          <w:bCs w:val="0"/>
          <w:i w:val="0"/>
          <w:iCs w:val="0"/>
          <w:sz w:val="24"/>
          <w:szCs w:val="24"/>
        </w:rPr>
        <w:t>0.71</w:t>
      </w:r>
      <w:r>
        <w:rPr>
          <w:rFonts w:hint="default" w:ascii="Times New Roman" w:hAnsi="Times New Roman" w:cs="Times New Roman"/>
          <w:b w:val="0"/>
          <w:bCs w:val="0"/>
          <w:i w:val="0"/>
          <w:iCs w:val="0"/>
          <w:sz w:val="24"/>
          <w:szCs w:val="24"/>
        </w:rPr>
        <w:t>), sugerând o creștere a inflației în timp.</w:t>
      </w:r>
    </w:p>
    <w:p w14:paraId="300B95C7">
      <w:pPr>
        <w:keepNext w:val="0"/>
        <w:keepLines w:val="0"/>
        <w:widowControl/>
        <w:numPr>
          <w:ilvl w:val="0"/>
          <w:numId w:val="9"/>
        </w:numPr>
        <w:suppressLineNumbers w:val="0"/>
        <w:tabs>
          <w:tab w:val="clear" w:pos="420"/>
        </w:tabs>
        <w:ind w:left="420" w:leftChars="0" w:hanging="420" w:firstLine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LNS_to_DEP și Deposits</w:t>
      </w:r>
      <w:r>
        <w:rPr>
          <w:rFonts w:hint="default" w:ascii="Times New Roman" w:hAnsi="Times New Roman" w:cs="Times New Roman"/>
          <w:b w:val="0"/>
          <w:bCs w:val="0"/>
          <w:i w:val="0"/>
          <w:iCs w:val="0"/>
          <w:sz w:val="24"/>
          <w:szCs w:val="24"/>
        </w:rPr>
        <w:t xml:space="preserve"> au o corelație foarte slabă (</w:t>
      </w:r>
      <w:r>
        <w:rPr>
          <w:rStyle w:val="11"/>
          <w:rFonts w:hint="default" w:ascii="Times New Roman" w:hAnsi="Times New Roman" w:cs="Times New Roman"/>
          <w:b w:val="0"/>
          <w:bCs w:val="0"/>
          <w:i w:val="0"/>
          <w:iCs w:val="0"/>
          <w:sz w:val="24"/>
          <w:szCs w:val="24"/>
        </w:rPr>
        <w:t>0.01</w:t>
      </w:r>
      <w:r>
        <w:rPr>
          <w:rFonts w:hint="default" w:ascii="Times New Roman" w:hAnsi="Times New Roman" w:cs="Times New Roman"/>
          <w:b w:val="0"/>
          <w:bCs w:val="0"/>
          <w:i w:val="0"/>
          <w:iCs w:val="0"/>
          <w:sz w:val="24"/>
          <w:szCs w:val="24"/>
        </w:rPr>
        <w:t>), ceea ce indică o relație nesemnificativă între raportul împrumuturi/depozite și volumul total al depozitelor.</w:t>
      </w:r>
    </w:p>
    <w:p w14:paraId="1D336E93">
      <w:pPr>
        <w:keepNext w:val="0"/>
        <w:keepLines w:val="0"/>
        <w:widowControl/>
        <w:numPr>
          <w:ilvl w:val="0"/>
          <w:numId w:val="1"/>
        </w:numPr>
        <w:suppressLineNumbers w:val="0"/>
        <w:spacing w:before="0" w:beforeAutospacing="1" w:after="0" w:afterAutospacing="1"/>
        <w:ind w:left="0" w:leftChars="0" w:firstLine="0" w:firstLineChars="0"/>
        <w:jc w:val="center"/>
      </w:pPr>
      <w:r>
        <w:rPr>
          <w:rFonts w:hint="default" w:ascii="Times New Roman" w:hAnsi="Times New Roman"/>
          <w:b/>
          <w:bCs/>
          <w:i/>
          <w:iCs/>
          <w:sz w:val="32"/>
          <w:szCs w:val="32"/>
          <w:lang w:val="en-US"/>
        </w:rPr>
        <w:t xml:space="preserve"> R</w:t>
      </w:r>
      <w:r>
        <w:rPr>
          <w:rFonts w:hint="default" w:ascii="Times New Roman" w:hAnsi="Times New Roman"/>
          <w:b/>
          <w:bCs/>
          <w:i/>
          <w:iCs/>
          <w:sz w:val="32"/>
          <w:szCs w:val="32"/>
        </w:rPr>
        <w:t xml:space="preserve">ezultatele modelului panel cu efecte fixe </w:t>
      </w:r>
      <w:r>
        <w:drawing>
          <wp:inline distT="0" distB="0" distL="114300" distR="114300">
            <wp:extent cx="5271135" cy="3900170"/>
            <wp:effectExtent l="0" t="0" r="1905" b="127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5271135" cy="3900170"/>
                    </a:xfrm>
                    <a:prstGeom prst="rect">
                      <a:avLst/>
                    </a:prstGeom>
                    <a:noFill/>
                    <a:ln>
                      <a:noFill/>
                    </a:ln>
                  </pic:spPr>
                </pic:pic>
              </a:graphicData>
            </a:graphic>
          </wp:inline>
        </w:drawing>
      </w:r>
    </w:p>
    <w:p w14:paraId="10047532">
      <w:pPr>
        <w:keepNext w:val="0"/>
        <w:keepLines w:val="0"/>
        <w:widowControl/>
        <w:numPr>
          <w:ilvl w:val="0"/>
          <w:numId w:val="0"/>
        </w:numPr>
        <w:suppressLineNumbers w:val="0"/>
        <w:spacing w:before="0" w:beforeAutospacing="1" w:after="0" w:afterAutospacing="1"/>
        <w:ind w:left="1080" w:leftChars="0"/>
        <w:jc w:val="center"/>
      </w:pPr>
    </w:p>
    <w:p w14:paraId="0861C849">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5269230" cy="3474085"/>
            <wp:effectExtent l="0" t="0" r="3810" b="63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1"/>
                    <a:stretch>
                      <a:fillRect/>
                    </a:stretch>
                  </pic:blipFill>
                  <pic:spPr>
                    <a:xfrm>
                      <a:off x="0" y="0"/>
                      <a:ext cx="5269230" cy="3474085"/>
                    </a:xfrm>
                    <a:prstGeom prst="rect">
                      <a:avLst/>
                    </a:prstGeom>
                    <a:noFill/>
                    <a:ln>
                      <a:noFill/>
                    </a:ln>
                  </pic:spPr>
                </pic:pic>
              </a:graphicData>
            </a:graphic>
          </wp:inline>
        </w:drawing>
      </w:r>
    </w:p>
    <w:p w14:paraId="203D3A45">
      <w:pPr>
        <w:keepNext w:val="0"/>
        <w:keepLines w:val="0"/>
        <w:widowControl/>
        <w:numPr>
          <w:ilvl w:val="0"/>
          <w:numId w:val="0"/>
        </w:numPr>
        <w:suppressLineNumbers w:val="0"/>
        <w:spacing w:before="0" w:beforeAutospacing="1" w:after="0" w:afterAutospacing="1"/>
        <w:ind w:left="1080" w:leftChars="0"/>
        <w:jc w:val="center"/>
        <w:rPr>
          <w:rFonts w:hint="default"/>
        </w:rPr>
      </w:pPr>
    </w:p>
    <w:p w14:paraId="476B7DE1">
      <w:pPr>
        <w:numPr>
          <w:ilvl w:val="0"/>
          <w:numId w:val="0"/>
        </w:numPr>
        <w:ind w:leftChars="0"/>
        <w:jc w:val="both"/>
        <w:rPr>
          <w:rFonts w:hint="default" w:ascii="Times New Roman" w:hAnsi="Times New Roman" w:cs="Times New Roman"/>
          <w:b w:val="0"/>
          <w:bCs w:val="0"/>
          <w:i w:val="0"/>
          <w:iCs w:val="0"/>
          <w:sz w:val="24"/>
          <w:szCs w:val="24"/>
          <w:lang w:val="en-US"/>
        </w:rPr>
      </w:pPr>
    </w:p>
    <w:p w14:paraId="64914C1D">
      <w:pPr>
        <w:numPr>
          <w:ilvl w:val="0"/>
          <w:numId w:val="0"/>
        </w:numPr>
        <w:ind w:leftChars="0"/>
        <w:jc w:val="center"/>
      </w:pPr>
      <w:r>
        <w:drawing>
          <wp:inline distT="0" distB="0" distL="114300" distR="114300">
            <wp:extent cx="5113655" cy="373824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5113655" cy="3738245"/>
                    </a:xfrm>
                    <a:prstGeom prst="rect">
                      <a:avLst/>
                    </a:prstGeom>
                    <a:noFill/>
                    <a:ln>
                      <a:noFill/>
                    </a:ln>
                  </pic:spPr>
                </pic:pic>
              </a:graphicData>
            </a:graphic>
          </wp:inline>
        </w:drawing>
      </w:r>
    </w:p>
    <w:p w14:paraId="4E19FB26">
      <w:pPr>
        <w:pStyle w:val="4"/>
        <w:keepNext w:val="0"/>
        <w:keepLines w:val="0"/>
        <w:widowControl/>
        <w:numPr>
          <w:ilvl w:val="0"/>
          <w:numId w:val="0"/>
        </w:numPr>
        <w:suppressLineNumbers w:val="0"/>
        <w:ind w:leftChars="0"/>
        <w:jc w:val="both"/>
        <w:outlineLvl w:val="2"/>
        <w:rPr>
          <w:rFonts w:hint="default" w:ascii="Times New Roman" w:hAnsi="Times New Roman" w:cs="Times New Roman"/>
          <w:b/>
          <w:bCs/>
          <w:i/>
          <w:iCs/>
          <w:sz w:val="28"/>
          <w:szCs w:val="28"/>
        </w:rPr>
      </w:pPr>
    </w:p>
    <w:p w14:paraId="3E1BC2FA">
      <w:pPr>
        <w:pStyle w:val="4"/>
        <w:keepNext w:val="0"/>
        <w:keepLines w:val="0"/>
        <w:widowControl/>
        <w:numPr>
          <w:ilvl w:val="0"/>
          <w:numId w:val="0"/>
        </w:numPr>
        <w:suppressLineNumbers w:val="0"/>
        <w:ind w:leftChars="0"/>
        <w:jc w:val="both"/>
        <w:outlineLvl w:val="2"/>
        <w:rPr>
          <w:rFonts w:hint="default" w:ascii="Times New Roman" w:hAnsi="Times New Roman" w:cs="Times New Roman"/>
          <w:b/>
          <w:bCs/>
          <w:i/>
          <w:iCs/>
          <w:sz w:val="28"/>
          <w:szCs w:val="28"/>
        </w:rPr>
      </w:pPr>
    </w:p>
    <w:p w14:paraId="72BE2857">
      <w:pPr>
        <w:pStyle w:val="4"/>
        <w:keepNext w:val="0"/>
        <w:keepLines w:val="0"/>
        <w:widowControl/>
        <w:numPr>
          <w:ilvl w:val="0"/>
          <w:numId w:val="0"/>
        </w:numPr>
        <w:suppressLineNumbers w:val="0"/>
        <w:ind w:leftChars="0"/>
        <w:jc w:val="both"/>
        <w:outlineLvl w:val="2"/>
        <w:rPr>
          <w:rFonts w:hint="default" w:ascii="Times New Roman" w:hAnsi="Times New Roman" w:cs="Times New Roman"/>
          <w:b/>
          <w:bCs/>
          <w:i w:val="0"/>
          <w:iCs w:val="0"/>
          <w:sz w:val="24"/>
          <w:szCs w:val="24"/>
        </w:rPr>
      </w:pPr>
      <w:r>
        <w:rPr>
          <w:rFonts w:hint="default" w:ascii="Times New Roman" w:hAnsi="Times New Roman" w:cs="Times New Roman"/>
          <w:b/>
          <w:bCs/>
          <w:i/>
          <w:iCs/>
          <w:sz w:val="28"/>
          <w:szCs w:val="28"/>
        </w:rPr>
        <w:t>Interpretarea rezultatelor modelului panel cu efecte fixe</w:t>
      </w:r>
      <w:r>
        <w:rPr>
          <w:rFonts w:hint="default" w:ascii="Times New Roman" w:hAnsi="Times New Roman" w:cs="Times New Roman"/>
          <w:b/>
          <w:bCs/>
          <w:i w:val="0"/>
          <w:iCs w:val="0"/>
          <w:sz w:val="24"/>
          <w:szCs w:val="24"/>
        </w:rPr>
        <w:t>:</w:t>
      </w:r>
    </w:p>
    <w:p w14:paraId="5E616134">
      <w:pPr>
        <w:pStyle w:val="10"/>
        <w:keepNext w:val="0"/>
        <w:keepLines w:val="0"/>
        <w:widowControl/>
        <w:numPr>
          <w:ilvl w:val="0"/>
          <w:numId w:val="0"/>
        </w:numPr>
        <w:suppressLineNumbers w:val="0"/>
        <w:ind w:leftChars="0" w:right="0" w:rightChars="0"/>
        <w:jc w:val="both"/>
        <w:rPr>
          <w:rFonts w:hint="default" w:ascii="Times New Roman" w:hAnsi="Times New Roman" w:cs="Times New Roman"/>
          <w:b/>
          <w:bCs/>
          <w:i/>
          <w:iCs/>
          <w:sz w:val="24"/>
          <w:szCs w:val="24"/>
        </w:rPr>
      </w:pPr>
      <w:r>
        <w:rPr>
          <w:rStyle w:val="11"/>
          <w:rFonts w:hint="default" w:ascii="Times New Roman" w:hAnsi="Times New Roman" w:cs="Times New Roman"/>
          <w:b/>
          <w:bCs/>
          <w:i/>
          <w:iCs/>
          <w:sz w:val="24"/>
          <w:szCs w:val="24"/>
        </w:rPr>
        <w:t>R-squared (R²)</w:t>
      </w:r>
      <w:r>
        <w:rPr>
          <w:rFonts w:hint="default" w:ascii="Times New Roman" w:hAnsi="Times New Roman" w:cs="Times New Roman"/>
          <w:b/>
          <w:bCs/>
          <w:i/>
          <w:iCs/>
          <w:sz w:val="24"/>
          <w:szCs w:val="24"/>
        </w:rPr>
        <w:t>:</w:t>
      </w:r>
    </w:p>
    <w:p w14:paraId="1CC3FF28">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Within (0.0038)</w:t>
      </w:r>
      <w:r>
        <w:rPr>
          <w:rFonts w:hint="default" w:ascii="Times New Roman" w:hAnsi="Times New Roman" w:cs="Times New Roman"/>
          <w:b w:val="0"/>
          <w:bCs w:val="0"/>
          <w:i w:val="0"/>
          <w:iCs w:val="0"/>
          <w:sz w:val="24"/>
          <w:szCs w:val="24"/>
        </w:rPr>
        <w:t>: Variabilitatea explicată de factorii variați în timp pentru fiecare bancă este foarte mică (0.38%).</w:t>
      </w:r>
    </w:p>
    <w:p w14:paraId="78B1F8BE">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Between (0.3008)</w:t>
      </w:r>
      <w:r>
        <w:rPr>
          <w:rFonts w:hint="default" w:ascii="Times New Roman" w:hAnsi="Times New Roman" w:cs="Times New Roman"/>
          <w:b w:val="0"/>
          <w:bCs w:val="0"/>
          <w:i w:val="0"/>
          <w:iCs w:val="0"/>
          <w:sz w:val="24"/>
          <w:szCs w:val="24"/>
        </w:rPr>
        <w:t>: Variabilitatea explicată între bănci este de aproximativ 30%.</w:t>
      </w:r>
    </w:p>
    <w:p w14:paraId="75FD5DFE">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bCs/>
          <w:i w:val="0"/>
          <w:iCs w:val="0"/>
          <w:sz w:val="24"/>
          <w:szCs w:val="24"/>
        </w:rPr>
      </w:pPr>
      <w:r>
        <w:rPr>
          <w:rStyle w:val="11"/>
          <w:rFonts w:hint="default" w:ascii="Times New Roman" w:hAnsi="Times New Roman" w:cs="Times New Roman"/>
          <w:b w:val="0"/>
          <w:bCs w:val="0"/>
          <w:i w:val="0"/>
          <w:iCs w:val="0"/>
          <w:sz w:val="24"/>
          <w:szCs w:val="24"/>
        </w:rPr>
        <w:t>Overall (0.0836)</w:t>
      </w:r>
      <w:r>
        <w:rPr>
          <w:rFonts w:hint="default" w:ascii="Times New Roman" w:hAnsi="Times New Roman" w:cs="Times New Roman"/>
          <w:b w:val="0"/>
          <w:bCs w:val="0"/>
          <w:i w:val="0"/>
          <w:iCs w:val="0"/>
          <w:sz w:val="24"/>
          <w:szCs w:val="24"/>
        </w:rPr>
        <w:t>: Modelul explică doar 8.36% din variabilitatea totală a ROA.</w:t>
      </w:r>
    </w:p>
    <w:p w14:paraId="190C04BC">
      <w:pPr>
        <w:pStyle w:val="10"/>
        <w:keepNext w:val="0"/>
        <w:keepLines w:val="0"/>
        <w:widowControl/>
        <w:numPr>
          <w:ilvl w:val="0"/>
          <w:numId w:val="0"/>
        </w:numPr>
        <w:suppressLineNumbers w:val="0"/>
        <w:ind w:leftChars="0" w:right="0" w:rightChars="0"/>
        <w:jc w:val="both"/>
        <w:rPr>
          <w:rFonts w:hint="default" w:ascii="Times New Roman" w:hAnsi="Times New Roman" w:cs="Times New Roman"/>
          <w:b/>
          <w:bCs/>
          <w:i/>
          <w:iCs/>
          <w:sz w:val="24"/>
          <w:szCs w:val="24"/>
        </w:rPr>
      </w:pPr>
      <w:r>
        <w:rPr>
          <w:rStyle w:val="11"/>
          <w:rFonts w:hint="default" w:ascii="Times New Roman" w:hAnsi="Times New Roman" w:cs="Times New Roman"/>
          <w:b/>
          <w:bCs/>
          <w:i/>
          <w:iCs/>
          <w:sz w:val="24"/>
          <w:szCs w:val="24"/>
        </w:rPr>
        <w:t>Testul F pentru semnificația globală a modelului</w:t>
      </w:r>
      <w:r>
        <w:rPr>
          <w:rFonts w:hint="default" w:ascii="Times New Roman" w:hAnsi="Times New Roman" w:cs="Times New Roman"/>
          <w:b/>
          <w:bCs/>
          <w:i/>
          <w:iCs/>
          <w:sz w:val="24"/>
          <w:szCs w:val="24"/>
        </w:rPr>
        <w:t>:</w:t>
      </w:r>
    </w:p>
    <w:p w14:paraId="29F43129">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F(5,99)=0.08, p=0.9957 → Modelul nu este semnificativ statistic, ceea ce indică faptul că variabilele explicative nu au o influență semnificativă asupra ROA.</w:t>
      </w:r>
    </w:p>
    <w:p w14:paraId="535D8318">
      <w:pPr>
        <w:pStyle w:val="10"/>
        <w:keepNext w:val="0"/>
        <w:keepLines w:val="0"/>
        <w:widowControl/>
        <w:numPr>
          <w:ilvl w:val="0"/>
          <w:numId w:val="0"/>
        </w:numPr>
        <w:suppressLineNumbers w:val="0"/>
        <w:ind w:leftChars="0" w:right="0" w:rightChars="0"/>
        <w:jc w:val="both"/>
        <w:rPr>
          <w:rFonts w:hint="default" w:ascii="Times New Roman" w:hAnsi="Times New Roman" w:cs="Times New Roman"/>
          <w:b/>
          <w:bCs/>
          <w:i/>
          <w:iCs/>
          <w:sz w:val="24"/>
          <w:szCs w:val="24"/>
        </w:rPr>
      </w:pPr>
      <w:r>
        <w:rPr>
          <w:rStyle w:val="11"/>
          <w:rFonts w:hint="default" w:ascii="Times New Roman" w:hAnsi="Times New Roman" w:cs="Times New Roman"/>
          <w:b/>
          <w:bCs/>
          <w:i/>
          <w:iCs/>
          <w:sz w:val="24"/>
          <w:szCs w:val="24"/>
        </w:rPr>
        <w:t>Coeficienții și semnificația variabilelor explicative</w:t>
      </w:r>
      <w:r>
        <w:rPr>
          <w:rFonts w:hint="default" w:ascii="Times New Roman" w:hAnsi="Times New Roman" w:cs="Times New Roman"/>
          <w:b/>
          <w:bCs/>
          <w:i/>
          <w:iCs/>
          <w:sz w:val="24"/>
          <w:szCs w:val="24"/>
        </w:rPr>
        <w:t>:</w:t>
      </w:r>
    </w:p>
    <w:p w14:paraId="3D4775B1">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bCs/>
          <w:i w:val="0"/>
          <w:iCs w:val="0"/>
          <w:sz w:val="24"/>
          <w:szCs w:val="24"/>
        </w:rPr>
      </w:pPr>
      <w:r>
        <w:rPr>
          <w:rStyle w:val="11"/>
          <w:rFonts w:hint="default" w:ascii="Times New Roman" w:hAnsi="Times New Roman" w:cs="Times New Roman"/>
          <w:b w:val="0"/>
          <w:bCs w:val="0"/>
          <w:i w:val="0"/>
          <w:iCs w:val="0"/>
          <w:sz w:val="24"/>
          <w:szCs w:val="24"/>
        </w:rPr>
        <w:t>LNS_to_DEP</w:t>
      </w:r>
      <w:r>
        <w:rPr>
          <w:rFonts w:hint="default" w:ascii="Times New Roman" w:hAnsi="Times New Roman" w:cs="Times New Roman"/>
          <w:b w:val="0"/>
          <w:bCs w:val="0"/>
          <w:i w:val="0"/>
          <w:iCs w:val="0"/>
          <w:sz w:val="24"/>
          <w:szCs w:val="24"/>
        </w:rPr>
        <w:t>: Coeficientul este -0.0006254, cu p=0.796p = 0.796p=0.796, ceea ce indică o influență nesemnificativă asupra ROA.</w:t>
      </w:r>
    </w:p>
    <w:p w14:paraId="2CAAA6D0">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Assets</w:t>
      </w:r>
      <w:r>
        <w:rPr>
          <w:rFonts w:hint="default" w:ascii="Times New Roman" w:hAnsi="Times New Roman" w:cs="Times New Roman"/>
          <w:b w:val="0"/>
          <w:bCs w:val="0"/>
          <w:i w:val="0"/>
          <w:iCs w:val="0"/>
          <w:sz w:val="24"/>
          <w:szCs w:val="24"/>
        </w:rPr>
        <w:t>: Coeficientul este foarte mic (-5.39e-08), cu p=0.593p = 0.593p=0.593, deci efectul nu este semnificativ.</w:t>
      </w:r>
    </w:p>
    <w:p w14:paraId="0F40A7C5">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GDPg</w:t>
      </w:r>
      <w:r>
        <w:rPr>
          <w:rFonts w:hint="default" w:ascii="Times New Roman" w:hAnsi="Times New Roman" w:cs="Times New Roman"/>
          <w:b w:val="0"/>
          <w:bCs w:val="0"/>
          <w:i w:val="0"/>
          <w:iCs w:val="0"/>
          <w:sz w:val="24"/>
          <w:szCs w:val="24"/>
        </w:rPr>
        <w:t>: Coeficientul este -0.232398, dar p=0.832p = 0.832p=0.832, ceea ce înseamnă că variațiile PIB-ului nu influențează semnificativ ROA.</w:t>
      </w:r>
    </w:p>
    <w:p w14:paraId="3F4E14A7">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Inflație</w:t>
      </w:r>
      <w:r>
        <w:rPr>
          <w:rFonts w:hint="default" w:ascii="Times New Roman" w:hAnsi="Times New Roman" w:cs="Times New Roman"/>
          <w:b w:val="0"/>
          <w:bCs w:val="0"/>
          <w:i w:val="0"/>
          <w:iCs w:val="0"/>
          <w:sz w:val="24"/>
          <w:szCs w:val="24"/>
        </w:rPr>
        <w:t>: Coeficientul este 0.0390319, cu p=0.759p = 0.759p=0.759, indicând o relație nesemnificativă.</w:t>
      </w:r>
    </w:p>
    <w:p w14:paraId="2AF8F5A8">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bCs/>
          <w:i w:val="0"/>
          <w:iCs w:val="0"/>
          <w:sz w:val="24"/>
          <w:szCs w:val="24"/>
        </w:rPr>
      </w:pPr>
      <w:r>
        <w:rPr>
          <w:rStyle w:val="11"/>
          <w:rFonts w:hint="default" w:ascii="Times New Roman" w:hAnsi="Times New Roman" w:cs="Times New Roman"/>
          <w:b w:val="0"/>
          <w:bCs w:val="0"/>
          <w:i w:val="0"/>
          <w:iCs w:val="0"/>
          <w:sz w:val="24"/>
          <w:szCs w:val="24"/>
        </w:rPr>
        <w:t>Șomaj</w:t>
      </w:r>
      <w:r>
        <w:rPr>
          <w:rFonts w:hint="default" w:ascii="Times New Roman" w:hAnsi="Times New Roman" w:cs="Times New Roman"/>
          <w:b w:val="0"/>
          <w:bCs w:val="0"/>
          <w:i w:val="0"/>
          <w:iCs w:val="0"/>
          <w:sz w:val="24"/>
          <w:szCs w:val="24"/>
        </w:rPr>
        <w:t>: Coeficientul este -0.0159042, cu p=0.941p = 0.941p=0.941, ceea ce arată că nu există un impact semnificativ asupra ROA.</w:t>
      </w:r>
    </w:p>
    <w:p w14:paraId="41021539">
      <w:pPr>
        <w:pStyle w:val="10"/>
        <w:keepNext w:val="0"/>
        <w:keepLines w:val="0"/>
        <w:widowControl/>
        <w:numPr>
          <w:ilvl w:val="0"/>
          <w:numId w:val="0"/>
        </w:numPr>
        <w:suppressLineNumbers w:val="0"/>
        <w:ind w:leftChars="0" w:right="0" w:rightChars="0"/>
        <w:rPr>
          <w:rFonts w:hint="default" w:ascii="Times New Roman" w:hAnsi="Times New Roman" w:cs="Times New Roman"/>
          <w:b/>
          <w:bCs/>
          <w:i w:val="0"/>
          <w:iCs w:val="0"/>
          <w:sz w:val="24"/>
          <w:szCs w:val="24"/>
        </w:rPr>
      </w:pPr>
      <w:r>
        <w:rPr>
          <w:rStyle w:val="11"/>
          <w:rFonts w:hint="default" w:ascii="Times New Roman" w:hAnsi="Times New Roman" w:cs="Times New Roman"/>
          <w:b/>
          <w:bCs/>
          <w:i w:val="0"/>
          <w:iCs w:val="0"/>
          <w:sz w:val="24"/>
          <w:szCs w:val="24"/>
        </w:rPr>
        <w:t>Importanța efectelor fixe</w:t>
      </w:r>
      <w:r>
        <w:rPr>
          <w:rFonts w:hint="default" w:ascii="Times New Roman" w:hAnsi="Times New Roman" w:cs="Times New Roman"/>
          <w:b/>
          <w:bCs/>
          <w:i w:val="0"/>
          <w:iCs w:val="0"/>
          <w:sz w:val="24"/>
          <w:szCs w:val="24"/>
        </w:rPr>
        <w:t>:</w:t>
      </w:r>
    </w:p>
    <w:p w14:paraId="0F750D5A">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Testul F(12,99)=3.90F(12, 99) = 3.90F(12,99)=3.90, cu p=0.0001p = 0.0001p=0.0001 → Indică faptul că există efecte fixe semnificative între bănci, justificând utilizarea acestui model.</w:t>
      </w:r>
    </w:p>
    <w:p w14:paraId="70C181E6">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Rho (0.4073) arată că 40.73% din variația ROA este datorată diferențelor între bănci (efectele individuale fixe).</w:t>
      </w:r>
    </w:p>
    <w:p w14:paraId="6CBABC1E">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b w:val="0"/>
          <w:bCs w:val="0"/>
          <w:i w:val="0"/>
          <w:iCs w:val="0"/>
          <w:sz w:val="24"/>
          <w:szCs w:val="24"/>
          <w:lang w:val="ro-RO"/>
        </w:rPr>
      </w:pPr>
      <w:r>
        <w:rPr>
          <w:rFonts w:hint="default" w:ascii="Times New Roman" w:hAnsi="Times New Roman" w:cs="Times New Roman"/>
          <w:b w:val="0"/>
          <w:bCs w:val="0"/>
          <w:i w:val="0"/>
          <w:iCs w:val="0"/>
          <w:sz w:val="24"/>
          <w:szCs w:val="24"/>
          <w:lang w:val="ro-RO"/>
        </w:rPr>
        <w:t>Concluzii</w:t>
      </w:r>
    </w:p>
    <w:p w14:paraId="31EEF2DC">
      <w:pPr>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Testul F confirmă că există efecte fixe între bănci, dar variabilele incluse nu explică în mod adecvat variațiile ROA.</w:t>
      </w:r>
    </w:p>
    <w:p w14:paraId="47C39631">
      <w:pPr>
        <w:keepNext w:val="0"/>
        <w:keepLines w:val="0"/>
        <w:widowControl/>
        <w:numPr>
          <w:ilvl w:val="0"/>
          <w:numId w:val="9"/>
        </w:numPr>
        <w:suppressLineNumbers w:val="0"/>
        <w:ind w:left="420" w:leftChars="0" w:hanging="420" w:firstLineChars="0"/>
        <w:jc w:val="both"/>
        <w:rPr>
          <w:rFonts w:hint="default" w:ascii="Times New Roman" w:hAnsi="Times New Roman" w:cs="Times New Roman"/>
          <w:b/>
          <w:bCs/>
          <w:i/>
          <w:iCs/>
          <w:sz w:val="32"/>
          <w:szCs w:val="32"/>
          <w:lang w:val="ro-RO"/>
        </w:rPr>
      </w:pPr>
      <w:r>
        <w:rPr>
          <w:rFonts w:hint="default" w:ascii="Times New Roman" w:hAnsi="Times New Roman" w:cs="Times New Roman"/>
          <w:sz w:val="24"/>
          <w:szCs w:val="24"/>
        </w:rPr>
        <w:t>R² within este foarte mic, ceea ce sugerează că variabilele explicative nu reușesc să capteze variația ROA în timp.</w:t>
      </w:r>
    </w:p>
    <w:p w14:paraId="7912C887">
      <w:pPr>
        <w:numPr>
          <w:ilvl w:val="0"/>
          <w:numId w:val="0"/>
        </w:numPr>
        <w:ind w:leftChars="0"/>
        <w:jc w:val="center"/>
        <w:rPr>
          <w:rFonts w:hint="default" w:ascii="Times New Roman" w:hAnsi="Times New Roman" w:cs="Times New Roman"/>
          <w:b/>
          <w:bCs/>
          <w:i/>
          <w:iCs/>
          <w:sz w:val="32"/>
          <w:szCs w:val="32"/>
          <w:lang w:val="ro-RO"/>
        </w:rPr>
      </w:pPr>
    </w:p>
    <w:p w14:paraId="6AEBB249">
      <w:pPr>
        <w:numPr>
          <w:ilvl w:val="0"/>
          <w:numId w:val="1"/>
        </w:numPr>
        <w:ind w:left="0" w:leftChars="0" w:firstLine="0" w:firstLineChars="0"/>
        <w:jc w:val="center"/>
        <w:rPr>
          <w:rFonts w:hint="default" w:ascii="Times New Roman" w:hAnsi="Times New Roman" w:cs="Times New Roman"/>
          <w:b/>
          <w:bCs/>
          <w:i/>
          <w:iCs/>
          <w:sz w:val="32"/>
          <w:szCs w:val="32"/>
          <w:lang w:val="ro-RO"/>
        </w:rPr>
      </w:pPr>
      <w:r>
        <w:rPr>
          <w:rFonts w:hint="default" w:ascii="Times New Roman" w:hAnsi="Times New Roman" w:cs="Times New Roman"/>
          <w:b/>
          <w:bCs/>
          <w:i/>
          <w:iCs/>
          <w:sz w:val="32"/>
          <w:szCs w:val="32"/>
          <w:lang w:val="ro-RO"/>
        </w:rPr>
        <w:t>Testul Hausman</w:t>
      </w:r>
    </w:p>
    <w:p w14:paraId="2EBBF474">
      <w:pPr>
        <w:numPr>
          <w:ilvl w:val="0"/>
          <w:numId w:val="0"/>
        </w:numPr>
        <w:ind w:leftChars="0"/>
        <w:jc w:val="center"/>
        <w:rPr>
          <w:rFonts w:hint="default" w:ascii="Times New Roman" w:hAnsi="Times New Roman" w:cs="Times New Roman"/>
          <w:b/>
          <w:bCs/>
          <w:i/>
          <w:iCs/>
          <w:sz w:val="32"/>
          <w:szCs w:val="32"/>
          <w:lang w:val="ro-RO"/>
        </w:rPr>
      </w:pPr>
    </w:p>
    <w:p w14:paraId="6A4A431A">
      <w:pPr>
        <w:numPr>
          <w:ilvl w:val="0"/>
          <w:numId w:val="0"/>
        </w:numPr>
        <w:ind w:leftChars="0"/>
        <w:jc w:val="center"/>
        <w:rPr>
          <w:rFonts w:hint="default" w:ascii="Times New Roman" w:hAnsi="Times New Roman" w:cs="Times New Roman"/>
          <w:b/>
          <w:bCs/>
          <w:i/>
          <w:iCs/>
          <w:sz w:val="32"/>
          <w:szCs w:val="32"/>
          <w:lang w:val="ro-RO"/>
        </w:rPr>
      </w:pPr>
    </w:p>
    <w:p w14:paraId="0BE0F450">
      <w:pPr>
        <w:numPr>
          <w:ilvl w:val="0"/>
          <w:numId w:val="0"/>
        </w:numPr>
        <w:ind w:leftChars="0"/>
        <w:jc w:val="center"/>
      </w:pPr>
      <w:r>
        <w:drawing>
          <wp:inline distT="0" distB="0" distL="114300" distR="114300">
            <wp:extent cx="5269230" cy="3275965"/>
            <wp:effectExtent l="0" t="0" r="3810" b="6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3"/>
                    <a:stretch>
                      <a:fillRect/>
                    </a:stretch>
                  </pic:blipFill>
                  <pic:spPr>
                    <a:xfrm>
                      <a:off x="0" y="0"/>
                      <a:ext cx="5269230" cy="3275965"/>
                    </a:xfrm>
                    <a:prstGeom prst="rect">
                      <a:avLst/>
                    </a:prstGeom>
                    <a:noFill/>
                    <a:ln>
                      <a:noFill/>
                    </a:ln>
                  </pic:spPr>
                </pic:pic>
              </a:graphicData>
            </a:graphic>
          </wp:inline>
        </w:drawing>
      </w:r>
    </w:p>
    <w:p w14:paraId="1DBD81C4">
      <w:pPr>
        <w:pStyle w:val="4"/>
        <w:keepNext w:val="0"/>
        <w:keepLines w:val="0"/>
        <w:widowControl/>
        <w:suppressLineNumbers w:val="0"/>
        <w:rPr>
          <w:rStyle w:val="11"/>
          <w:rFonts w:hint="default" w:ascii="Times New Roman" w:hAnsi="Times New Roman" w:cs="Times New Roman"/>
          <w:b/>
          <w:bCs/>
          <w:i/>
          <w:iCs/>
          <w:sz w:val="24"/>
          <w:szCs w:val="24"/>
        </w:rPr>
      </w:pPr>
    </w:p>
    <w:p w14:paraId="5C980F52">
      <w:pPr>
        <w:pStyle w:val="4"/>
        <w:keepNext w:val="0"/>
        <w:keepLines w:val="0"/>
        <w:widowControl/>
        <w:suppressLineNumbers w:val="0"/>
        <w:rPr>
          <w:rStyle w:val="11"/>
          <w:rFonts w:hint="default" w:ascii="Times New Roman" w:hAnsi="Times New Roman" w:cs="Times New Roman"/>
          <w:b/>
          <w:bCs/>
          <w:i/>
          <w:iCs/>
          <w:sz w:val="24"/>
          <w:szCs w:val="24"/>
        </w:rPr>
      </w:pPr>
    </w:p>
    <w:p w14:paraId="24766878">
      <w:pPr>
        <w:pStyle w:val="4"/>
        <w:keepNext w:val="0"/>
        <w:keepLines w:val="0"/>
        <w:widowControl/>
        <w:suppressLineNumbers w:val="0"/>
        <w:rPr>
          <w:rFonts w:hint="default" w:ascii="Times New Roman" w:hAnsi="Times New Roman" w:cs="Times New Roman"/>
          <w:b/>
          <w:bCs/>
          <w:i/>
          <w:iCs/>
          <w:sz w:val="24"/>
          <w:szCs w:val="24"/>
        </w:rPr>
      </w:pPr>
      <w:r>
        <w:rPr>
          <w:rStyle w:val="11"/>
          <w:rFonts w:hint="default" w:ascii="Times New Roman" w:hAnsi="Times New Roman" w:cs="Times New Roman"/>
          <w:b/>
          <w:bCs/>
          <w:i/>
          <w:iCs/>
          <w:sz w:val="24"/>
          <w:szCs w:val="24"/>
        </w:rPr>
        <w:t>Interpretarea testului Hausman</w:t>
      </w:r>
    </w:p>
    <w:p w14:paraId="012564B2">
      <w:pPr>
        <w:pStyle w:val="10"/>
        <w:keepNext w:val="0"/>
        <w:keepLines w:val="0"/>
        <w:widowControl/>
        <w:suppressLineNumbers w:val="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Testul Hausman compară modelele </w:t>
      </w:r>
      <w:r>
        <w:rPr>
          <w:rStyle w:val="11"/>
          <w:rFonts w:hint="default" w:ascii="Times New Roman" w:hAnsi="Times New Roman" w:cs="Times New Roman"/>
          <w:b w:val="0"/>
          <w:bCs w:val="0"/>
          <w:i w:val="0"/>
          <w:iCs w:val="0"/>
          <w:sz w:val="24"/>
          <w:szCs w:val="24"/>
        </w:rPr>
        <w:t>cu efecte fixe (FE) și cu efecte aleatoare (RE)</w:t>
      </w:r>
      <w:r>
        <w:rPr>
          <w:rFonts w:hint="default" w:ascii="Times New Roman" w:hAnsi="Times New Roman" w:cs="Times New Roman"/>
          <w:b w:val="0"/>
          <w:bCs w:val="0"/>
          <w:i w:val="0"/>
          <w:iCs w:val="0"/>
          <w:sz w:val="24"/>
          <w:szCs w:val="24"/>
        </w:rPr>
        <w:t xml:space="preserve"> pentru a determina care este mai potrivit.</w:t>
      </w:r>
    </w:p>
    <w:p w14:paraId="0695FDF0">
      <w:pPr>
        <w:pStyle w:val="5"/>
        <w:keepNext w:val="0"/>
        <w:keepLines w:val="0"/>
        <w:widowControl/>
        <w:suppressLineNumbers w:val="0"/>
        <w:rPr>
          <w:rFonts w:hint="default" w:ascii="Times New Roman" w:hAnsi="Times New Roman" w:cs="Times New Roman"/>
          <w:b/>
          <w:bCs/>
          <w:i/>
          <w:iCs/>
          <w:sz w:val="24"/>
          <w:szCs w:val="24"/>
        </w:rPr>
      </w:pPr>
      <w:r>
        <w:rPr>
          <w:rStyle w:val="11"/>
          <w:rFonts w:hint="default" w:ascii="Times New Roman" w:hAnsi="Times New Roman" w:cs="Times New Roman"/>
          <w:b/>
          <w:bCs/>
          <w:i/>
          <w:iCs/>
          <w:sz w:val="24"/>
          <w:szCs w:val="24"/>
        </w:rPr>
        <w:t>Rezultatele testului</w:t>
      </w:r>
    </w:p>
    <w:p w14:paraId="66D3620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Statistica chi2(4) = 11.59</w:t>
      </w:r>
    </w:p>
    <w:p w14:paraId="75125C2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b w:val="0"/>
          <w:bCs w:val="0"/>
          <w:i w:val="0"/>
          <w:iCs w:val="0"/>
          <w:sz w:val="24"/>
          <w:szCs w:val="24"/>
        </w:rPr>
      </w:pPr>
      <w:r>
        <w:rPr>
          <w:rStyle w:val="11"/>
          <w:rFonts w:hint="default" w:ascii="Times New Roman" w:hAnsi="Times New Roman" w:cs="Times New Roman"/>
          <w:b w:val="0"/>
          <w:bCs w:val="0"/>
          <w:i w:val="0"/>
          <w:iCs w:val="0"/>
          <w:sz w:val="24"/>
          <w:szCs w:val="24"/>
        </w:rPr>
        <w:t>p-value (Prob &gt; chi2) = 0.0207</w:t>
      </w:r>
    </w:p>
    <w:p w14:paraId="512980B0">
      <w:pPr>
        <w:pStyle w:val="5"/>
        <w:keepNext w:val="0"/>
        <w:keepLines w:val="0"/>
        <w:widowControl/>
        <w:suppressLineNumbers w:val="0"/>
        <w:rPr>
          <w:rFonts w:hint="default" w:ascii="Times New Roman" w:hAnsi="Times New Roman" w:cs="Times New Roman"/>
          <w:b/>
          <w:bCs/>
          <w:i/>
          <w:iCs/>
          <w:sz w:val="24"/>
          <w:szCs w:val="24"/>
          <w:lang w:val="ro-RO"/>
        </w:rPr>
      </w:pPr>
      <w:r>
        <w:rPr>
          <w:rStyle w:val="11"/>
          <w:rFonts w:hint="default" w:ascii="Times New Roman" w:hAnsi="Times New Roman" w:cs="Times New Roman"/>
          <w:b/>
          <w:bCs/>
          <w:i/>
          <w:iCs/>
          <w:sz w:val="24"/>
          <w:szCs w:val="24"/>
        </w:rPr>
        <w:t>Concluzi</w:t>
      </w:r>
      <w:r>
        <w:rPr>
          <w:rStyle w:val="11"/>
          <w:rFonts w:hint="default" w:ascii="Times New Roman" w:hAnsi="Times New Roman" w:cs="Times New Roman"/>
          <w:b/>
          <w:bCs/>
          <w:i/>
          <w:iCs/>
          <w:sz w:val="24"/>
          <w:szCs w:val="24"/>
          <w:lang w:val="ro-RO"/>
        </w:rPr>
        <w:t>i</w:t>
      </w:r>
    </w:p>
    <w:p w14:paraId="3352AA9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Deoarece </w:t>
      </w:r>
      <w:r>
        <w:rPr>
          <w:rStyle w:val="11"/>
          <w:rFonts w:hint="default" w:ascii="Times New Roman" w:hAnsi="Times New Roman" w:cs="Times New Roman"/>
          <w:b w:val="0"/>
          <w:bCs w:val="0"/>
          <w:i w:val="0"/>
          <w:iCs w:val="0"/>
          <w:sz w:val="24"/>
          <w:szCs w:val="24"/>
        </w:rPr>
        <w:t>p-value &lt; 0.05</w:t>
      </w:r>
      <w:r>
        <w:rPr>
          <w:rFonts w:hint="default" w:ascii="Times New Roman" w:hAnsi="Times New Roma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respinge ipoteza nulă</w:t>
      </w:r>
      <w:r>
        <w:rPr>
          <w:rFonts w:hint="default" w:ascii="Times New Roman" w:hAnsi="Times New Roman" w:cs="Times New Roman"/>
          <w:b w:val="0"/>
          <w:bCs w:val="0"/>
          <w:i w:val="0"/>
          <w:iCs w:val="0"/>
          <w:sz w:val="24"/>
          <w:szCs w:val="24"/>
        </w:rPr>
        <w:t>.</w:t>
      </w:r>
    </w:p>
    <w:p w14:paraId="072B58F3">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Acest lucru indică faptul că </w:t>
      </w:r>
      <w:r>
        <w:rPr>
          <w:rStyle w:val="11"/>
          <w:rFonts w:hint="default" w:ascii="Times New Roman" w:hAnsi="Times New Roman" w:cs="Times New Roman"/>
          <w:b w:val="0"/>
          <w:bCs w:val="0"/>
          <w:i w:val="0"/>
          <w:iCs w:val="0"/>
          <w:sz w:val="24"/>
          <w:szCs w:val="24"/>
        </w:rPr>
        <w:t>modelul cu efecte fixe (FE) este mai potrivit</w:t>
      </w:r>
      <w:r>
        <w:rPr>
          <w:rFonts w:hint="default" w:ascii="Times New Roman" w:hAnsi="Times New Roman" w:cs="Times New Roman"/>
          <w:b w:val="0"/>
          <w:bCs w:val="0"/>
          <w:i w:val="0"/>
          <w:iCs w:val="0"/>
          <w:sz w:val="24"/>
          <w:szCs w:val="24"/>
        </w:rPr>
        <w:t xml:space="preserve"> decât modelul cu efecte aleatoare (RE).</w:t>
      </w:r>
    </w:p>
    <w:p w14:paraId="5213BC4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Există o </w:t>
      </w:r>
      <w:r>
        <w:rPr>
          <w:rStyle w:val="11"/>
          <w:rFonts w:hint="default" w:ascii="Times New Roman" w:hAnsi="Times New Roman" w:cs="Times New Roman"/>
          <w:b w:val="0"/>
          <w:bCs w:val="0"/>
          <w:i w:val="0"/>
          <w:iCs w:val="0"/>
          <w:sz w:val="24"/>
          <w:szCs w:val="24"/>
        </w:rPr>
        <w:t>corelație semnificativă</w:t>
      </w:r>
      <w:r>
        <w:rPr>
          <w:rFonts w:hint="default" w:ascii="Times New Roman" w:hAnsi="Times New Roman" w:cs="Times New Roman"/>
          <w:b w:val="0"/>
          <w:bCs w:val="0"/>
          <w:i w:val="0"/>
          <w:iCs w:val="0"/>
          <w:sz w:val="24"/>
          <w:szCs w:val="24"/>
        </w:rPr>
        <w:t xml:space="preserve"> între variabilele explicative și efectele individuale (factori specifici fiecărei bănci).</w:t>
      </w:r>
    </w:p>
    <w:p w14:paraId="43D893F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Modelul cu efecte fixe este mai precis pentru analiza impactului variabilelor asupra ROA, deoarece controlează mai bine factorii individuali constanți ai fiecărei bănci.</w:t>
      </w:r>
    </w:p>
    <w:p w14:paraId="22DEBDB6">
      <w:pPr>
        <w:pStyle w:val="10"/>
        <w:keepNext w:val="0"/>
        <w:keepLines w:val="0"/>
        <w:widowControl/>
        <w:suppressLineNumbers w:val="0"/>
        <w:jc w:val="both"/>
        <w:rPr>
          <w:rStyle w:val="11"/>
          <w:b/>
          <w:bCs/>
          <w:i/>
          <w:iCs/>
          <w:sz w:val="28"/>
          <w:szCs w:val="28"/>
        </w:rPr>
      </w:pPr>
    </w:p>
    <w:p w14:paraId="1AD712E8">
      <w:pPr>
        <w:pStyle w:val="10"/>
        <w:keepNext w:val="0"/>
        <w:keepLines w:val="0"/>
        <w:widowControl/>
        <w:numPr>
          <w:ilvl w:val="0"/>
          <w:numId w:val="1"/>
        </w:numPr>
        <w:suppressLineNumbers w:val="0"/>
        <w:ind w:left="0" w:leftChars="0" w:firstLine="0" w:firstLineChars="0"/>
        <w:jc w:val="both"/>
        <w:rPr>
          <w:b/>
          <w:bCs/>
          <w:i/>
          <w:iCs/>
          <w:sz w:val="28"/>
          <w:szCs w:val="28"/>
        </w:rPr>
      </w:pPr>
      <w:bookmarkStart w:id="0" w:name="_GoBack"/>
      <w:bookmarkEnd w:id="0"/>
      <w:r>
        <w:rPr>
          <w:rStyle w:val="11"/>
          <w:b/>
          <w:bCs/>
          <w:i/>
          <w:iCs/>
          <w:sz w:val="28"/>
          <w:szCs w:val="28"/>
        </w:rPr>
        <w:t>CONCLUZII ȘI RECOMANDĂRI</w:t>
      </w:r>
    </w:p>
    <w:p w14:paraId="1E66789D">
      <w:pPr>
        <w:pStyle w:val="10"/>
        <w:keepNext w:val="0"/>
        <w:keepLines w:val="0"/>
        <w:widowControl/>
        <w:suppressLineNumbers w:val="0"/>
        <w:jc w:val="both"/>
        <w:rPr>
          <w:b/>
          <w:bCs/>
          <w:i/>
          <w:iCs/>
          <w:sz w:val="28"/>
          <w:szCs w:val="28"/>
        </w:rPr>
      </w:pPr>
      <w:r>
        <w:rPr>
          <w:rStyle w:val="11"/>
          <w:b/>
          <w:bCs/>
          <w:i/>
          <w:iCs/>
          <w:sz w:val="28"/>
          <w:szCs w:val="28"/>
        </w:rPr>
        <w:t>Concluzii</w:t>
      </w:r>
    </w:p>
    <w:p w14:paraId="7DC140F1">
      <w:pPr>
        <w:pStyle w:val="10"/>
        <w:keepNext w:val="0"/>
        <w:keepLines w:val="0"/>
        <w:widowControl/>
        <w:suppressLineNumbers w:val="0"/>
        <w:jc w:val="both"/>
        <w:rPr>
          <w:sz w:val="24"/>
          <w:szCs w:val="24"/>
        </w:rPr>
      </w:pPr>
      <w:r>
        <w:rPr>
          <w:sz w:val="24"/>
          <w:szCs w:val="24"/>
        </w:rPr>
        <w:t>Analiza factorilor determinanți ai profitabilității bancare din Australia a evidențiat o serie de aspecte esențiale care influențează performanța instituțiilor financiare. Printre acestea, se remarcă următoarele concluzii principale:</w:t>
      </w:r>
    </w:p>
    <w:p w14:paraId="2C030EDD">
      <w:pPr>
        <w:pStyle w:val="10"/>
        <w:keepNext w:val="0"/>
        <w:keepLines w:val="0"/>
        <w:widowControl/>
        <w:suppressLineNumbers w:val="0"/>
        <w:jc w:val="both"/>
        <w:rPr>
          <w:sz w:val="24"/>
          <w:szCs w:val="24"/>
        </w:rPr>
      </w:pPr>
      <w:r>
        <w:rPr>
          <w:rStyle w:val="11"/>
          <w:sz w:val="24"/>
          <w:szCs w:val="24"/>
        </w:rPr>
        <w:t>Influența factorilor interni și externi</w:t>
      </w:r>
      <w:r>
        <w:rPr>
          <w:sz w:val="24"/>
          <w:szCs w:val="24"/>
        </w:rPr>
        <w:t>: Profitabilitatea sectorului bancar australian este determinată de o combinație de factori specifici instituțiilor bancare (nivelul capitalului, calitatea activelor, eficiența operațională), factori sistemici (concurența pe piață, reglementările financiare) și factori macroeconomici (rata dobânzii, crețterea economică, inflația).</w:t>
      </w:r>
    </w:p>
    <w:p w14:paraId="5B8B9788">
      <w:pPr>
        <w:pStyle w:val="10"/>
        <w:keepNext w:val="0"/>
        <w:keepLines w:val="0"/>
        <w:widowControl/>
        <w:suppressLineNumbers w:val="0"/>
        <w:jc w:val="both"/>
        <w:rPr>
          <w:sz w:val="24"/>
          <w:szCs w:val="24"/>
        </w:rPr>
      </w:pPr>
      <w:r>
        <w:rPr>
          <w:rStyle w:val="11"/>
          <w:sz w:val="24"/>
          <w:szCs w:val="24"/>
        </w:rPr>
        <w:t>Gradul de concentrare a pieței bancare</w:t>
      </w:r>
      <w:r>
        <w:rPr>
          <w:sz w:val="24"/>
          <w:szCs w:val="24"/>
        </w:rPr>
        <w:t>: Piața bancară australiană este caracterizată printr-un grad moderat de concentrare, dominat de patru instituții majore (Commonwealth Bank, Westpac, ANZ și NAB). Indicele Herfindahl-Hirschman (IHH) a indicat o ușoară reducere a concentrării pieței între 2015 și 2023, sugerând o creștere treptată a concurenței.</w:t>
      </w:r>
    </w:p>
    <w:p w14:paraId="18B55C9B">
      <w:pPr>
        <w:pStyle w:val="10"/>
        <w:keepNext w:val="0"/>
        <w:keepLines w:val="0"/>
        <w:widowControl/>
        <w:suppressLineNumbers w:val="0"/>
        <w:jc w:val="both"/>
        <w:rPr>
          <w:sz w:val="24"/>
          <w:szCs w:val="24"/>
        </w:rPr>
      </w:pPr>
      <w:r>
        <w:rPr>
          <w:rStyle w:val="11"/>
          <w:sz w:val="24"/>
          <w:szCs w:val="24"/>
        </w:rPr>
        <w:t>Impactul reglementărilor financiare</w:t>
      </w:r>
      <w:r>
        <w:rPr>
          <w:sz w:val="24"/>
          <w:szCs w:val="24"/>
        </w:rPr>
        <w:t>: Măsurile de supraveghere implementate de autoritățile financiare australiene, mai ales după criza financiară globală din 2008 și investigațiile din 2018, au determinat o consolidare a stabilității bancare, dar și o reducere a flexibilității financiare a instituțiilor bancare.</w:t>
      </w:r>
    </w:p>
    <w:p w14:paraId="608DB09D">
      <w:pPr>
        <w:pStyle w:val="10"/>
        <w:keepNext w:val="0"/>
        <w:keepLines w:val="0"/>
        <w:widowControl/>
        <w:suppressLineNumbers w:val="0"/>
        <w:jc w:val="both"/>
        <w:rPr>
          <w:sz w:val="24"/>
          <w:szCs w:val="24"/>
        </w:rPr>
      </w:pPr>
      <w:r>
        <w:rPr>
          <w:rStyle w:val="11"/>
          <w:sz w:val="24"/>
          <w:szCs w:val="24"/>
        </w:rPr>
        <w:t>Rolul inovațiilor tehnologice</w:t>
      </w:r>
      <w:r>
        <w:rPr>
          <w:sz w:val="24"/>
          <w:szCs w:val="24"/>
        </w:rPr>
        <w:t>: Digitalizarea serviciilor financiare și expansiunea fintech-urilor au generat o competiție crescută pe piață, determinând băncile să investească semnificativ în tehnologii avansate pentru a-și optimiza costurile și a-și menține poziția pe piață.</w:t>
      </w:r>
    </w:p>
    <w:p w14:paraId="738F175C">
      <w:pPr>
        <w:pStyle w:val="10"/>
        <w:keepNext w:val="0"/>
        <w:keepLines w:val="0"/>
        <w:widowControl/>
        <w:suppressLineNumbers w:val="0"/>
        <w:jc w:val="both"/>
        <w:rPr>
          <w:sz w:val="24"/>
          <w:szCs w:val="24"/>
        </w:rPr>
      </w:pPr>
      <w:r>
        <w:rPr>
          <w:rStyle w:val="11"/>
          <w:sz w:val="24"/>
          <w:szCs w:val="24"/>
        </w:rPr>
        <w:t>Testarea modelelor econometrice</w:t>
      </w:r>
      <w:r>
        <w:rPr>
          <w:sz w:val="24"/>
          <w:szCs w:val="24"/>
        </w:rPr>
        <w:t>: Modelul panel cu efecte fixe a indicat că variabilele incluse nu explică în mod adecvat variația profitabilității bancare în timp, iar testul Hausman a confirmat relevanța utilizării efectelor fixe pentru analiza performanței bancare.</w:t>
      </w:r>
    </w:p>
    <w:p w14:paraId="04BAF954">
      <w:pPr>
        <w:pStyle w:val="10"/>
        <w:keepNext w:val="0"/>
        <w:keepLines w:val="0"/>
        <w:widowControl/>
        <w:suppressLineNumbers w:val="0"/>
        <w:jc w:val="both"/>
        <w:rPr>
          <w:b/>
          <w:bCs/>
          <w:i/>
          <w:iCs/>
          <w:sz w:val="32"/>
          <w:szCs w:val="32"/>
        </w:rPr>
      </w:pPr>
      <w:r>
        <w:rPr>
          <w:rStyle w:val="11"/>
          <w:b/>
          <w:bCs/>
          <w:i/>
          <w:iCs/>
          <w:sz w:val="32"/>
          <w:szCs w:val="32"/>
        </w:rPr>
        <w:t>Recomandări</w:t>
      </w:r>
    </w:p>
    <w:p w14:paraId="42604A6E">
      <w:pPr>
        <w:pStyle w:val="10"/>
        <w:keepNext w:val="0"/>
        <w:keepLines w:val="0"/>
        <w:widowControl/>
        <w:suppressLineNumbers w:val="0"/>
        <w:jc w:val="both"/>
        <w:rPr>
          <w:sz w:val="24"/>
          <w:szCs w:val="24"/>
        </w:rPr>
      </w:pPr>
      <w:r>
        <w:rPr>
          <w:sz w:val="24"/>
          <w:szCs w:val="24"/>
        </w:rPr>
        <w:t>Având în vedere concluziile analizei, se propun următoarele direcții strategice pentru creșterea profitabilității băncilor din Australia:</w:t>
      </w:r>
    </w:p>
    <w:p w14:paraId="5E39CC69">
      <w:pPr>
        <w:pStyle w:val="10"/>
        <w:keepNext w:val="0"/>
        <w:keepLines w:val="0"/>
        <w:widowControl/>
        <w:suppressLineNumbers w:val="0"/>
        <w:jc w:val="both"/>
        <w:rPr>
          <w:sz w:val="24"/>
          <w:szCs w:val="24"/>
        </w:rPr>
      </w:pPr>
      <w:r>
        <w:rPr>
          <w:rStyle w:val="11"/>
          <w:sz w:val="24"/>
          <w:szCs w:val="24"/>
        </w:rPr>
        <w:t>Diversificarea surselor de venit</w:t>
      </w:r>
      <w:r>
        <w:rPr>
          <w:sz w:val="24"/>
          <w:szCs w:val="24"/>
        </w:rPr>
        <w:t>: Băncile ar trebui să reducă dependența de veniturile din dobânzi prin dezvoltarea unor noi produse financiare și extinderea serviciilor de consultanță financiară, administrare a activelor și asigurări.</w:t>
      </w:r>
    </w:p>
    <w:p w14:paraId="0A1F988E">
      <w:pPr>
        <w:pStyle w:val="10"/>
        <w:keepNext w:val="0"/>
        <w:keepLines w:val="0"/>
        <w:widowControl/>
        <w:suppressLineNumbers w:val="0"/>
        <w:jc w:val="both"/>
        <w:rPr>
          <w:sz w:val="24"/>
          <w:szCs w:val="24"/>
        </w:rPr>
      </w:pPr>
      <w:r>
        <w:rPr>
          <w:rStyle w:val="11"/>
          <w:sz w:val="24"/>
          <w:szCs w:val="24"/>
        </w:rPr>
        <w:t>Adoptarea accelerată a tehnologiilor financiare (FinTech)</w:t>
      </w:r>
      <w:r>
        <w:rPr>
          <w:sz w:val="24"/>
          <w:szCs w:val="24"/>
        </w:rPr>
        <w:t>: Investițiile în digitalizare, inteligență artificială și blockchain pot contribui la reducerea costurilor operaționale și la creșterea eficienței proceselor bancare.</w:t>
      </w:r>
    </w:p>
    <w:p w14:paraId="3AF9C289">
      <w:pPr>
        <w:pStyle w:val="10"/>
        <w:keepNext w:val="0"/>
        <w:keepLines w:val="0"/>
        <w:widowControl/>
        <w:suppressLineNumbers w:val="0"/>
        <w:jc w:val="both"/>
        <w:rPr>
          <w:sz w:val="24"/>
          <w:szCs w:val="24"/>
        </w:rPr>
      </w:pPr>
      <w:r>
        <w:rPr>
          <w:rStyle w:val="11"/>
          <w:sz w:val="24"/>
          <w:szCs w:val="24"/>
        </w:rPr>
        <w:t>Optimizarea managementului riscurilor</w:t>
      </w:r>
      <w:r>
        <w:rPr>
          <w:sz w:val="24"/>
          <w:szCs w:val="24"/>
        </w:rPr>
        <w:t>: Monitorizarea riguroasă a portofoliilor de credite, reducerea expunerii la riscuri financiare și consolidarea capitalului propriu pot asigura o mai bună rezistență în fața fluctuațiilor economice.</w:t>
      </w:r>
    </w:p>
    <w:p w14:paraId="334D2E58">
      <w:pPr>
        <w:pStyle w:val="10"/>
        <w:keepNext w:val="0"/>
        <w:keepLines w:val="0"/>
        <w:widowControl/>
        <w:suppressLineNumbers w:val="0"/>
        <w:jc w:val="both"/>
        <w:rPr>
          <w:sz w:val="24"/>
          <w:szCs w:val="24"/>
        </w:rPr>
      </w:pPr>
      <w:r>
        <w:rPr>
          <w:rStyle w:val="11"/>
          <w:sz w:val="24"/>
          <w:szCs w:val="24"/>
        </w:rPr>
        <w:t>Îmbunătățirea cadrului de reglementare</w:t>
      </w:r>
      <w:r>
        <w:rPr>
          <w:sz w:val="24"/>
          <w:szCs w:val="24"/>
        </w:rPr>
        <w:t>: Se recomandă o colaborare mai strânsă între bănci și autoritățile financiare pentru a dezvolta politici care să asigure un echilibru între stabilitatea sistemului bancar și stimularea inovației și a competitivității.</w:t>
      </w:r>
    </w:p>
    <w:p w14:paraId="568ABA58">
      <w:pPr>
        <w:pStyle w:val="10"/>
        <w:keepNext w:val="0"/>
        <w:keepLines w:val="0"/>
        <w:widowControl/>
        <w:suppressLineNumbers w:val="0"/>
        <w:jc w:val="both"/>
        <w:rPr>
          <w:sz w:val="24"/>
          <w:szCs w:val="24"/>
        </w:rPr>
      </w:pPr>
      <w:r>
        <w:rPr>
          <w:rStyle w:val="11"/>
          <w:sz w:val="24"/>
          <w:szCs w:val="24"/>
        </w:rPr>
        <w:t>Strategii pentru creșterea competitivității</w:t>
      </w:r>
      <w:r>
        <w:rPr>
          <w:sz w:val="24"/>
          <w:szCs w:val="24"/>
        </w:rPr>
        <w:t>: Băncile de dimensiuni mai mici pot dezvolta strategii bazate pe diferențiere, specializându-se pe segmente de piață specifice și oferind servicii personalizate pentru a concura mai eficient cu instituțiile financiare mari.</w:t>
      </w:r>
    </w:p>
    <w:p w14:paraId="0ABE14E9">
      <w:pPr>
        <w:pStyle w:val="10"/>
        <w:keepNext w:val="0"/>
        <w:keepLines w:val="0"/>
        <w:widowControl/>
        <w:suppressLineNumbers w:val="0"/>
        <w:jc w:val="both"/>
        <w:rPr>
          <w:sz w:val="24"/>
          <w:szCs w:val="24"/>
        </w:rPr>
      </w:pPr>
    </w:p>
    <w:p w14:paraId="1E2277EF">
      <w:pPr>
        <w:pStyle w:val="10"/>
        <w:keepNext w:val="0"/>
        <w:keepLines w:val="0"/>
        <w:widowControl/>
        <w:suppressLineNumbers w:val="0"/>
        <w:jc w:val="both"/>
        <w:rPr>
          <w:sz w:val="24"/>
          <w:szCs w:val="24"/>
        </w:rPr>
      </w:pPr>
      <w:r>
        <w:rPr>
          <w:sz w:val="24"/>
          <w:szCs w:val="24"/>
        </w:rPr>
        <w:t>În concluzie, profitabilitatea sectorului bancar australian este determinată de un complex de factori economici, structurali și tehnologici. Implementarea unor strategii de adaptare la noile condiții de piață și valorificarea oportunităților oferite de digitalizare vor fi esențiale pentru menținerea competitivității și sustenabilitatea pe termen lung a instituțiilor bancare.</w:t>
      </w:r>
    </w:p>
    <w:p w14:paraId="65857D51">
      <w:pPr>
        <w:pStyle w:val="10"/>
        <w:keepNext w:val="0"/>
        <w:keepLines w:val="0"/>
        <w:widowControl/>
        <w:suppressLineNumbers w:val="0"/>
        <w:jc w:val="both"/>
        <w:rPr>
          <w:rFonts w:hint="default"/>
          <w:b/>
          <w:bCs/>
          <w:i/>
          <w:iCs/>
          <w:sz w:val="32"/>
          <w:szCs w:val="32"/>
          <w:lang w:val="ro-RO"/>
        </w:rPr>
      </w:pPr>
      <w:r>
        <w:rPr>
          <w:rFonts w:hint="default"/>
          <w:b/>
          <w:bCs/>
          <w:i/>
          <w:iCs/>
          <w:sz w:val="32"/>
          <w:szCs w:val="32"/>
          <w:lang w:val="ro-RO"/>
        </w:rPr>
        <w:t>Bibliografie</w:t>
      </w:r>
    </w:p>
    <w:p w14:paraId="4FF672F0">
      <w:pPr>
        <w:pStyle w:val="10"/>
        <w:keepNext w:val="0"/>
        <w:keepLines w:val="0"/>
        <w:widowControl/>
        <w:suppressLineNumbers w:val="0"/>
        <w:jc w:val="both"/>
        <w:rPr>
          <w:rFonts w:hint="default" w:ascii="Times New Roman" w:hAnsi="Times New Roman" w:cs="Times New Roman"/>
          <w:b w:val="0"/>
          <w:bCs w:val="0"/>
          <w:i w:val="0"/>
          <w:iCs w:val="0"/>
          <w:sz w:val="24"/>
          <w:szCs w:val="24"/>
          <w:lang w:val="ro-RO"/>
        </w:rPr>
      </w:pPr>
      <w:r>
        <w:rPr>
          <w:rFonts w:hint="default" w:ascii="Times New Roman" w:hAnsi="Times New Roman" w:eastAsia="Symbol" w:cs="Times New Roman"/>
          <w:b w:val="0"/>
          <w:bCs w:val="0"/>
          <w:i w:val="0"/>
          <w:iCs w:val="0"/>
          <w:sz w:val="24"/>
          <w:szCs w:val="24"/>
        </w:rPr>
        <w:t>·</w:t>
      </w:r>
      <w:r>
        <w:rPr>
          <w:rFonts w:hint="default" w:eastAsia="Symbol" w:cs="Times New Roman"/>
          <w:b w:val="0"/>
          <w:bCs w:val="0"/>
          <w:i w:val="0"/>
          <w:iCs w:val="0"/>
          <w:sz w:val="24"/>
          <w:szCs w:val="24"/>
          <w:lang w:val="ro-RO"/>
        </w:rPr>
        <w:t xml:space="preserve"> </w:t>
      </w:r>
      <w:r>
        <w:rPr>
          <w:rFonts w:hint="default" w:ascii="Times New Roman" w:hAnsi="Times New Roman" w:cs="Times New Roman"/>
          <w:b w:val="0"/>
          <w:bCs w:val="0"/>
          <w:i w:val="0"/>
          <w:iCs w:val="0"/>
          <w:sz w:val="24"/>
          <w:szCs w:val="24"/>
        </w:rPr>
        <w:t xml:space="preserve">Australian Prudential Regulation Authority (APRA). (2023). </w:t>
      </w:r>
      <w:r>
        <w:rPr>
          <w:rStyle w:val="8"/>
          <w:rFonts w:hint="default" w:ascii="Times New Roman" w:hAnsi="Times New Roman" w:cs="Times New Roman"/>
          <w:b w:val="0"/>
          <w:bCs w:val="0"/>
          <w:i w:val="0"/>
          <w:iCs w:val="0"/>
          <w:sz w:val="24"/>
          <w:szCs w:val="24"/>
        </w:rPr>
        <w:t>Banking Financial Statistics.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"https://www.apra.gov.au"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https://www.apra.gov.au</w:t>
      </w:r>
      <w:r>
        <w:rPr>
          <w:rFonts w:hint="default" w:ascii="Times New Roman" w:hAnsi="Times New Roman" w:cs="Times New Roman"/>
          <w:b w:val="0"/>
          <w:bCs w:val="0"/>
          <w:i w:val="0"/>
          <w:iCs w:val="0"/>
          <w:sz w:val="24"/>
          <w:szCs w:val="24"/>
        </w:rPr>
        <w:fldChar w:fldCharType="end"/>
      </w:r>
      <w:r>
        <w:rPr>
          <w:rFonts w:hint="default" w:ascii="Times New Roman" w:hAnsi="Times New Roman" w:cs="Times New Roman"/>
          <w:b w:val="0"/>
          <w:bCs w:val="0"/>
          <w:i w:val="0"/>
          <w:iCs w:val="0"/>
          <w:sz w:val="24"/>
          <w:szCs w:val="24"/>
          <w:lang w:val="ro-RO"/>
        </w:rPr>
        <w:t xml:space="preserve"> </w:t>
      </w:r>
    </w:p>
    <w:p w14:paraId="1FCF43D6">
      <w:pPr>
        <w:pStyle w:val="10"/>
        <w:keepNext w:val="0"/>
        <w:keepLines w:val="0"/>
        <w:widowControl/>
        <w:suppressLineNumbers w:val="0"/>
        <w:jc w:val="both"/>
        <w:rPr>
          <w:rFonts w:hint="default" w:ascii="Times New Roman" w:hAnsi="Times New Roman" w:cs="Times New Roman"/>
          <w:b w:val="0"/>
          <w:bCs w:val="0"/>
          <w:i w:val="0"/>
          <w:iCs w:val="0"/>
          <w:sz w:val="24"/>
          <w:szCs w:val="24"/>
          <w:lang w:val="ro-RO"/>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International Monetary Fund (IMF). (2023). </w:t>
      </w:r>
      <w:r>
        <w:rPr>
          <w:rStyle w:val="8"/>
          <w:rFonts w:hint="default" w:ascii="Times New Roman" w:hAnsi="Times New Roman" w:cs="Times New Roman"/>
          <w:b w:val="0"/>
          <w:bCs w:val="0"/>
          <w:i w:val="0"/>
          <w:iCs w:val="0"/>
          <w:sz w:val="24"/>
          <w:szCs w:val="24"/>
        </w:rPr>
        <w:t>Financial Stability Report – Australia.</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"https://www.imf.org"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https://www.imf.org</w:t>
      </w:r>
      <w:r>
        <w:rPr>
          <w:rFonts w:hint="default" w:ascii="Times New Roman" w:hAnsi="Times New Roman" w:cs="Times New Roman"/>
          <w:b w:val="0"/>
          <w:bCs w:val="0"/>
          <w:i w:val="0"/>
          <w:iCs w:val="0"/>
          <w:sz w:val="24"/>
          <w:szCs w:val="24"/>
        </w:rPr>
        <w:fldChar w:fldCharType="end"/>
      </w:r>
      <w:r>
        <w:rPr>
          <w:rFonts w:hint="default" w:ascii="Times New Roman" w:hAnsi="Times New Roman" w:cs="Times New Roman"/>
          <w:b w:val="0"/>
          <w:bCs w:val="0"/>
          <w:i w:val="0"/>
          <w:iCs w:val="0"/>
          <w:sz w:val="24"/>
          <w:szCs w:val="24"/>
          <w:lang w:val="ro-RO"/>
        </w:rPr>
        <w:t xml:space="preserve"> </w:t>
      </w:r>
    </w:p>
    <w:p w14:paraId="0FDB885E">
      <w:pPr>
        <w:pStyle w:val="10"/>
        <w:keepNext w:val="0"/>
        <w:keepLines w:val="0"/>
        <w:widowControl/>
        <w:suppressLineNumbers w:val="0"/>
        <w:jc w:val="both"/>
        <w:rPr>
          <w:rFonts w:hint="default" w:ascii="Times New Roman" w:hAnsi="Times New Roman" w:cs="Times New Roman"/>
          <w:b w:val="0"/>
          <w:bCs w:val="0"/>
          <w:i w:val="0"/>
          <w:iCs w:val="0"/>
          <w:sz w:val="24"/>
          <w:szCs w:val="24"/>
          <w:lang w:val="ro-RO"/>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Organisation for Economic Co-operation and Development (OECD). (2023). </w:t>
      </w:r>
      <w:r>
        <w:rPr>
          <w:rStyle w:val="8"/>
          <w:rFonts w:hint="default" w:ascii="Times New Roman" w:hAnsi="Times New Roman" w:cs="Times New Roman"/>
          <w:b w:val="0"/>
          <w:bCs w:val="0"/>
          <w:i w:val="0"/>
          <w:iCs w:val="0"/>
          <w:sz w:val="24"/>
          <w:szCs w:val="24"/>
        </w:rPr>
        <w:t>Banking Market Trends in Australia.</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"https://www.oecd.org"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https://www.oecd.org</w:t>
      </w:r>
      <w:r>
        <w:rPr>
          <w:rFonts w:hint="default" w:ascii="Times New Roman" w:hAnsi="Times New Roman" w:cs="Times New Roman"/>
          <w:b w:val="0"/>
          <w:bCs w:val="0"/>
          <w:i w:val="0"/>
          <w:iCs w:val="0"/>
          <w:sz w:val="24"/>
          <w:szCs w:val="24"/>
        </w:rPr>
        <w:fldChar w:fldCharType="end"/>
      </w:r>
      <w:r>
        <w:rPr>
          <w:rFonts w:hint="default" w:ascii="Times New Roman" w:hAnsi="Times New Roman" w:cs="Times New Roman"/>
          <w:b w:val="0"/>
          <w:bCs w:val="0"/>
          <w:i w:val="0"/>
          <w:iCs w:val="0"/>
          <w:sz w:val="24"/>
          <w:szCs w:val="24"/>
          <w:lang w:val="ro-RO"/>
        </w:rPr>
        <w:t xml:space="preserve"> </w:t>
      </w:r>
    </w:p>
    <w:p w14:paraId="6B7B8623">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Australian Securities and Investments Commission (ASIC). (2023). </w:t>
      </w:r>
      <w:r>
        <w:rPr>
          <w:rStyle w:val="8"/>
          <w:rFonts w:hint="default" w:ascii="Times New Roman" w:hAnsi="Times New Roman" w:cs="Times New Roman"/>
          <w:b w:val="0"/>
          <w:bCs w:val="0"/>
          <w:i w:val="0"/>
          <w:iCs w:val="0"/>
          <w:sz w:val="24"/>
          <w:szCs w:val="24"/>
        </w:rPr>
        <w:t>Financial Market Supervision Reports.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"https://asic.gov.au/"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https://asic.gov.au</w:t>
      </w:r>
      <w:r>
        <w:rPr>
          <w:rFonts w:hint="default" w:ascii="Times New Roman" w:hAnsi="Times New Roman" w:cs="Times New Roman"/>
          <w:b w:val="0"/>
          <w:bCs w:val="0"/>
          <w:i w:val="0"/>
          <w:iCs w:val="0"/>
          <w:sz w:val="24"/>
          <w:szCs w:val="24"/>
        </w:rPr>
        <w:fldChar w:fldCharType="end"/>
      </w:r>
    </w:p>
    <w:p w14:paraId="2A3ADA55">
      <w:pPr>
        <w:pStyle w:val="10"/>
        <w:keepNext w:val="0"/>
        <w:keepLines w:val="0"/>
        <w:widowControl/>
        <w:suppressLineNumbers w:val="0"/>
        <w:jc w:val="both"/>
        <w:rPr>
          <w:rFonts w:hint="default" w:ascii="Times New Roman" w:hAnsi="Times New Roman" w:cs="Times New Roman"/>
          <w:b w:val="0"/>
          <w:bCs w:val="0"/>
          <w:i w:val="0"/>
          <w:iCs w:val="0"/>
          <w:sz w:val="24"/>
          <w:szCs w:val="24"/>
          <w:lang w:val="ro-RO"/>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Reserve Bank of Australia. (2023). </w:t>
      </w:r>
      <w:r>
        <w:rPr>
          <w:rStyle w:val="8"/>
          <w:rFonts w:hint="default" w:ascii="Times New Roman" w:hAnsi="Times New Roman" w:cs="Times New Roman"/>
          <w:b w:val="0"/>
          <w:bCs w:val="0"/>
          <w:i w:val="0"/>
          <w:iCs w:val="0"/>
          <w:sz w:val="24"/>
          <w:szCs w:val="24"/>
        </w:rPr>
        <w:t>Monetary Policy and Financial Stability.</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"https://www.rba.gov.au"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https://www.rba.gov.au</w:t>
      </w:r>
      <w:r>
        <w:rPr>
          <w:rFonts w:hint="default" w:ascii="Times New Roman" w:hAnsi="Times New Roman" w:cs="Times New Roman"/>
          <w:b w:val="0"/>
          <w:bCs w:val="0"/>
          <w:i w:val="0"/>
          <w:iCs w:val="0"/>
          <w:sz w:val="24"/>
          <w:szCs w:val="24"/>
        </w:rPr>
        <w:fldChar w:fldCharType="end"/>
      </w:r>
      <w:r>
        <w:rPr>
          <w:rFonts w:hint="default" w:ascii="Times New Roman" w:hAnsi="Times New Roman" w:cs="Times New Roman"/>
          <w:b w:val="0"/>
          <w:bCs w:val="0"/>
          <w:i w:val="0"/>
          <w:iCs w:val="0"/>
          <w:sz w:val="24"/>
          <w:szCs w:val="24"/>
          <w:lang w:val="ro-RO"/>
        </w:rPr>
        <w:t xml:space="preserve"> </w:t>
      </w:r>
    </w:p>
    <w:p w14:paraId="37F4A654">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Seaopenresearch. (n.d.). </w:t>
      </w:r>
      <w:r>
        <w:rPr>
          <w:rStyle w:val="8"/>
          <w:rFonts w:hint="default" w:ascii="Times New Roman" w:hAnsi="Times New Roman" w:cs="Times New Roman"/>
          <w:b w:val="0"/>
          <w:bCs w:val="0"/>
          <w:i w:val="0"/>
          <w:iCs w:val="0"/>
          <w:sz w:val="24"/>
          <w:szCs w:val="24"/>
        </w:rPr>
        <w:t>Financial Market Research.</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"https://seaopenresearch.eu/Journals/articles/MI_30_2.pdf"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https://seaopenresearch.eu</w:t>
      </w:r>
      <w:r>
        <w:rPr>
          <w:rFonts w:hint="default" w:ascii="Times New Roman" w:hAnsi="Times New Roman" w:cs="Times New Roman"/>
          <w:b w:val="0"/>
          <w:bCs w:val="0"/>
          <w:i w:val="0"/>
          <w:iCs w:val="0"/>
          <w:sz w:val="24"/>
          <w:szCs w:val="24"/>
        </w:rPr>
        <w:fldChar w:fldCharType="end"/>
      </w:r>
    </w:p>
    <w:p w14:paraId="2D597E72">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ECTAP. (n.d.). </w:t>
      </w:r>
      <w:r>
        <w:rPr>
          <w:rStyle w:val="8"/>
          <w:rFonts w:hint="default" w:ascii="Times New Roman" w:hAnsi="Times New Roman" w:cs="Times New Roman"/>
          <w:b w:val="0"/>
          <w:bCs w:val="0"/>
          <w:i w:val="0"/>
          <w:iCs w:val="0"/>
          <w:sz w:val="24"/>
          <w:szCs w:val="24"/>
        </w:rPr>
        <w:t>Economic Research Articles</w:t>
      </w:r>
      <w:r>
        <w:rPr>
          <w:rStyle w:val="8"/>
          <w:rFonts w:hint="default" w:ascii="Times New Roman" w:hAnsi="Times New Roman" w:cs="Times New Roman"/>
          <w:b w:val="0"/>
          <w:bCs w:val="0"/>
          <w:i w:val="0"/>
          <w:iCs w:val="0"/>
          <w:sz w:val="24"/>
          <w:szCs w:val="24"/>
          <w:lang w:val="ro-RO"/>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"https://store.ectap.ro/articole/210.pdf"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https://store.ectap.ro</w:t>
      </w:r>
      <w:r>
        <w:rPr>
          <w:rFonts w:hint="default" w:ascii="Times New Roman" w:hAnsi="Times New Roman" w:cs="Times New Roman"/>
          <w:b w:val="0"/>
          <w:bCs w:val="0"/>
          <w:i w:val="0"/>
          <w:iCs w:val="0"/>
          <w:sz w:val="24"/>
          <w:szCs w:val="24"/>
        </w:rPr>
        <w:fldChar w:fldCharType="end"/>
      </w:r>
    </w:p>
    <w:p w14:paraId="4B798DAC">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Australian Bureau of Statistics. (n.d.). </w:t>
      </w:r>
      <w:r>
        <w:rPr>
          <w:rStyle w:val="8"/>
          <w:rFonts w:hint="default" w:ascii="Times New Roman" w:hAnsi="Times New Roman" w:cs="Times New Roman"/>
          <w:b w:val="0"/>
          <w:bCs w:val="0"/>
          <w:i w:val="0"/>
          <w:iCs w:val="0"/>
          <w:sz w:val="24"/>
          <w:szCs w:val="24"/>
        </w:rPr>
        <w:t>Business Indicators in Australia.</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"https://www.abs.gov.au/statistics/economy/business-indicators/business-indicators-australia/latest-release"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https://www.abs.gov.au</w:t>
      </w:r>
      <w:r>
        <w:rPr>
          <w:rFonts w:hint="default" w:ascii="Times New Roman" w:hAnsi="Times New Roman" w:cs="Times New Roman"/>
          <w:b w:val="0"/>
          <w:bCs w:val="0"/>
          <w:i w:val="0"/>
          <w:iCs w:val="0"/>
          <w:sz w:val="24"/>
          <w:szCs w:val="24"/>
        </w:rPr>
        <w:fldChar w:fldCharType="end"/>
      </w:r>
    </w:p>
    <w:p w14:paraId="7063F787">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ResearchGate. (n.d.). </w:t>
      </w:r>
      <w:r>
        <w:rPr>
          <w:rStyle w:val="8"/>
          <w:rFonts w:hint="default" w:ascii="Times New Roman" w:hAnsi="Times New Roman" w:cs="Times New Roman"/>
          <w:b w:val="0"/>
          <w:bCs w:val="0"/>
          <w:i w:val="0"/>
          <w:iCs w:val="0"/>
          <w:sz w:val="24"/>
          <w:szCs w:val="24"/>
        </w:rPr>
        <w:t>Cost and Profit Efficiencies of Australian Banks and the Impact of the Global Financial Crisis.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"https://www.researchgate.net/publication/227372542_Cost_and_Profit_Efficiencies_of_Australian_Banks_and_the_Impact_of_the_Global_Financial_Crisis"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https://www.researchgate.net</w:t>
      </w:r>
      <w:r>
        <w:rPr>
          <w:rFonts w:hint="default" w:ascii="Times New Roman" w:hAnsi="Times New Roman" w:cs="Times New Roman"/>
          <w:b w:val="0"/>
          <w:bCs w:val="0"/>
          <w:i w:val="0"/>
          <w:iCs w:val="0"/>
          <w:sz w:val="24"/>
          <w:szCs w:val="24"/>
        </w:rPr>
        <w:fldChar w:fldCharType="end"/>
      </w:r>
    </w:p>
    <w:p w14:paraId="7A9EBC32">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World Bank. (2022). </w:t>
      </w:r>
      <w:r>
        <w:rPr>
          <w:rStyle w:val="8"/>
          <w:rFonts w:hint="default" w:ascii="Times New Roman" w:hAnsi="Times New Roman" w:cs="Times New Roman"/>
          <w:b w:val="0"/>
          <w:bCs w:val="0"/>
          <w:i w:val="0"/>
          <w:iCs w:val="0"/>
          <w:sz w:val="24"/>
          <w:szCs w:val="24"/>
        </w:rPr>
        <w:t>Country Profile: Australia.</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"https://wits.worldbank.org/CountryProfile/en/Country/AUS/Year/2022"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https://wits.worldbank.org</w:t>
      </w:r>
      <w:r>
        <w:rPr>
          <w:rFonts w:hint="default" w:ascii="Times New Roman" w:hAnsi="Times New Roman" w:cs="Times New Roman"/>
          <w:b w:val="0"/>
          <w:bCs w:val="0"/>
          <w:i w:val="0"/>
          <w:iCs w:val="0"/>
          <w:sz w:val="24"/>
          <w:szCs w:val="24"/>
        </w:rPr>
        <w:fldChar w:fldCharType="end"/>
      </w:r>
    </w:p>
    <w:p w14:paraId="1C920C9F">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Reserve Bank of Australia. (2023). </w:t>
      </w:r>
      <w:r>
        <w:rPr>
          <w:rStyle w:val="8"/>
          <w:rFonts w:hint="default" w:ascii="Times New Roman" w:hAnsi="Times New Roman" w:cs="Times New Roman"/>
          <w:b w:val="0"/>
          <w:bCs w:val="0"/>
          <w:i w:val="0"/>
          <w:iCs w:val="0"/>
          <w:sz w:val="24"/>
          <w:szCs w:val="24"/>
        </w:rPr>
        <w:t>Market Concentration in Australian Banking.</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"https://www.rba.gov.au/publications/rdp/2023/2023-02/how-concentrated-are-australian-markets.html"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https://www.rba.gov.au</w:t>
      </w:r>
      <w:r>
        <w:rPr>
          <w:rFonts w:hint="default" w:ascii="Times New Roman" w:hAnsi="Times New Roman" w:cs="Times New Roman"/>
          <w:b w:val="0"/>
          <w:bCs w:val="0"/>
          <w:i w:val="0"/>
          <w:iCs w:val="0"/>
          <w:sz w:val="24"/>
          <w:szCs w:val="24"/>
        </w:rPr>
        <w:fldChar w:fldCharType="end"/>
      </w:r>
    </w:p>
    <w:p w14:paraId="271E5934">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Australian Banking Association (ABA).</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Banking Industry Data and Reports.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"https://www.ausbanking.org.au/"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https://www.ausbanking.org.au</w:t>
      </w:r>
      <w:r>
        <w:rPr>
          <w:rFonts w:hint="default" w:ascii="Times New Roman" w:hAnsi="Times New Roman" w:cs="Times New Roman"/>
          <w:b w:val="0"/>
          <w:bCs w:val="0"/>
          <w:i w:val="0"/>
          <w:iCs w:val="0"/>
          <w:sz w:val="24"/>
          <w:szCs w:val="24"/>
        </w:rPr>
        <w:fldChar w:fldCharType="end"/>
      </w:r>
    </w:p>
    <w:p w14:paraId="6456F752">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ymbol" w:cs="Times New Roman"/>
          <w:b w:val="0"/>
          <w:bCs w:val="0"/>
          <w:i w:val="0"/>
          <w:iCs w:val="0"/>
          <w:sz w:val="24"/>
          <w:szCs w:val="24"/>
          <w:lang w:val="ro-RO"/>
        </w:rPr>
        <w:t xml:space="preserve">   </w:t>
      </w:r>
      <w:r>
        <w:rPr>
          <w:rStyle w:val="11"/>
          <w:rFonts w:hint="default" w:ascii="Times New Roman" w:hAnsi="Times New Roman" w:cs="Times New Roman"/>
          <w:b w:val="0"/>
          <w:bCs w:val="0"/>
          <w:i w:val="0"/>
          <w:iCs w:val="0"/>
          <w:sz w:val="24"/>
          <w:szCs w:val="24"/>
        </w:rPr>
        <w:t>Bank for International Settlements (BIS).</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Australia’s Financial Stability Indicators.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"https://www.bis.org/"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https://www.bis.org</w:t>
      </w:r>
      <w:r>
        <w:rPr>
          <w:rFonts w:hint="default" w:ascii="Times New Roman" w:hAnsi="Times New Roman" w:cs="Times New Roman"/>
          <w:b w:val="0"/>
          <w:bCs w:val="0"/>
          <w:i w:val="0"/>
          <w:iCs w:val="0"/>
          <w:sz w:val="24"/>
          <w:szCs w:val="24"/>
        </w:rPr>
        <w:fldChar w:fldCharType="end"/>
      </w:r>
    </w:p>
    <w:p w14:paraId="256BEA55">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World Economic Forum.</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Global Competitiveness Report - Australia’s Banking Sector.</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"https://www.weforum.org/"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https://www.weforum.org</w:t>
      </w:r>
      <w:r>
        <w:rPr>
          <w:rFonts w:hint="default" w:ascii="Times New Roman" w:hAnsi="Times New Roman" w:cs="Times New Roman"/>
          <w:b w:val="0"/>
          <w:bCs w:val="0"/>
          <w:i w:val="0"/>
          <w:iCs w:val="0"/>
          <w:sz w:val="24"/>
          <w:szCs w:val="24"/>
        </w:rPr>
        <w:fldChar w:fldCharType="end"/>
      </w:r>
    </w:p>
    <w:p w14:paraId="7F17272D">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The Economist Intelligence Unit (EIU).</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Australia Banking Industry Outlook.</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"https://www.eiu.com/"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https://www.eiu.com</w:t>
      </w:r>
      <w:r>
        <w:rPr>
          <w:rFonts w:hint="default" w:ascii="Times New Roman" w:hAnsi="Times New Roman" w:cs="Times New Roman"/>
          <w:b w:val="0"/>
          <w:bCs w:val="0"/>
          <w:i w:val="0"/>
          <w:iCs w:val="0"/>
          <w:sz w:val="24"/>
          <w:szCs w:val="24"/>
        </w:rPr>
        <w:fldChar w:fldCharType="end"/>
      </w:r>
    </w:p>
    <w:p w14:paraId="7E2C1A31">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lang w:val="ro-RO"/>
        </w:rPr>
        <w:t>S</w:t>
      </w:r>
      <w:r>
        <w:rPr>
          <w:rStyle w:val="11"/>
          <w:rFonts w:hint="default" w:ascii="Times New Roman" w:hAnsi="Times New Roman" w:cs="Times New Roman"/>
          <w:b w:val="0"/>
          <w:bCs w:val="0"/>
          <w:i w:val="0"/>
          <w:iCs w:val="0"/>
          <w:sz w:val="24"/>
          <w:szCs w:val="24"/>
        </w:rPr>
        <w:t>tatista.</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Profitability Metrics of Australian Banks.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"https://www.statista.com/"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https://www.statista.com</w:t>
      </w:r>
      <w:r>
        <w:rPr>
          <w:rFonts w:hint="default" w:ascii="Times New Roman" w:hAnsi="Times New Roman" w:cs="Times New Roman"/>
          <w:b w:val="0"/>
          <w:bCs w:val="0"/>
          <w:i w:val="0"/>
          <w:iCs w:val="0"/>
          <w:sz w:val="24"/>
          <w:szCs w:val="24"/>
        </w:rPr>
        <w:fldChar w:fldCharType="end"/>
      </w:r>
    </w:p>
    <w:p w14:paraId="754E29A8">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Australian Treasury.</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Economic Trends Affecting Financial Institutions.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"https://treasury.gov.au/"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https://treasury.gov.au</w:t>
      </w:r>
      <w:r>
        <w:rPr>
          <w:rFonts w:hint="default" w:ascii="Times New Roman" w:hAnsi="Times New Roman" w:cs="Times New Roman"/>
          <w:b w:val="0"/>
          <w:bCs w:val="0"/>
          <w:i w:val="0"/>
          <w:iCs w:val="0"/>
          <w:sz w:val="24"/>
          <w:szCs w:val="24"/>
        </w:rPr>
        <w:fldChar w:fldCharType="end"/>
      </w:r>
    </w:p>
    <w:p w14:paraId="4EE0E3BF">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International Finance Corporation (IFC).</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Banking Efficiency in Australia.</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"https://www.ifc.org/"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https://www.ifc.org</w:t>
      </w:r>
      <w:r>
        <w:rPr>
          <w:rFonts w:hint="default" w:ascii="Times New Roman" w:hAnsi="Times New Roman" w:cs="Times New Roman"/>
          <w:b w:val="0"/>
          <w:bCs w:val="0"/>
          <w:i w:val="0"/>
          <w:iCs w:val="0"/>
          <w:sz w:val="24"/>
          <w:szCs w:val="24"/>
        </w:rPr>
        <w:fldChar w:fldCharType="end"/>
      </w:r>
    </w:p>
    <w:p w14:paraId="4ECBE391">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Moody’s Analytics.</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Australia Banking Sector Credit Ratings.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"https://www.moodysanalytics.com/"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https://www.moodysanalytics.com</w:t>
      </w:r>
      <w:r>
        <w:rPr>
          <w:rFonts w:hint="default" w:ascii="Times New Roman" w:hAnsi="Times New Roman" w:cs="Times New Roman"/>
          <w:b w:val="0"/>
          <w:bCs w:val="0"/>
          <w:i w:val="0"/>
          <w:iCs w:val="0"/>
          <w:sz w:val="24"/>
          <w:szCs w:val="24"/>
        </w:rPr>
        <w:fldChar w:fldCharType="end"/>
      </w:r>
    </w:p>
    <w:p w14:paraId="7C6D35BA">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S&amp;P Global Ratings.</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Risk and Profitability Trends in Australian Banks.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"https://www.spglobal.com/"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https://www.spglobal.com</w:t>
      </w:r>
      <w:r>
        <w:rPr>
          <w:rFonts w:hint="default" w:ascii="Times New Roman" w:hAnsi="Times New Roman" w:cs="Times New Roman"/>
          <w:b w:val="0"/>
          <w:bCs w:val="0"/>
          <w:i w:val="0"/>
          <w:iCs w:val="0"/>
          <w:sz w:val="24"/>
          <w:szCs w:val="24"/>
        </w:rPr>
        <w:fldChar w:fldCharType="end"/>
      </w:r>
    </w:p>
    <w:p w14:paraId="4E82FE33">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lang w:val="ro-RO"/>
        </w:rPr>
        <w:t xml:space="preserve"> </w:t>
      </w:r>
      <w:r>
        <w:rPr>
          <w:rStyle w:val="11"/>
          <w:rFonts w:hint="default" w:ascii="Times New Roman" w:hAnsi="Times New Roman" w:cs="Times New Roman"/>
          <w:b w:val="0"/>
          <w:bCs w:val="0"/>
          <w:i w:val="0"/>
          <w:iCs w:val="0"/>
          <w:sz w:val="24"/>
          <w:szCs w:val="24"/>
        </w:rPr>
        <w:t>Fitch Ratings.</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Australian Banking Industry Risk Assessment.</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"https://www.fitchratings.com/"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https://www.fitchratings.com</w:t>
      </w:r>
      <w:r>
        <w:rPr>
          <w:rFonts w:hint="default" w:ascii="Times New Roman" w:hAnsi="Times New Roman" w:cs="Times New Roman"/>
          <w:b w:val="0"/>
          <w:bCs w:val="0"/>
          <w:i w:val="0"/>
          <w:iCs w:val="0"/>
          <w:sz w:val="24"/>
          <w:szCs w:val="24"/>
        </w:rPr>
        <w:fldChar w:fldCharType="end"/>
      </w:r>
    </w:p>
    <w:p w14:paraId="11B49649">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Australian Competition and Consumer Commission (ACCC).</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Banking Market Competition Report.</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"https://www.accc.gov.au/"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https://www.accc.gov.au</w:t>
      </w:r>
      <w:r>
        <w:rPr>
          <w:rFonts w:hint="default" w:ascii="Times New Roman" w:hAnsi="Times New Roman" w:cs="Times New Roman"/>
          <w:b w:val="0"/>
          <w:bCs w:val="0"/>
          <w:i w:val="0"/>
          <w:iCs w:val="0"/>
          <w:sz w:val="24"/>
          <w:szCs w:val="24"/>
        </w:rPr>
        <w:fldChar w:fldCharType="end"/>
      </w:r>
    </w:p>
    <w:p w14:paraId="4872E632">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University of Sydney - Finance Department.</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Research on Profitability and Competition in Australian Banking.</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"https://www.sydney.edu.au/"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https://www.sydney.edu.au</w:t>
      </w:r>
      <w:r>
        <w:rPr>
          <w:rFonts w:hint="default" w:ascii="Times New Roman" w:hAnsi="Times New Roman" w:cs="Times New Roman"/>
          <w:b w:val="0"/>
          <w:bCs w:val="0"/>
          <w:i w:val="0"/>
          <w:iCs w:val="0"/>
          <w:sz w:val="24"/>
          <w:szCs w:val="24"/>
        </w:rPr>
        <w:fldChar w:fldCharType="end"/>
      </w:r>
    </w:p>
    <w:p w14:paraId="2703FF66">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Australian Financial Review (AFR).</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Analysis on Australian Banking Profitability.</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"https://www.afr.com/"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https://www.afr.com</w:t>
      </w:r>
      <w:r>
        <w:rPr>
          <w:rFonts w:hint="default" w:ascii="Times New Roman" w:hAnsi="Times New Roman" w:cs="Times New Roman"/>
          <w:b w:val="0"/>
          <w:bCs w:val="0"/>
          <w:i w:val="0"/>
          <w:iCs w:val="0"/>
          <w:sz w:val="24"/>
          <w:szCs w:val="24"/>
        </w:rPr>
        <w:fldChar w:fldCharType="end"/>
      </w:r>
    </w:p>
    <w:p w14:paraId="38302F7B">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Macquarie University - Banking Research Unit.</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Academic Papers on Financial Stability in Australia.</w:t>
      </w:r>
      <w:r>
        <w:rPr>
          <w:rStyle w:val="8"/>
          <w:rFonts w:hint="default" w:ascii="Times New Roman" w:hAnsi="Times New Roman" w:cs="Times New Roman"/>
          <w:b w:val="0"/>
          <w:bCs w:val="0"/>
          <w:i w:val="0"/>
          <w:iCs w:val="0"/>
          <w:sz w:val="24"/>
          <w:szCs w:val="24"/>
          <w:lang w:val="ro-RO"/>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"https://www.mq.edu.au/"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https://www.mq.edu.au</w:t>
      </w:r>
      <w:r>
        <w:rPr>
          <w:rFonts w:hint="default" w:ascii="Times New Roman" w:hAnsi="Times New Roman" w:cs="Times New Roman"/>
          <w:b w:val="0"/>
          <w:bCs w:val="0"/>
          <w:i w:val="0"/>
          <w:iCs w:val="0"/>
          <w:sz w:val="24"/>
          <w:szCs w:val="24"/>
        </w:rPr>
        <w:fldChar w:fldCharType="end"/>
      </w:r>
    </w:p>
    <w:p w14:paraId="3A60B903">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Oxford Economics.</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Australia’s Banking Sector Projections.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"https://www.oxfordeconomics.com/"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https://www.oxfordeconomics.com</w:t>
      </w:r>
      <w:r>
        <w:rPr>
          <w:rFonts w:hint="default" w:ascii="Times New Roman" w:hAnsi="Times New Roman" w:cs="Times New Roman"/>
          <w:b w:val="0"/>
          <w:bCs w:val="0"/>
          <w:i w:val="0"/>
          <w:iCs w:val="0"/>
          <w:sz w:val="24"/>
          <w:szCs w:val="24"/>
        </w:rPr>
        <w:fldChar w:fldCharType="end"/>
      </w:r>
    </w:p>
    <w:p w14:paraId="67E00018">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Style w:val="11"/>
          <w:rFonts w:hint="default" w:ascii="Times New Roman" w:hAnsi="Times New Roman" w:cs="Times New Roman"/>
          <w:b w:val="0"/>
          <w:bCs w:val="0"/>
          <w:i w:val="0"/>
          <w:iCs w:val="0"/>
          <w:sz w:val="24"/>
          <w:szCs w:val="24"/>
        </w:rPr>
        <w:t>Deloitte Australia.</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Annual Banking Industry Review.</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"https://www2.deloitte.com/au/en.htm"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https://www2.deloitte.com/au/en.htm</w:t>
      </w:r>
      <w:r>
        <w:rPr>
          <w:rFonts w:hint="default" w:ascii="Times New Roman" w:hAnsi="Times New Roman" w:cs="Times New Roman"/>
          <w:b w:val="0"/>
          <w:bCs w:val="0"/>
          <w:i w:val="0"/>
          <w:iCs w:val="0"/>
          <w:sz w:val="24"/>
          <w:szCs w:val="24"/>
        </w:rPr>
        <w:fldChar w:fldCharType="end"/>
      </w:r>
      <w:r>
        <w:rPr>
          <w:rFonts w:hint="default" w:ascii="Times New Roman" w:hAnsi="Times New Roman" w:cs="Times New Roman"/>
          <w:b w:val="0"/>
          <w:bCs w:val="0"/>
          <w:i w:val="0"/>
          <w:iCs w:val="0"/>
          <w:sz w:val="24"/>
          <w:szCs w:val="24"/>
          <w:lang w:val="ro-RO"/>
        </w:rPr>
        <w:t xml:space="preserve"> </w:t>
      </w:r>
      <w:r>
        <w:rPr>
          <w:rFonts w:hint="default" w:ascii="Times New Roman" w:hAnsi="Times New Roman" w:cs="Times New Roman"/>
          <w:b w:val="0"/>
          <w:bCs w:val="0"/>
          <w:i w:val="0"/>
          <w:iCs w:val="0"/>
          <w:sz w:val="24"/>
          <w:szCs w:val="24"/>
        </w:rPr>
        <w:t>l</w:t>
      </w:r>
    </w:p>
    <w:p w14:paraId="7CD4E3B2">
      <w:pPr>
        <w:pStyle w:val="10"/>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eastAsia="Symbol" w:cs="Times New Roman"/>
          <w:b w:val="0"/>
          <w:bCs w:val="0"/>
          <w:i w:val="0"/>
          <w:iCs w:val="0"/>
          <w:sz w:val="24"/>
          <w:szCs w:val="24"/>
        </w:rPr>
        <w:t>·</w:t>
      </w:r>
      <w:r>
        <w:rPr>
          <w:rFonts w:hint="default" w:ascii="Times New Roman" w:hAnsi="Times New Roman" w:eastAsia="SimSun" w:cs="Times New Roman"/>
          <w:b w:val="0"/>
          <w:bCs w:val="0"/>
          <w:i w:val="0"/>
          <w:iCs w:val="0"/>
          <w:sz w:val="24"/>
          <w:szCs w:val="24"/>
        </w:rPr>
        <w:t xml:space="preserve"> </w:t>
      </w:r>
      <w:r>
        <w:rPr>
          <w:rFonts w:hint="default" w:ascii="Times New Roman" w:hAnsi="Times New Roman" w:cs="Times New Roman"/>
          <w:b w:val="0"/>
          <w:bCs w:val="0"/>
          <w:i w:val="0"/>
          <w:iCs w:val="0"/>
          <w:sz w:val="24"/>
          <w:szCs w:val="24"/>
          <w:lang w:val="ro-RO"/>
        </w:rPr>
        <w:t xml:space="preserve"> </w:t>
      </w:r>
      <w:r>
        <w:rPr>
          <w:rStyle w:val="11"/>
          <w:rFonts w:hint="default" w:ascii="Times New Roman" w:hAnsi="Times New Roman" w:cs="Times New Roman"/>
          <w:b w:val="0"/>
          <w:bCs w:val="0"/>
          <w:i w:val="0"/>
          <w:iCs w:val="0"/>
          <w:sz w:val="24"/>
          <w:szCs w:val="24"/>
        </w:rPr>
        <w:t>PwC Australia.</w:t>
      </w:r>
      <w:r>
        <w:rPr>
          <w:rFonts w:hint="default" w:ascii="Times New Roman" w:hAnsi="Times New Roman" w:cs="Times New Roman"/>
          <w:b w:val="0"/>
          <w:bCs w:val="0"/>
          <w:i w:val="0"/>
          <w:iCs w:val="0"/>
          <w:sz w:val="24"/>
          <w:szCs w:val="24"/>
        </w:rPr>
        <w:t xml:space="preserve"> (2023). </w:t>
      </w:r>
      <w:r>
        <w:rPr>
          <w:rStyle w:val="8"/>
          <w:rFonts w:hint="default" w:ascii="Times New Roman" w:hAnsi="Times New Roman" w:cs="Times New Roman"/>
          <w:b w:val="0"/>
          <w:bCs w:val="0"/>
          <w:i w:val="0"/>
          <w:iCs w:val="0"/>
          <w:sz w:val="24"/>
          <w:szCs w:val="24"/>
        </w:rPr>
        <w:t>Banking Trends and Profitability Forecasts.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fldChar w:fldCharType="begin"/>
      </w:r>
      <w:r>
        <w:rPr>
          <w:rFonts w:hint="default" w:ascii="Times New Roman" w:hAnsi="Times New Roman" w:cs="Times New Roman"/>
          <w:b w:val="0"/>
          <w:bCs w:val="0"/>
          <w:i w:val="0"/>
          <w:iCs w:val="0"/>
          <w:sz w:val="24"/>
          <w:szCs w:val="24"/>
        </w:rPr>
        <w:instrText xml:space="preserve"> HYPERLINK "https://www.pwc.com.au/" \t "_new" </w:instrText>
      </w:r>
      <w:r>
        <w:rPr>
          <w:rFonts w:hint="default" w:ascii="Times New Roman" w:hAnsi="Times New Roman" w:cs="Times New Roman"/>
          <w:b w:val="0"/>
          <w:bCs w:val="0"/>
          <w:i w:val="0"/>
          <w:iCs w:val="0"/>
          <w:sz w:val="24"/>
          <w:szCs w:val="24"/>
        </w:rPr>
        <w:fldChar w:fldCharType="separate"/>
      </w:r>
      <w:r>
        <w:rPr>
          <w:rStyle w:val="9"/>
          <w:rFonts w:hint="default" w:ascii="Times New Roman" w:hAnsi="Times New Roman" w:cs="Times New Roman"/>
          <w:b w:val="0"/>
          <w:bCs w:val="0"/>
          <w:i w:val="0"/>
          <w:iCs w:val="0"/>
          <w:sz w:val="24"/>
          <w:szCs w:val="24"/>
        </w:rPr>
        <w:t>https://www.pwc.com.au</w:t>
      </w:r>
      <w:r>
        <w:rPr>
          <w:rFonts w:hint="default" w:ascii="Times New Roman" w:hAnsi="Times New Roman" w:cs="Times New Roman"/>
          <w:b w:val="0"/>
          <w:bCs w:val="0"/>
          <w:i w:val="0"/>
          <w:iCs w:val="0"/>
          <w:sz w:val="24"/>
          <w:szCs w:val="24"/>
        </w:rPr>
        <w:fldChar w:fldCharType="end"/>
      </w:r>
    </w:p>
    <w:p w14:paraId="1A9D8242">
      <w:pPr>
        <w:pStyle w:val="10"/>
        <w:keepNext w:val="0"/>
        <w:keepLines w:val="0"/>
        <w:widowControl/>
        <w:suppressLineNumbers w:val="0"/>
        <w:jc w:val="both"/>
        <w:rPr>
          <w:rFonts w:hint="default" w:ascii="Times New Roman" w:hAnsi="Times New Roman" w:cs="Times New Roman"/>
          <w:b w:val="0"/>
          <w:bCs w:val="0"/>
          <w:i/>
          <w:iCs/>
          <w:sz w:val="24"/>
          <w:szCs w:val="24"/>
          <w:lang w:val="ro-RO"/>
        </w:rPr>
      </w:pPr>
    </w:p>
    <w:p w14:paraId="0CA618EC">
      <w:pPr>
        <w:pStyle w:val="10"/>
        <w:keepNext w:val="0"/>
        <w:keepLines w:val="0"/>
        <w:widowControl/>
        <w:suppressLineNumbers w:val="0"/>
        <w:jc w:val="both"/>
        <w:rPr>
          <w:rFonts w:hint="default"/>
          <w:sz w:val="24"/>
          <w:szCs w:val="24"/>
          <w:lang w:val="ro-RO"/>
        </w:rPr>
      </w:pPr>
    </w:p>
    <w:p w14:paraId="2844D5B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sz w:val="24"/>
          <w:szCs w:val="24"/>
        </w:rPr>
      </w:pPr>
    </w:p>
    <w:p w14:paraId="19E0A84E">
      <w:pPr>
        <w:numPr>
          <w:ilvl w:val="0"/>
          <w:numId w:val="0"/>
        </w:numPr>
        <w:ind w:leftChars="0"/>
        <w:jc w:val="center"/>
        <w:rPr>
          <w:rFonts w:hint="default"/>
          <w:sz w:val="24"/>
          <w:szCs w:val="24"/>
          <w:lang w:val="ro-RO"/>
        </w:rPr>
      </w:pPr>
    </w:p>
    <w:p w14:paraId="74E02B1C">
      <w:pPr>
        <w:numPr>
          <w:ilvl w:val="0"/>
          <w:numId w:val="0"/>
        </w:numPr>
        <w:ind w:leftChars="0"/>
        <w:jc w:val="center"/>
        <w:rPr>
          <w:rFonts w:hint="default"/>
          <w:lang w:val="ro-R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23E86"/>
    <w:multiLevelType w:val="singleLevel"/>
    <w:tmpl w:val="89F23E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2EEC4D"/>
    <w:multiLevelType w:val="singleLevel"/>
    <w:tmpl w:val="902EEC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6179A2F"/>
    <w:multiLevelType w:val="multilevel"/>
    <w:tmpl w:val="96179A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1E9E21"/>
    <w:multiLevelType w:val="singleLevel"/>
    <w:tmpl w:val="E41E9E21"/>
    <w:lvl w:ilvl="0" w:tentative="0">
      <w:start w:val="1"/>
      <w:numFmt w:val="upperLetter"/>
      <w:suff w:val="space"/>
      <w:lvlText w:val="%1)"/>
      <w:lvlJc w:val="left"/>
    </w:lvl>
  </w:abstractNum>
  <w:abstractNum w:abstractNumId="4">
    <w:nsid w:val="0265BABF"/>
    <w:multiLevelType w:val="singleLevel"/>
    <w:tmpl w:val="0265BA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E1BDE2E"/>
    <w:multiLevelType w:val="multilevel"/>
    <w:tmpl w:val="3E1BDE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45DD67CE"/>
    <w:multiLevelType w:val="singleLevel"/>
    <w:tmpl w:val="45DD67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D490A2E"/>
    <w:multiLevelType w:val="singleLevel"/>
    <w:tmpl w:val="4D490A2E"/>
    <w:lvl w:ilvl="0" w:tentative="0">
      <w:start w:val="2"/>
      <w:numFmt w:val="upperLetter"/>
      <w:suff w:val="space"/>
      <w:lvlText w:val="%1)"/>
      <w:lvlJc w:val="left"/>
    </w:lvl>
  </w:abstractNum>
  <w:abstractNum w:abstractNumId="8">
    <w:nsid w:val="5A262429"/>
    <w:multiLevelType w:val="singleLevel"/>
    <w:tmpl w:val="5A262429"/>
    <w:lvl w:ilvl="0" w:tentative="0">
      <w:start w:val="1"/>
      <w:numFmt w:val="decimal"/>
      <w:suff w:val="space"/>
      <w:lvlText w:val="%1."/>
      <w:lvlJc w:val="left"/>
      <w:rPr>
        <w:rFonts w:hint="default"/>
        <w:b/>
        <w:bCs/>
        <w:i/>
        <w:iCs/>
        <w:sz w:val="28"/>
        <w:szCs w:val="28"/>
      </w:rPr>
    </w:lvl>
  </w:abstractNum>
  <w:abstractNum w:abstractNumId="9">
    <w:nsid w:val="7E6B6047"/>
    <w:multiLevelType w:val="multilevel"/>
    <w:tmpl w:val="7E6B60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3"/>
  </w:num>
  <w:num w:numId="3">
    <w:abstractNumId w:val="7"/>
  </w:num>
  <w:num w:numId="4">
    <w:abstractNumId w:val="0"/>
  </w:num>
  <w:num w:numId="5">
    <w:abstractNumId w:val="1"/>
  </w:num>
  <w:num w:numId="6">
    <w:abstractNumId w:val="6"/>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5111D"/>
    <w:rsid w:val="03475C25"/>
    <w:rsid w:val="0D726376"/>
    <w:rsid w:val="0E8E2544"/>
    <w:rsid w:val="1005731A"/>
    <w:rsid w:val="11DB17E3"/>
    <w:rsid w:val="12850A91"/>
    <w:rsid w:val="18F4642E"/>
    <w:rsid w:val="1B2E75AC"/>
    <w:rsid w:val="1D756061"/>
    <w:rsid w:val="1E2503D0"/>
    <w:rsid w:val="219A64A1"/>
    <w:rsid w:val="25916C79"/>
    <w:rsid w:val="26F25698"/>
    <w:rsid w:val="298F22DB"/>
    <w:rsid w:val="2BAA42F0"/>
    <w:rsid w:val="309A4085"/>
    <w:rsid w:val="31EF007A"/>
    <w:rsid w:val="35033E04"/>
    <w:rsid w:val="3A366C90"/>
    <w:rsid w:val="3AE916D5"/>
    <w:rsid w:val="3E9D13F6"/>
    <w:rsid w:val="40E20083"/>
    <w:rsid w:val="434D51A1"/>
    <w:rsid w:val="465D6325"/>
    <w:rsid w:val="46D05BA6"/>
    <w:rsid w:val="4D700028"/>
    <w:rsid w:val="5176689F"/>
    <w:rsid w:val="55B464A8"/>
    <w:rsid w:val="55DA1A70"/>
    <w:rsid w:val="57745594"/>
    <w:rsid w:val="5879437D"/>
    <w:rsid w:val="5D710D9B"/>
    <w:rsid w:val="5F1D1E82"/>
    <w:rsid w:val="60FB5269"/>
    <w:rsid w:val="618A317B"/>
    <w:rsid w:val="6832131A"/>
    <w:rsid w:val="72BB2EBB"/>
    <w:rsid w:val="74972970"/>
    <w:rsid w:val="74F73180"/>
    <w:rsid w:val="757D5E96"/>
    <w:rsid w:val="79074B2F"/>
    <w:rsid w:val="7CDE4E3F"/>
    <w:rsid w:val="7CED79EB"/>
    <w:rsid w:val="7D3C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em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2025-01-05T21:53:00Z</dcterms:created>
  <dc:creator>roraz</dc:creator>
  <cp:lastModifiedBy>A Person</cp:lastModifiedBy>
  <dcterms:modified xsi:type="dcterms:W3CDTF">2025-01-20T16:40:10Z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AC3FD3D675FD4D618A18558F4AE0FF20_12</vt:lpwstr>
  </property>
</Properties>
</file>