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OFFICER-VIEW REVIEW, ROUND 2</w:t>
      </w:r>
    </w:p>
    <w:p>
      <w:pPr>
        <w:spacing w:after="100" w:before="0"/>
      </w:pPr>
      <w:r>
        <w:rPr>
          <w:rFonts w:ascii="Calibri" w:cs="Calibri" w:eastAsia="Calibri" w:hAnsi="Calibri"/>
          <w:b w:val="false"/>
          <w:bCs w:val="false"/>
          <w:sz w:val="28"/>
          <w:szCs w:val="28"/>
        </w:rPr>
        <w:t xml:space="preserve"/>
      </w:r>
      <w:r>
        <w:rPr>
          <w:rFonts w:ascii="Calibri" w:cs="Calibri" w:eastAsia="Calibri" w:hAnsi="Calibri"/>
          <w:b/>
          <w:bCs/>
          <w:sz w:val="28"/>
          <w:szCs w:val="28"/>
        </w:rPr>
        <w:t xml:space="preserve">Flaws, fixes and file-by-file edit instructions</w:t>
      </w:r>
      <w:r>
        <w:rPr>
          <w:rFonts w:ascii="Calibri" w:cs="Calibri" w:eastAsia="Calibri" w:hAnsi="Calibri"/>
          <w:b w:val="false"/>
          <w:bCs w:val="false"/>
          <w:sz w:val="28"/>
          <w:szCs w:val="28"/>
        </w:rPr>
        <w:t xml:space="preserve"/>
      </w:r>
    </w:p>
    <w:p>
      <w:pPr>
        <w:spacing w:after="160" w:before="0"/>
      </w:pPr>
      <w:r>
        <w:rPr>
          <w:rFonts w:ascii="Calibri" w:cs="Calibri" w:eastAsia="Calibri" w:hAnsi="Calibri"/>
          <w:b w:val="false"/>
          <w:bCs w:val="false"/>
          <w:color w:val="595959"/>
          <w:sz w:val="20"/>
          <w:szCs w:val="20"/>
        </w:rPr>
        <w:t xml:space="preserve">Work permit package: Centre for Family Business Inc. (CFFB) / Ashkan Hosseinzadeh. IMP, IRPR R205(d), exemption code C51. UCI 11-1765-8495. Review date: October 24, 2026. Written for the AI agent that will edit the package. Internal file, not for IRCC.</w:t>
      </w:r>
    </w:p>
    <w:p>
      <w:pPr>
        <w:pStyle w:val="Heading1"/>
        <w:spacing w:after="120" w:before="300"/>
      </w:pPr>
      <w:r>
        <w:rPr>
          <w:rFonts w:ascii="Calibri" w:cs="Calibri" w:eastAsia="Calibri" w:hAnsi="Calibri"/>
          <w:b/>
          <w:bCs/>
          <w:color w:val="1F3864"/>
          <w:sz w:val="30"/>
          <w:szCs w:val="30"/>
        </w:rPr>
        <w:t xml:space="preserve">0. Ground rules for the editing agent</w:t>
      </w:r>
    </w:p>
    <w:p>
      <w:pPr>
        <w:pStyle w:val="ListParagraph"/>
        <w:numPr>
          <w:ilvl w:val="0"/>
          <w:numId w:val="2"/>
        </w:numPr>
        <w:spacing w:after="5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Truth rule.</w:t>
      </w:r>
      <w:r>
        <w:rPr>
          <w:rFonts w:ascii="Calibri" w:cs="Calibri" w:eastAsia="Calibri" w:hAnsi="Calibri"/>
          <w:b w:val="false"/>
          <w:bCs w:val="false"/>
          <w:sz w:val="21"/>
          <w:szCs w:val="21"/>
        </w:rPr>
        <w:t xml:space="preserve"> Never invent a fact, date, number, name, conversation or document. Every [[INPUT-nn]] value must come from the applicant or CFFB and must be backed by an exhibit. The “story” in Section 2 is a set of keyframes. Keep a keyframe only if it is true and documented. If it is not true, delete it; do not replace it with something plausible.</w:t>
      </w:r>
    </w:p>
    <w:p>
      <w:pPr>
        <w:pStyle w:val="ListParagraph"/>
        <w:numPr>
          <w:ilvl w:val="0"/>
          <w:numId w:val="2"/>
        </w:numPr>
        <w:spacing w:after="5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Do not add the claim that CFFB “could not find a Canadian”</w:t>
      </w:r>
      <w:r>
        <w:rPr>
          <w:rFonts w:ascii="Calibri" w:cs="Calibri" w:eastAsia="Calibri" w:hAnsi="Calibri"/>
          <w:b w:val="false"/>
          <w:bCs w:val="false"/>
          <w:sz w:val="21"/>
          <w:szCs w:val="21"/>
        </w:rPr>
        <w:t xml:space="preserve"> unless a dated search actually happened and is filed (see F-01). C51 has no labour-market test, and Offer 6.3 already says CFFB does not assert that a Canadian could not do the work. An unsupported exclusivity claim is the fastest way to lose credibility. The honest, stronger approach is a documented, criteria-based selection plus a documented reason the engagement is unpaid.</w:t>
      </w:r>
    </w:p>
    <w:p>
      <w:pPr>
        <w:pStyle w:val="ListParagraph"/>
        <w:numPr>
          <w:ilvl w:val="0"/>
          <w:numId w:val="2"/>
        </w:numPr>
        <w:spacing w:after="5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One master timeline (Section 4).</w:t>
      </w:r>
      <w:r>
        <w:rPr>
          <w:rFonts w:ascii="Calibri" w:cs="Calibri" w:eastAsia="Calibri" w:hAnsi="Calibri"/>
          <w:b w:val="false"/>
          <w:bCs w:val="false"/>
          <w:sz w:val="21"/>
          <w:szCs w:val="21"/>
        </w:rPr>
        <w:t xml:space="preserve"> Every date in every file must match it. After any date change, search all files for the old date.</w:t>
      </w:r>
    </w:p>
    <w:p>
      <w:pPr>
        <w:pStyle w:val="ListParagraph"/>
        <w:numPr>
          <w:ilvl w:val="0"/>
          <w:numId w:val="2"/>
        </w:numPr>
        <w:spacing w:after="5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Voice.</w:t>
      </w:r>
      <w:r>
        <w:rPr>
          <w:rFonts w:ascii="Calibri" w:cs="Calibri" w:eastAsia="Calibri" w:hAnsi="Calibri"/>
          <w:b w:val="false"/>
          <w:bCs w:val="false"/>
          <w:sz w:val="21"/>
          <w:szCs w:val="21"/>
        </w:rPr>
        <w:t xml:space="preserve"> CFFB documents speak in CFFB’s voice and carry CFFB’s signature. Applicant documents speak in the applicant’s voice. Today both read as one author (F-07).</w:t>
      </w:r>
    </w:p>
    <w:p>
      <w:pPr>
        <w:pStyle w:val="ListParagraph"/>
        <w:numPr>
          <w:ilvl w:val="0"/>
          <w:numId w:val="2"/>
        </w:numPr>
        <w:spacing w:after="5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Clean filed documents.</w:t>
      </w:r>
      <w:r>
        <w:rPr>
          <w:rFonts w:ascii="Calibri" w:cs="Calibri" w:eastAsia="Calibri" w:hAnsi="Calibri"/>
          <w:b w:val="false"/>
          <w:bCs w:val="false"/>
          <w:sz w:val="21"/>
          <w:szCs w:val="21"/>
        </w:rPr>
        <w:t xml:space="preserve"> Remove internal tags (N-2, N-3, N-4, N-6 etc.), stray brackets, “[[...]]” instructions and drafting notes from anything filed with IRCC. The Change Log, the Telephone Assistant file and this review are internal.</w:t>
      </w:r>
    </w:p>
    <w:p>
      <w:pPr>
        <w:pStyle w:val="ListParagraph"/>
        <w:numPr>
          <w:ilvl w:val="0"/>
          <w:numId w:val="2"/>
        </w:numPr>
        <w:spacing w:after="5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Verify law before filing.</w:t>
      </w:r>
      <w:r>
        <w:rPr>
          <w:rFonts w:ascii="Calibri" w:cs="Calibri" w:eastAsia="Calibri" w:hAnsi="Calibri"/>
          <w:b w:val="false"/>
          <w:bCs w:val="false"/>
          <w:sz w:val="21"/>
          <w:szCs w:val="21"/>
        </w:rPr>
        <w:t xml:space="preserve"> Re-check every regulatory citation and fee code (R205(d), C51, R299(2)(f)/E02, R303.1(5)/EC1, R209.11, R200(3)(f.1), the 2023 “Iran Situation” public policy, GSS priority processing) against the current IRPR and IRCC pages. They could not be verified in this review.</w:t>
      </w:r>
    </w:p>
    <w:p>
      <w:pPr>
        <w:pStyle w:val="Heading1"/>
        <w:spacing w:after="120" w:before="300"/>
      </w:pPr>
      <w:r>
        <w:rPr>
          <w:rFonts w:ascii="Calibri" w:cs="Calibri" w:eastAsia="Calibri" w:hAnsi="Calibri"/>
          <w:b/>
          <w:bCs/>
          <w:color w:val="1F3864"/>
          <w:sz w:val="30"/>
          <w:szCs w:val="30"/>
        </w:rPr>
        <w:t xml:space="preserve">1. How the officer reads this file</w:t>
      </w:r>
    </w:p>
    <w:p>
      <w:pPr>
        <w:spacing w:after="100" w:before="0"/>
      </w:pPr>
      <w:r>
        <w:rPr>
          <w:rFonts w:ascii="Calibri" w:cs="Calibri" w:eastAsia="Calibri" w:hAnsi="Calibri"/>
          <w:b w:val="false"/>
          <w:bCs w:val="false"/>
          <w:sz w:val="21"/>
          <w:szCs w:val="21"/>
        </w:rPr>
        <w:t xml:space="preserve">The officer works through a fixed chain of questions. The table shows where each is answered and how strong the answer is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500"/>
        <w:gridCol w:w="2780"/>
      </w:tblGrid>
      <w:tr>
        <w:trPr>
          <w:tblHeader/>
        </w:trPr>
        <w:tc>
          <w:tcPr>
            <w:tcW w:type="dxa" w:w="29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Officer question</w:t>
            </w:r>
            <w:r>
              <w:rPr>
                <w:rFonts w:ascii="Calibri" w:cs="Calibri" w:eastAsia="Calibri" w:hAnsi="Calibri"/>
                <w:b w:val="false"/>
                <w:bCs w:val="false"/>
                <w:sz w:val="18"/>
                <w:szCs w:val="18"/>
              </w:rPr>
              <w:t xml:space="preserve"/>
            </w:r>
          </w:p>
        </w:tc>
        <w:tc>
          <w:tcPr>
            <w:tcW w:type="dxa" w:w="29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Where answered</w:t>
            </w: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Strength now</w:t>
            </w:r>
            <w:r>
              <w:rPr>
                <w:rFonts w:ascii="Calibri" w:cs="Calibri" w:eastAsia="Calibri" w:hAnsi="Calibri"/>
                <w:b w:val="false"/>
                <w:bCs w:val="false"/>
                <w:sz w:val="18"/>
                <w:szCs w:val="18"/>
              </w:rPr>
              <w:t xml:space="preserve"/>
            </w:r>
          </w:p>
        </w:tc>
        <w:tc>
          <w:tcPr>
            <w:tcW w:type="dxa" w:w="27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Main gap</w:t>
            </w:r>
            <w:r>
              <w:rPr>
                <w:rFonts w:ascii="Calibri" w:cs="Calibri" w:eastAsia="Calibri" w:hAnsi="Calibri"/>
                <w:b w:val="false"/>
                <w:bCs w:val="false"/>
                <w:sz w:val="18"/>
                <w:szCs w:val="18"/>
              </w:rPr>
              <w:t xml:space="preserve"/>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 Is this “work” needing a permit, not volunteering?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1.3, 3.7; Cover §4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No explicit treatment of the volunteer exception (F-08)</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 Is the work itself charitable, not just the employer?</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2, 3, 5; Offer Parts II, VII, Sch. D</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 to strong</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Leans on CG-030 (CRA) more than on IRCC’s C51 instructions (F-14); registered-purposes stop condition open (F-15)</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3. Is the offer genuine and verifiable?</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1; Offer; Exh. 1-F, 2-A, 3-F, 5-A</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Weak until INPUT items are filled</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Employer phone, email, website blank; venue, dates, EOI count missing (F-02, F-06, F-16)</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4. Why this foreign worker, and why unpaid?</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5 §2; Offer 5.3, 6.1, 6.3; Cover §5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Weakest point</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Selection criteria look reverse-fitted; no documented search; thin personal reasons (F-01, F-04, F-27)</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5. Will he leave? (R200(1)(b))</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 7, 9</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Rial assets used as both ties and means; 2023 stay unexplained; CV gaps (F-03, F-05, F-10)</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6. Can he pay, and how will money reach Canada?</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§8; Exh. E-1 to E-4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 to weak</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Access method (INPUT-10) open; salary figures missing; stale valuation (F-03, F-17, F-18)</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7. Was the previous stay clean and credible?</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§7; Exh. F-1 to F-3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Permit type, true reasons, exact departure date open (F-05)</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8. Admissible?</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§10; Exh. H-4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Good once INPUT-17 is confirmed</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Kafalat wording and exhibit reference conflict (F-11, F-20)</w:t>
            </w:r>
          </w:p>
        </w:tc>
      </w:tr>
      <w:tr>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9. Is everything consistent?</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Whole package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Needs work</w:t>
            </w:r>
          </w:p>
        </w:tc>
        <w:tc>
          <w:tcPr>
            <w:tcW w:type="dxa" w:w="27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Exhibit numbering, cross-references, SBU “current” claim (F-09, F-11, F-12)</w:t>
            </w:r>
          </w:p>
        </w:tc>
      </w:tr>
    </w:tbl>
    <w:p>
      <w:pPr>
        <w:pStyle w:val="Heading1"/>
        <w:spacing w:after="120" w:before="300"/>
      </w:pPr>
      <w:r>
        <w:rPr>
          <w:rFonts w:ascii="Calibri" w:cs="Calibri" w:eastAsia="Calibri" w:hAnsi="Calibri"/>
          <w:b/>
          <w:bCs/>
          <w:color w:val="1F3864"/>
          <w:sz w:val="30"/>
          <w:szCs w:val="30"/>
        </w:rPr>
        <w:t xml:space="preserve">2. The three story spines the officer must accept</w:t>
      </w:r>
    </w:p>
    <w:p>
      <w:pPr>
        <w:spacing w:after="100" w:before="0"/>
      </w:pPr>
      <w:r>
        <w:rPr>
          <w:rFonts w:ascii="Calibri" w:cs="Calibri" w:eastAsia="Calibri" w:hAnsi="Calibri"/>
          <w:b w:val="false"/>
          <w:bCs w:val="false"/>
          <w:sz w:val="21"/>
          <w:szCs w:val="21"/>
        </w:rPr>
        <w:t xml:space="preserve">Each spine is a chain of keyframes. For each keyframe: what the officer needs to see, the document where it should appear, and the exhibit that proves it. Keyframes marked “only if true” must be deleted if the facts do not exist.</w:t>
      </w:r>
    </w:p>
    <w:p>
      <w:pPr>
        <w:pStyle w:val="Heading2"/>
        <w:spacing w:after="80" w:before="200"/>
      </w:pPr>
      <w:r>
        <w:rPr>
          <w:rFonts w:ascii="Calibri" w:cs="Calibri" w:eastAsia="Calibri" w:hAnsi="Calibri"/>
          <w:b/>
          <w:bCs/>
          <w:color w:val="2F5496"/>
          <w:sz w:val="24"/>
          <w:szCs w:val="24"/>
        </w:rPr>
        <w:t xml:space="preserve">2A. Why this charity wants this instructor, unpaid, from Tehran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900"/>
        <w:gridCol w:w="3580"/>
      </w:tblGrid>
      <w:tr>
        <w:trPr>
          <w:tblHeader/>
        </w:trPr>
        <w:tc>
          <w:tcPr>
            <w:tcW w:type="dxa" w:w="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t>
            </w:r>
            <w:r>
              <w:rPr>
                <w:rFonts w:ascii="Calibri" w:cs="Calibri" w:eastAsia="Calibri" w:hAnsi="Calibri"/>
                <w:b w:val="false"/>
                <w:bCs w:val="false"/>
                <w:sz w:val="18"/>
                <w:szCs w:val="18"/>
              </w:rPr>
              <w:t xml:space="preserve"/>
            </w:r>
          </w:p>
        </w:tc>
        <w:tc>
          <w:tcPr>
            <w:tcW w:type="dxa" w:w="30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Keyframe (what the officer must see)</w:t>
            </w:r>
            <w:r>
              <w:rPr>
                <w:rFonts w:ascii="Calibri" w:cs="Calibri" w:eastAsia="Calibri" w:hAnsi="Calibri"/>
                <w:b w:val="false"/>
                <w:bCs w:val="false"/>
                <w:sz w:val="18"/>
                <w:szCs w:val="18"/>
              </w:rPr>
              <w:t xml:space="preserve"/>
            </w:r>
          </w:p>
        </w:tc>
        <w:tc>
          <w:tcPr>
            <w:tcW w:type="dxa" w:w="29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Where it goes</w:t>
            </w:r>
            <w:r>
              <w:rPr>
                <w:rFonts w:ascii="Calibri" w:cs="Calibri" w:eastAsia="Calibri" w:hAnsi="Calibri"/>
                <w:b w:val="false"/>
                <w:bCs w:val="false"/>
                <w:sz w:val="18"/>
                <w:szCs w:val="18"/>
              </w:rPr>
              <w:t xml:space="preserve"/>
            </w:r>
          </w:p>
        </w:tc>
        <w:tc>
          <w:tcPr>
            <w:tcW w:type="dxa" w:w="35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Proof / instruction</w:t>
            </w:r>
            <w:r>
              <w:rPr>
                <w:rFonts w:ascii="Calibri" w:cs="Calibri" w:eastAsia="Calibri" w:hAnsi="Calibri"/>
                <w:b w:val="false"/>
                <w:bCs w:val="false"/>
                <w:sz w:val="18"/>
                <w:szCs w:val="18"/>
              </w:rPr>
              <w:t xml:space="preserve"/>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K1</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CFFB saw a learning need among its own community before it looked for an instructor.</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2 §2; Offer 4.1</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2-A: dated, real expressions of interest, all dated before K3. Earlier participant requests listed with dates.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K2</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CFFB’s Executive Director approved a pilot with a budget that covers programme costs only. There is no instructor budget. That is the reason the engagement is unpaid.</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5.3; Doc 5 §6; Exh. 2-C</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5-D budget with no instructor line; approval date. Say plainly: unpaid because the pilot has no instructor budget, not “to obtain a fee exemption”. The exemption is a consequence.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K3</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CFFB looked for an instructor and recorded how. (Only if true.)</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5 §2; Exh. 5-A (add item 0, “search log”)</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Dated record of where CFFB looked (for example LinkedIn search, outreach to local colleges or volunteer networks) and what came back. If local candidates were considered, list them anonymously with the reason each was not chosen (availability for about 60–70 unpaid hours, no university-level teaching of digital marketing with a generative-AI component, and so on). If no local search happened, do not claim one. Write: “CFFB selected on fit and does not claim no one else could teach the course.”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K4</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The selection criteria were set before the candidate was contacted.</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item 1; Doc 5 §2</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Today the four criteria match the applicant’s CV exactly, which reads as written after the fact. Add a dated criteria note that predates the first LinkedIn message. Add a fifth criterion that is genuinely applied: able and willing to serve without remuneration for about ten weeks. State it openly.</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K5</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CFFB verified him: interview, 30-minute demonstration, credential and teaching-letter review, signed memo.</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5 §2; Offer 6.1; Exh. 5-A items 2–5</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Real dates, real notes. Order must be: criteria → first contact → interview → demo → verification → memo → COI declaration (H-4) → offer signed → Employer Portal submission → application.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K6</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He has real, documented reasons to accept an unpaid role that are not just the permit.</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§5; Doc 5 §2</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Keep only reasons that are true and provable (F-27). Strongest: a University of Tehran department letter (D-1) stating that the department values the Canadian teaching experience and that he will present a short report to colleagues in fall 2027. Add a one-paragraph outline of the reflective report as an exhibit if he really intends to write it.</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K7</w:t>
            </w:r>
          </w:p>
        </w:tc>
        <w:tc>
          <w:tcPr>
            <w:tcW w:type="dxa" w:w="3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Why a work permit and not a visitor visa.</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1.3; Cover §4</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Short explicit paragraph (F-08).</w:t>
            </w:r>
          </w:p>
        </w:tc>
      </w:tr>
    </w:tbl>
    <w:p>
      <w:pPr>
        <w:spacing w:after="60" w:before="0"/>
      </w:pPr>
      <w:r>
        <w:rPr>
          <w:rFonts w:ascii="Calibri" w:cs="Calibri" w:eastAsia="Calibri" w:hAnsi="Calibri"/>
          <w:b w:val="false"/>
          <w:bCs w:val="false"/>
          <w:sz w:val="21"/>
          <w:szCs w:val="21"/>
        </w:rPr>
        <w:t xml:space="preserve"/>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Required honesty note on K3.</w:t>
      </w:r>
      <w:r>
        <w:rPr>
          <w:rFonts w:ascii="Calibri" w:cs="Calibri" w:eastAsia="Calibri" w:hAnsi="Calibri"/>
          <w:b w:val="false"/>
          <w:bCs w:val="false"/>
          <w:sz w:val="21"/>
          <w:szCs w:val="21"/>
        </w:rPr>
        <w:t xml:space="preserve"> The applicant’s instruction was to show that CFFB “could not find a Canadian”. That is not required under C51 and cannot be proven by assertion. If a real search was made, document it as above. If not, the package should rest on K1, K2, K4, K5 and K6, which are enough for a genuine, well-reasoned offer.</w:t>
      </w:r>
    </w:p>
    <w:p>
      <w:pPr>
        <w:pStyle w:val="Heading2"/>
        <w:spacing w:after="80" w:before="200"/>
      </w:pPr>
      <w:r>
        <w:rPr>
          <w:rFonts w:ascii="Calibri" w:cs="Calibri" w:eastAsia="Calibri" w:hAnsi="Calibri"/>
          <w:b/>
          <w:bCs/>
          <w:color w:val="2F5496"/>
          <w:sz w:val="24"/>
          <w:szCs w:val="24"/>
        </w:rPr>
        <w:t xml:space="preserve">2B. Why he will certainly return to Iran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3680"/>
      </w:tblGrid>
      <w:tr>
        <w:trPr>
          <w:tblHeader/>
        </w:trPr>
        <w:tc>
          <w:tcPr>
            <w:tcW w:type="dxa" w:w="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t>
            </w:r>
            <w:r>
              <w:rPr>
                <w:rFonts w:ascii="Calibri" w:cs="Calibri" w:eastAsia="Calibri" w:hAnsi="Calibri"/>
                <w:b w:val="false"/>
                <w:bCs w:val="false"/>
                <w:sz w:val="18"/>
                <w:szCs w:val="18"/>
              </w:rPr>
              <w:t xml:space="preserve"/>
            </w:r>
          </w:p>
        </w:tc>
        <w:tc>
          <w:tcPr>
            <w:tcW w:type="dxa" w:w="32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Keyframe</w:t>
            </w:r>
            <w:r>
              <w:rPr>
                <w:rFonts w:ascii="Calibri" w:cs="Calibri" w:eastAsia="Calibri" w:hAnsi="Calibri"/>
                <w:b w:val="false"/>
                <w:bCs w:val="false"/>
                <w:sz w:val="18"/>
                <w:szCs w:val="18"/>
              </w:rPr>
              <w:t xml:space="preserve"/>
            </w:r>
          </w:p>
        </w:tc>
        <w:tc>
          <w:tcPr>
            <w:tcW w:type="dxa" w:w="2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Where</w:t>
            </w:r>
            <w:r>
              <w:rPr>
                <w:rFonts w:ascii="Calibri" w:cs="Calibri" w:eastAsia="Calibri" w:hAnsi="Calibri"/>
                <w:b w:val="false"/>
                <w:bCs w:val="false"/>
                <w:sz w:val="18"/>
                <w:szCs w:val="18"/>
              </w:rPr>
              <w:t xml:space="preserve"/>
            </w:r>
          </w:p>
        </w:tc>
        <w:tc>
          <w:tcPr>
            <w:tcW w:type="dxa" w:w="36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Proof / instruction</w:t>
            </w:r>
            <w:r>
              <w:rPr>
                <w:rFonts w:ascii="Calibri" w:cs="Calibri" w:eastAsia="Calibri" w:hAnsi="Calibri"/>
                <w:b w:val="false"/>
                <w:bCs w:val="false"/>
                <w:sz w:val="18"/>
                <w:szCs w:val="18"/>
              </w:rPr>
              <w:t xml:space="preserve"/>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R1</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 specific teaching assignment waits for him in fall 2027.</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§6.1; Exh. D-1</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D-1 must name the courses, term and start date, not only “expected”. A signed assignment or timetable is stronger than a general statement.</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R2</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His management position is held, with a return date and a salary.</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§6.1, §8.1; Exh. D-2</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D-2 states position, salary (INPUT-22), leave dates, return date, no remote work. Add the sentence that the position will not be filled.</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R3</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He has dependants’ obligations or family reasons that require his return. (Only if true.)</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§2, §6.3; Exh. G-1</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Kafalat: who is supported, relationship, who cares for that person while he is away (INPUT-09). Align “no dependants” wording (F-20).</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R4</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Assets are in Iran, but they are not the main argument.</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§6.2</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See F-03: rial assets are weak ties and cannot also be proof of funds.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R5</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He has returned before, voluntarily, early, and resumed his career.</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§7; Exh. F-1 to F-3</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Needs the true, specific, consistent 2023 account (F-05).</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R6</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The stay is short, bounded and tied to dates: return flight reserved, leave letter ending on a date, close-out date.</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§9; Exh. H-2</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Consider shortening the permit period (F-04). Return flight must exist as a reservation or ticket.</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R7</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Nothing points to staying: no PR file, no Express Entry profile, no Canadian job beyond this.</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§6.4, §10</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INPUT-16 and INPUT-17 must be true. Explain the WES ECA honestly and briefly (F-19).</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R8</w:t>
            </w:r>
          </w:p>
        </w:tc>
        <w:tc>
          <w:tcPr>
            <w:tcW w:type="dxa" w:w="32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The officer’s unspoken question about conditions in Iran is answered calmly.</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§6.4</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One neutral, factual paragraph: his profession, family, property, income and plans are in Tehran, and he has returned before. No politics.</w:t>
            </w:r>
          </w:p>
        </w:tc>
      </w:tr>
    </w:tbl>
    <w:p>
      <w:pPr>
        <w:pStyle w:val="Heading2"/>
        <w:spacing w:after="80" w:before="200"/>
      </w:pPr>
      <w:r>
        <w:rPr>
          <w:rFonts w:ascii="Calibri" w:cs="Calibri" w:eastAsia="Calibri" w:hAnsi="Calibri"/>
          <w:b/>
          <w:bCs/>
          <w:color w:val="2F5496"/>
          <w:sz w:val="24"/>
          <w:szCs w:val="24"/>
        </w:rPr>
        <w:t xml:space="preserve">2C. Why the position must be seen as charitable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600"/>
        <w:gridCol w:w="3580"/>
      </w:tblGrid>
      <w:tr>
        <w:trPr>
          <w:tblHeader/>
        </w:trPr>
        <w:tc>
          <w:tcPr>
            <w:tcW w:type="dxa" w:w="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t>
            </w:r>
            <w:r>
              <w:rPr>
                <w:rFonts w:ascii="Calibri" w:cs="Calibri" w:eastAsia="Calibri" w:hAnsi="Calibri"/>
                <w:b w:val="false"/>
                <w:bCs w:val="false"/>
                <w:sz w:val="18"/>
                <w:szCs w:val="18"/>
              </w:rPr>
              <w:t xml:space="preserve"/>
            </w:r>
          </w:p>
        </w:tc>
        <w:tc>
          <w:tcPr>
            <w:tcW w:type="dxa" w:w="33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Link in the chain</w:t>
            </w:r>
            <w:r>
              <w:rPr>
                <w:rFonts w:ascii="Calibri" w:cs="Calibri" w:eastAsia="Calibri" w:hAnsi="Calibri"/>
                <w:b w:val="false"/>
                <w:bCs w:val="false"/>
                <w:sz w:val="18"/>
                <w:szCs w:val="18"/>
              </w:rPr>
              <w:t xml:space="preserve"/>
            </w:r>
          </w:p>
        </w:tc>
        <w:tc>
          <w:tcPr>
            <w:tcW w:type="dxa" w:w="2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Where</w:t>
            </w:r>
            <w:r>
              <w:rPr>
                <w:rFonts w:ascii="Calibri" w:cs="Calibri" w:eastAsia="Calibri" w:hAnsi="Calibri"/>
                <w:b w:val="false"/>
                <w:bCs w:val="false"/>
                <w:sz w:val="18"/>
                <w:szCs w:val="18"/>
              </w:rPr>
              <w:t xml:space="preserve"/>
            </w:r>
          </w:p>
        </w:tc>
        <w:tc>
          <w:tcPr>
            <w:tcW w:type="dxa" w:w="35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Proof / instruction</w:t>
            </w:r>
            <w:r>
              <w:rPr>
                <w:rFonts w:ascii="Calibri" w:cs="Calibri" w:eastAsia="Calibri" w:hAnsi="Calibri"/>
                <w:b w:val="false"/>
                <w:bCs w:val="false"/>
                <w:sz w:val="18"/>
                <w:szCs w:val="18"/>
              </w:rPr>
              <w:t xml:space="preserve"/>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The work is the charitable activity (design, teaching, assessment of an educational course), not administration.</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3.4, 7.3, Sch. D; Doc 5 §§3–4</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Lead with IRCC’s C51 test (work, not employer). Keep this in the first page of Doc 2.</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C2</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The employer is a registered charity whose purposes include education.</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1; Exh. 1-A, 1-C</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STOP condition: if the CRA listing or governing documents do not show advancement of education, do not submit. Print the listing and file it.</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Beneficiaries are a section of the public, not one employer, not a closed circle.</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2 §9; Exh. 2-B</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Eligibility and no-fee policy as a real CFFB document; flyer (3-E) showing open call to non-members.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No private commercial benefit: no pay, no promotion, no client solicitation.</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Part V; Exh. 5-E, H-4</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Keep statements identical across files.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C5</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No displacement of staff or contractors.</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6.3</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Short confirmation signed by CFFB.</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C6</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The programme is real: venue booked, dates fixed, interest recorded, past CFFB workshops exist.</w:t>
            </w:r>
          </w:p>
        </w:tc>
        <w:tc>
          <w:tcPr>
            <w:tcW w:type="dxa" w:w="2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3-F, 3-E, 2-A, 1-E</w:t>
            </w:r>
          </w:p>
        </w:tc>
        <w:tc>
          <w:tcPr>
            <w:tcW w:type="dxa" w:w="3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Dated documents only. File past CFFB workshops with the names of their instructors and whether they were paid; the officer will compare. If past instructors were paid, K2 must explain why this one is not.</w:t>
            </w:r>
          </w:p>
        </w:tc>
      </w:tr>
    </w:tbl>
    <w:p>
      <w:pPr>
        <w:pStyle w:val="Heading1"/>
        <w:spacing w:after="120" w:before="300"/>
      </w:pPr>
      <w:r>
        <w:rPr>
          <w:rFonts w:ascii="Calibri" w:cs="Calibri" w:eastAsia="Calibri" w:hAnsi="Calibri"/>
          <w:b/>
          <w:bCs/>
          <w:color w:val="1F3864"/>
          <w:sz w:val="30"/>
          <w:szCs w:val="30"/>
        </w:rPr>
        <w:t xml:space="preserve">3. Flaw register</w:t>
      </w:r>
    </w:p>
    <w:p>
      <w:pPr>
        <w:spacing w:after="100" w:before="0"/>
      </w:pPr>
      <w:r>
        <w:rPr>
          <w:rFonts w:ascii="Calibri" w:cs="Calibri" w:eastAsia="Calibri" w:hAnsi="Calibri"/>
          <w:b w:val="false"/>
          <w:bCs w:val="false"/>
          <w:sz w:val="21"/>
          <w:szCs w:val="21"/>
        </w:rPr>
        <w:t xml:space="preserve">Severity: CRITICAL = likely to cause refusal or a procedural-fairness letter; HIGH = materially weakens credibility; MEDIUM = officer will notice; LOW = cleanup. “Fix” is written as an instruction to the editing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50"/>
        <w:gridCol w:w="1850"/>
        <w:gridCol w:w="3300"/>
        <w:gridCol w:w="3380"/>
      </w:tblGrid>
      <w:tr>
        <w:trPr>
          <w:tblHeader/>
        </w:trPr>
        <w:tc>
          <w:tcPr>
            <w:tcW w:type="dxa" w:w="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ID</w:t>
            </w:r>
            <w:r>
              <w:rPr>
                <w:rFonts w:ascii="Calibri" w:cs="Calibri" w:eastAsia="Calibri" w:hAnsi="Calibri"/>
                <w:b w:val="false"/>
                <w:bCs w:val="false"/>
                <w:sz w:val="18"/>
                <w:szCs w:val="18"/>
              </w:rPr>
              <w:t xml:space="preserve"/>
            </w:r>
          </w:p>
        </w:tc>
        <w:tc>
          <w:tcPr>
            <w:tcW w:type="dxa" w:w="95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Severity</w:t>
            </w:r>
            <w:r>
              <w:rPr>
                <w:rFonts w:ascii="Calibri" w:cs="Calibri" w:eastAsia="Calibri" w:hAnsi="Calibri"/>
                <w:b w:val="false"/>
                <w:bCs w:val="false"/>
                <w:sz w:val="18"/>
                <w:szCs w:val="18"/>
              </w:rPr>
              <w:t xml:space="preserve"/>
            </w:r>
          </w:p>
        </w:tc>
        <w:tc>
          <w:tcPr>
            <w:tcW w:type="dxa" w:w="185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Where</w:t>
            </w:r>
            <w:r>
              <w:rPr>
                <w:rFonts w:ascii="Calibri" w:cs="Calibri" w:eastAsia="Calibri" w:hAnsi="Calibri"/>
                <w:b w:val="false"/>
                <w:bCs w:val="false"/>
                <w:sz w:val="18"/>
                <w:szCs w:val="18"/>
              </w:rPr>
              <w:t xml:space="preserve"/>
            </w:r>
          </w:p>
        </w:tc>
        <w:tc>
          <w:tcPr>
            <w:tcW w:type="dxa" w:w="33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Problem</w:t>
            </w:r>
            <w:r>
              <w:rPr>
                <w:rFonts w:ascii="Calibri" w:cs="Calibri" w:eastAsia="Calibri" w:hAnsi="Calibri"/>
                <w:b w:val="false"/>
                <w:bCs w:val="false"/>
                <w:sz w:val="18"/>
                <w:szCs w:val="18"/>
              </w:rPr>
              <w:t xml:space="preserve"/>
            </w:r>
          </w:p>
        </w:tc>
        <w:tc>
          <w:tcPr>
            <w:tcW w:type="dxa" w:w="33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Fix</w:t>
            </w:r>
            <w:r>
              <w:rPr>
                <w:rFonts w:ascii="Calibri" w:cs="Calibri" w:eastAsia="Calibri" w:hAnsi="Calibri"/>
                <w:b w:val="false"/>
                <w:bCs w:val="false"/>
                <w:sz w:val="18"/>
                <w:szCs w:val="18"/>
              </w:rPr>
              <w:t xml:space="preserve"/>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F-01</w:t>
            </w:r>
          </w:p>
        </w:tc>
        <w:tc>
          <w:tcPr>
            <w:tcW w:type="dxa" w:w="950"/>
            <w:tcBorders>
              <w:top w:val="single" w:color="A6A6A6" w:sz="4"/>
              <w:left w:val="single" w:color="A6A6A6" w:sz="4"/>
              <w:bottom w:val="single" w:color="A6A6A6" w:sz="4"/>
              <w:right w:val="single" w:color="A6A6A6" w:sz="4"/>
            </w:tcBorders>
            <w:shd w:fill="F4B6B6"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CRITICAL</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5 §2; Offer 6.1, 6.3; Exh. 5-A; Cover §5 item 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Selection story.</w:t>
            </w:r>
            <w:r>
              <w:rPr>
                <w:rFonts w:ascii="Calibri" w:cs="Calibri" w:eastAsia="Calibri" w:hAnsi="Calibri"/>
                <w:b w:val="false"/>
                <w:bCs w:val="false"/>
                <w:sz w:val="18"/>
                <w:szCs w:val="18"/>
              </w:rPr>
              <w:t xml:space="preserve"> CFFB’s four criteria (graduate marketing degree, current Google Ads/Analytics credentials, university teaching of digital marketing, generative-AI teaching) match the applicant’s CV one for one. No search for other instructors is recorded. The officer will read the criteria as fitted to the candidate and ask why a Waterloo charity found a Tehran-based unpaid instructor.</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Apply K3–K5 in 2A. Add item 0 (search log) and a dated criteria note to Exh. 5-A only if they exist. Add the “willing to serve unpaid” criterion openly. In Doc 5 §2 and Offer 6.1, state the sequence with real dates. Do not add an exclusivity claim. Keep the sentence “CFFB does not claim that no one else could teach the course”.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F-02</w:t>
            </w:r>
          </w:p>
        </w:tc>
        <w:tc>
          <w:tcPr>
            <w:tcW w:type="dxa" w:w="950"/>
            <w:tcBorders>
              <w:top w:val="single" w:color="A6A6A6" w:sz="4"/>
              <w:left w:val="single" w:color="A6A6A6" w:sz="4"/>
              <w:bottom w:val="single" w:color="A6A6A6" w:sz="4"/>
              <w:right w:val="single" w:color="A6A6A6" w:sz="4"/>
            </w:tcBorders>
            <w:shd w:fill="F4B6B6"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CRITICAL</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cover (telephone, signing-officer line, email, website); Exh. 1-F; Verification Briefing; Telephone file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Employer cannot be reached.</w:t>
            </w:r>
            <w:r>
              <w:rPr>
                <w:rFonts w:ascii="Calibri" w:cs="Calibri" w:eastAsia="Calibri" w:hAnsi="Calibri"/>
                <w:b w:val="false"/>
                <w:bCs w:val="false"/>
                <w:sz w:val="18"/>
                <w:szCs w:val="18"/>
              </w:rPr>
              <w:t xml:space="preserve"> Phone fields are blank by earlier instruction, and email and website are placeholders. IRCC verifies offers by phone and email, and the Employer Portal requires employer contact data, which the Offer says is identical to this letter. An unreachable employer is the most direct genuineness risk. The Telephone Assistant file also puts an AI agent in front of a possible IRCC call.</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Before submission, fill a real CFFB telephone answered by a person (Brian Bourke or a named delegate) in business hours, an email on CFFB’s own domain, the website, and Brian’s direct email. Change the earlier “leave empty” instruction for the filed version. Keep the AI line only as after-hours overflow and make “speak to a person” the first option; if the AI line is the number printed in filed documents, IRCC will reach a machine first. Make the Portal data, Offer cover and Exh. 1-F identical.</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F-03</w:t>
            </w:r>
          </w:p>
        </w:tc>
        <w:tc>
          <w:tcPr>
            <w:tcW w:type="dxa" w:w="950"/>
            <w:tcBorders>
              <w:top w:val="single" w:color="A6A6A6" w:sz="4"/>
              <w:left w:val="single" w:color="A6A6A6" w:sz="4"/>
              <w:bottom w:val="single" w:color="A6A6A6" w:sz="4"/>
              <w:right w:val="single" w:color="A6A6A6" w:sz="4"/>
            </w:tcBorders>
            <w:shd w:fill="F4B6B6"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CRITICAL</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§6.2, §8.1, §8 access paragraph; Exh. E-2, E-3, E-4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Double use of Iranian assets.</w:t>
            </w:r>
            <w:r>
              <w:rPr>
                <w:rFonts w:ascii="Calibri" w:cs="Calibri" w:eastAsia="Calibri" w:hAnsi="Calibri"/>
                <w:b w:val="false"/>
                <w:bCs w:val="false"/>
                <w:sz w:val="18"/>
                <w:szCs w:val="18"/>
              </w:rPr>
              <w:t xml:space="preserve"> The Pasargad deposit and Avand ETF (about CAD 50,000) are used as proof of ties to Iran and as proof of funds for Canada. If they can be moved, they are weak ties. If they cannot be moved, they are not usable funds. The officer will notice. INPUT-10 (access method) is still open.</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Choose the true access method (A funds already held outside Iran, B lawful transfer before departure, C international card plus funds abroad) and file E-4. Size the stay budget (about CAD 13,550) against funds that are actually accessible in Canada. Keep Iranian assets in §6.2 as ties only and say they are not counted in the funds relied on for the stay, unless the transfer is proven. Rewrite the §1 table row and §8 intro to match.</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F-04</w:t>
            </w:r>
          </w:p>
        </w:tc>
        <w:tc>
          <w:tcPr>
            <w:tcW w:type="dxa" w:w="950"/>
            <w:tcBorders>
              <w:top w:val="single" w:color="A6A6A6" w:sz="4"/>
              <w:left w:val="single" w:color="A6A6A6" w:sz="4"/>
              <w:bottom w:val="single" w:color="A6A6A6" w:sz="4"/>
              <w:right w:val="single" w:color="A6A6A6" w:sz="4"/>
            </w:tcBorders>
            <w:shd w:fill="F4B6B6"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CRITICAL</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§4, §8.2, §9; Offer 3.6, 3.7; Sch. 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Cost and presence disproportionate to the work.</w:t>
            </w:r>
            <w:r>
              <w:rPr>
                <w:rFonts w:ascii="Calibri" w:cs="Calibri" w:eastAsia="Calibri" w:hAnsi="Calibri"/>
                <w:b w:val="false"/>
                <w:bCs w:val="false"/>
                <w:sz w:val="18"/>
                <w:szCs w:val="18"/>
              </w:rPr>
              <w:t xml:space="preserve"> About CAD 13,550 and a 68-day permit for 20 hours of teaching plus an estimated 40–50 hours of preparation, most of which the Offer says is done remotely from Iran in May–June. The officer will ask why an unpaid instructor must be in Canada from July 5 to September 10.</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Decision for the applicant: shorten the permit period, for example July 5 to August 31, with close-out finished from Tehran by September 9 (work outside Canada). If adopted, change every date file-wide (Section 4): Offer cover, 1.4, 3.6, 5.2 (transit pass period), Sch. A, Sch. E; Cover header, §4, §5.5, §6.1, §8.2 (accommodation weeks and total), §9; Docs 1, 2, 3, 5; Exh. F-1, D-2, H-2, E-4; Verification Briefing; Telephone file. Recompute the cost table and the funds ratio. If not adopted, add one paragraph explaining why the full period is needed.</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F-05</w:t>
            </w:r>
          </w:p>
        </w:tc>
        <w:tc>
          <w:tcPr>
            <w:tcW w:type="dxa" w:w="950"/>
            <w:tcBorders>
              <w:top w:val="single" w:color="A6A6A6" w:sz="4"/>
              <w:left w:val="single" w:color="A6A6A6" w:sz="4"/>
              <w:bottom w:val="single" w:color="A6A6A6" w:sz="4"/>
              <w:right w:val="single" w:color="A6A6A6" w:sz="4"/>
            </w:tcBorders>
            <w:shd w:fill="F4B6B6"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CRITICAL</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§7 and table; Exh. F-1 to F-3; INPUT-06, 07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2023 stay.</w:t>
            </w:r>
            <w:r>
              <w:rPr>
                <w:rFonts w:ascii="Calibri" w:cs="Calibri" w:eastAsia="Calibri" w:hAnsi="Calibri"/>
                <w:b w:val="false"/>
                <w:bCs w:val="false"/>
                <w:sz w:val="18"/>
                <w:szCs w:val="18"/>
              </w:rPr>
              <w:t xml:space="preserve"> The file says he obtained an open work permit (Iran Situation policy) and a SIN in May 2023 but did not work, and that he left early because circumstances “had eased”. The officer will ask why he took a work permit he did not use, why a person with jobs in Iran spent seven months in Canada, and how that fits a policy meant for people who could not return. The visa type, the true reasons and the exact departure date are placeholders.</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Fill INPUT-06 and INPUT-07 with true, specific facts. The 2023 account must match what the 2023 application and GCMS record say about purpose. Replace “circumstances had eased” with the concrete true reason and a date. State the reason for the work permit and SIN plainly. Keep: no work, no Canadian income, lawful status, early departure. Add proof of the departure date (boarding pass, passport stamp) to F-3.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F-06</w:t>
            </w:r>
          </w:p>
        </w:tc>
        <w:tc>
          <w:tcPr>
            <w:tcW w:type="dxa" w:w="950"/>
            <w:tcBorders>
              <w:top w:val="single" w:color="A6A6A6" w:sz="4"/>
              <w:left w:val="single" w:color="A6A6A6" w:sz="4"/>
              <w:bottom w:val="single" w:color="A6A6A6" w:sz="4"/>
              <w:right w:val="single" w:color="A6A6A6" w:sz="4"/>
            </w:tcBorders>
            <w:shd w:fill="F4B6B6"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CRITICAL</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All files</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Open placeholders.</w:t>
            </w:r>
            <w:r>
              <w:rPr>
                <w:rFonts w:ascii="Calibri" w:cs="Calibri" w:eastAsia="Calibri" w:hAnsi="Calibri"/>
                <w:b w:val="false"/>
                <w:bCs w:val="false"/>
                <w:sz w:val="18"/>
                <w:szCs w:val="18"/>
              </w:rPr>
              <w:t xml:space="preserve"> 22 INPUT items remain, including date of birth, passport expiry, Offer of Employment number, registration date, all selection dates, approval date, venue, EOI count, salary figures, kafalat details, ECA result.</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Fill in the priority order in Section 6. No placeholder, bracket or “to be confirmed” text may remain in any filed document. After filling, run a search for “[[”, “INPUT”, “confirm”, “to be”, “TBC”.</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F-07</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1, 2, 3, 5; Offer; Exh. 4-H</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One author.</w:t>
            </w:r>
            <w:r>
              <w:rPr>
                <w:rFonts w:ascii="Calibri" w:cs="Calibri" w:eastAsia="Calibri" w:hAnsi="Calibri"/>
                <w:b w:val="false"/>
                <w:bCs w:val="false"/>
                <w:sz w:val="18"/>
                <w:szCs w:val="18"/>
              </w:rPr>
              <w:t xml:space="preserve"> The CFFB documents and the applicant’s documents share the same format, phrases (“In short”, “CG-030 ¶”) and voice, and Exh. 4-H says the instructor prepared Document 3. The officer will conclude the applicant wrote the employer’s documents. This undercuts the claim that CFFB directs the work.</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Put CFFB’s own statements on CFFB letterhead, signed by Brian Bourke: programme confirmation (1-F/2-C/4-I), supervision arrangement (5-C), selection record (5-A), budget (5-D), eligibility and fee policy (2-B). Keep them short and in plain CFFB voice. Present Docs 1–5 as a “supporting submission”, with a one-page CFFB cover note stating that CFFB reviewed and adopts them. Vary phrasing between CFFB and applicant documents. Doc 3 may stay instructor-drafted, but CFFB’s approval date must be real.</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F-08</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1.3; Cover §4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Volunteer exception.</w:t>
            </w:r>
            <w:r>
              <w:rPr>
                <w:rFonts w:ascii="Calibri" w:cs="Calibri" w:eastAsia="Calibri" w:hAnsi="Calibri"/>
                <w:b w:val="false"/>
                <w:bCs w:val="false"/>
                <w:sz w:val="18"/>
                <w:szCs w:val="18"/>
              </w:rPr>
              <w:t xml:space="preserve"> The officer may ask why an unpaid person needs a work permit at all. Offer 1.3 asserts it but gives little reasoning.</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Add a short paragraph to Offer 1.3 and Cover §4: the role is scheduled, supervised, carries obligations and deliverables, about 60–70 hours, and is a role that would ordinarily be paid and that Canadians perform; CFFB and the applicant therefore chose to apply for authorization instead of relying on any volunteer exception. Check IRCC’s current wording on volunteer work before adding.</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F-09</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6.5, 8.3; Exh. H-4 §1; Cover §10; Telephone file E-10</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SBU described as current.</w:t>
            </w:r>
            <w:r>
              <w:rPr>
                <w:rFonts w:ascii="Calibri" w:cs="Calibri" w:eastAsia="Calibri" w:hAnsi="Calibri"/>
                <w:b w:val="false"/>
                <w:bCs w:val="false"/>
                <w:sz w:val="18"/>
                <w:szCs w:val="18"/>
              </w:rPr>
              <w:t xml:space="preserve"> Shahid Beheshti University ended in February 2024 (Cover §3.2, Exh. F-1), but Offer 6.5 says “current teaching engagements at the University of Tehran and Shahid Beheshti University”, and H-4/Cover §10 use the present tense for both.</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Rewrite as: current engagement at the University of Tehran; past engagements at Shahid Beheshti (to February 2024) and Mahan (to March 2022). Fix Offer 6.5 and 8.3, H-4 §1, Cover §10, Telephone file E-10.</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F-10</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Résumé; Cover §2–3; Exh. F-1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CV gaps.</w:t>
            </w:r>
            <w:r>
              <w:rPr>
                <w:rFonts w:ascii="Calibri" w:cs="Calibri" w:eastAsia="Calibri" w:hAnsi="Calibri"/>
                <w:b w:val="false"/>
                <w:bCs w:val="false"/>
                <w:sz w:val="18"/>
                <w:szCs w:val="18"/>
              </w:rPr>
              <w:t xml:space="preserve"> Nothing is shown between the end of the MBA (2016) and Asha (January 2020), and between Mahan (March 2022) and SBU (September 2022). The officer will read the gap as unexplained residence or work, possibly in Malaysia or elsewhere.</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Add the true activity for 2016–2020 (work, residence, military-exemption process, anything else) and for March–September 2022 to the résumé and Exh. F-1. The personal-history entries in the IRCC forms must match exactly.</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F-11</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§3.1, §10, §11; Doc 6 Part C; Exh. H-4; Telephone file E-05</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Exhibit numbering conflicts.</w:t>
            </w:r>
            <w:r>
              <w:rPr>
                <w:rFonts w:ascii="Calibri" w:cs="Calibri" w:eastAsia="Calibri" w:hAnsi="Calibri"/>
                <w:b w:val="false"/>
                <w:bCs w:val="false"/>
                <w:sz w:val="18"/>
                <w:szCs w:val="18"/>
              </w:rPr>
              <w:t xml:space="preserve"> Cover §11 lists six A-items for seven documents; Doc 6 lists A-1 to A-7. WES is “A-6” in the Cover and Telephone file but is inside A-5 in Doc 6 (A-6 is the Google credentials). C-1 and D-1 both mean the University of Tehran letter. The kafalat card is G-1 in H-4 and Doc 6 but H-4 in Cover §10.</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Adopt Doc 6 Part C as the master. A-1 passport; A-2 signed offer and number; A-3 CFFB approval letter; A-4 Docs 1–6; A-5 degrees with WES ECA; A-6 Google credentials; A-7 TOEFL/GRE. C-1 = teaching-material examples; C-2 Mahan letter; C-3 SBU letter. D-1 University of Tehran letter; D-2 Asha letter. Kafalat card = G-1; H-4 = declaration only. Update Cover §3.1 (WES = A-5), §10, §11, Telephone file E-05 and Section 4 of Doc 6.</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F-12</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1, 2, 4, 5, 6</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Stale cross-references to Document 3.</w:t>
            </w:r>
            <w:r>
              <w:rPr>
                <w:rFonts w:ascii="Calibri" w:cs="Calibri" w:eastAsia="Calibri" w:hAnsi="Calibri"/>
                <w:b w:val="false"/>
                <w:bCs w:val="false"/>
                <w:sz w:val="18"/>
                <w:szCs w:val="18"/>
              </w:rPr>
              <w:t xml:space="preserve"> Document 3 gained a section, so references drifted by one. Actual map: §1 glance, 2 worth, 3 who, 4 outcomes, 5 when/where, 6 workshops, 7 how taught, 8 teach not promote, 9 materials, 10 learning needs, 11 assessment, 12 records, 13 instructor, 14 CG mapping, 15 evidence.</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1 §5: assessment “Section 10” → 11. Doc 2: §1 rows “§§3, 9, 11” → 3, 10, 12 and “§§7, 10” → 7, 11; §4 evidence “4, 6, 10” → 4, 6, 11; §6 materials “§8” → 9; §7 “Sections 3 and 9” → 3 and 10 and “7 and 11” → 7 and 12; §8 “Section 10” → 11 and “11 and 13” → 11 and 12; §8 evidence “7, 10, 11, 13” → 7, 11, 12. Doc 4: §1 duties “Section 12” → 13; §8 heading likewise; §9 “Section 9” → 10 and “Section 10” → 11; delete the sentence in §1 that says Section 9 lists matters to be confirmed. Doc 5: §3 table “4–10” → 4–11, teaching “6–7, 12” → 6–7, 13, assessment “10” → 11, adjustment “9” → 10, reporting “12” → 13, evidence “6–7, 9–10, 12” → 6–7, 10–11, 13; §5 evidence; §7 “Section 10” → 11. Doc 6 Part B criterion 4: remove “Document 5 §3” (it has no return content); use Cover §§6–7. Re-verify every reference after edits.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F-13</w:t>
            </w:r>
          </w:p>
        </w:tc>
        <w:tc>
          <w:tcPr>
            <w:tcW w:type="dxa" w:w="950"/>
            <w:tcBorders>
              <w:top w:val="single" w:color="A6A6A6" w:sz="4"/>
              <w:left w:val="single" w:color="A6A6A6" w:sz="4"/>
              <w:bottom w:val="single" w:color="A6A6A6" w:sz="4"/>
              <w:right w:val="single" w:color="A6A6A6" w:sz="4"/>
            </w:tcBorders>
            <w:shd w:fill="E2EFD9"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LOW</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 2 §12 table; Doc 3 §10, §9; Doc 6 Part C; Cover §5</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Typos and artifacts.</w:t>
            </w:r>
            <w:r>
              <w:rPr>
                <w:rFonts w:ascii="Calibri" w:cs="Calibri" w:eastAsia="Calibri" w:hAnsi="Calibri"/>
                <w:b w:val="false"/>
                <w:bCs w:val="false"/>
                <w:sz w:val="18"/>
                <w:szCs w:val="18"/>
              </w:rPr>
              <w:t xml:space="preserve"> Doc 2 §12 shows stray “2-A]”, “2-B]”, “2-C]”. Doc 3 §10 has “in advance.; reasonable accommodation…”. Doc 3 §9 has “(Exhibit 3-F; booking names…)”. Doc 6 Part C shows “filed as N-2”, “(N-4)”, “(N-6)”, “(filed as N-3)”. Cover §5 item 1 cites Exhibit 2-C as evidence of a personal reason.</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Delete the artifacts. Remove all N-numbers from Doc 6. Fix punctuation. In Cover §5 item 1 remove the 2-C citation.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F-14</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1–3, 6; Offer Part II, Sch. C, D</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Over-reliance on CG-030.</w:t>
            </w:r>
            <w:r>
              <w:rPr>
                <w:rFonts w:ascii="Calibri" w:cs="Calibri" w:eastAsia="Calibri" w:hAnsi="Calibri"/>
                <w:b w:val="false"/>
                <w:bCs w:val="false"/>
                <w:sz w:val="18"/>
                <w:szCs w:val="18"/>
              </w:rPr>
              <w:t xml:space="preserve"> CG-030 is CRA guidance on charity registration. The officer applies IRCC’s C51 instructions. More than thirty CG-030 paragraph citations read as advocacy and bury the actual C51 test.</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Re-order Doc 2 and Offer Sch. D: open with the C51 test (is the work itself charitable; not administrative; not displacing; paid or unpaid) and answer it in one page. Move CG-030 mapping to a secondary section. Keep Doc 6 Part A, but make Part B (IRCC criteria) first.</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F-15</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1, 2 (stop condition); Exh. 1-A, 1-C, 1-E; 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Registered purposes unverified.</w:t>
            </w:r>
            <w:r>
              <w:rPr>
                <w:rFonts w:ascii="Calibri" w:cs="Calibri" w:eastAsia="Calibri" w:hAnsi="Calibri"/>
                <w:b w:val="false"/>
                <w:bCs w:val="false"/>
                <w:sz w:val="18"/>
                <w:szCs w:val="18"/>
              </w:rPr>
              <w:t xml:space="preserve"> The stop condition (advancement of education in the CRA listing) is unresolved. Past CFFB workshops (1-E) are not listed with instructor names or pay status.</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Open the CRA listing. If education is not a registered purpose, stop and raise it. Otherwise file the listing and the governing-documents extract. For 1-E list three to six real past workshops with date, topic, format, attendance, instructor and whether paid.</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F-16</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2, 3 §3; Offer 4.2; Exh. 2-A, 3-E, 3-F</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No participants yet.</w:t>
            </w:r>
            <w:r>
              <w:rPr>
                <w:rFonts w:ascii="Calibri" w:cs="Calibri" w:eastAsia="Calibri" w:hAnsi="Calibri"/>
                <w:b w:val="false"/>
                <w:bCs w:val="false"/>
                <w:sz w:val="18"/>
                <w:szCs w:val="18"/>
              </w:rPr>
              <w:t xml:space="preserve"> Registration opens June 1, 2027 or after the permit. The course is a plan, not an enrolled cohort. The Offer also sets a minimum of 8 but does not say what happens if fewer register.</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File real dated expressions of interest, a course flyer with a registration date, and the venue booking (state whether it is firm or conditional on the permit). Add a rule: the programme runs only if at least 8 are registered by a stated date; otherwise CFFB cancels and notifies the applicant before he travels. State that the applicant will not travel before that date.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F-17</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§6.2, §8.1; Exh. E-2, E-3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Valuation date and rate.</w:t>
            </w:r>
            <w:r>
              <w:rPr>
                <w:rFonts w:ascii="Calibri" w:cs="Calibri" w:eastAsia="Calibri" w:hAnsi="Calibri"/>
                <w:b w:val="false"/>
                <w:bCs w:val="false"/>
                <w:sz w:val="18"/>
                <w:szCs w:val="18"/>
              </w:rPr>
              <w:t xml:space="preserve"> Avand ETF is valued on October 19, 2026 and the bank balance has no date. By filing these will be stale. Iran has more than one exchange rate; the rate and its source are open (INPUT-10).</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Refresh statements within 30 days of filing, with four to six months of history. State which rate and published source are used and show the CAD conversion on the statement or in a one-line table. Use a conservative rate.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F-18</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§8.1; Exh. D-1 to D-5; INPUT-22</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Salary and source of funds.</w:t>
            </w:r>
            <w:r>
              <w:rPr>
                <w:rFonts w:ascii="Calibri" w:cs="Calibri" w:eastAsia="Calibri" w:hAnsi="Calibri"/>
                <w:b w:val="false"/>
                <w:bCs w:val="false"/>
                <w:sz w:val="18"/>
                <w:szCs w:val="18"/>
              </w:rPr>
              <w:t xml:space="preserve"> Salary rows are empty. The officer will compare salary to savings and ask how about CAD 50,000 was accumulated.</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Insert true salary figures (IRR and CAD). Add a short “how my savings were built” paragraph tied to salary, tax records (D-4) and insurance record (D-5), with true numbers. Make sure payslips, bank deposits and tax records reconcile.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F-19</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§3.1, §6.4; INPUT-15, 16</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WES ECA.</w:t>
            </w:r>
            <w:r>
              <w:rPr>
                <w:rFonts w:ascii="Calibri" w:cs="Calibri" w:eastAsia="Calibri" w:hAnsi="Calibri"/>
                <w:b w:val="false"/>
                <w:bCs w:val="false"/>
                <w:sz w:val="18"/>
                <w:szCs w:val="18"/>
              </w:rPr>
              <w:t xml:space="preserve"> An ECA is usually read as preparation for permanent residence. The cover letter mentions it and then says there is no PR plan.</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State the true reason and year (INPUT-16) in one sentence. Say the report is filed to verify the Canadian equivalency of his degrees. Do not hide the ECA or over-explain it.</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F-20</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§2, §6.3, §10; Exh. G-1, H-4; INPUT-09</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Kafalat wording.</w:t>
            </w:r>
            <w:r>
              <w:rPr>
                <w:rFonts w:ascii="Calibri" w:cs="Calibri" w:eastAsia="Calibri" w:hAnsi="Calibri"/>
                <w:b w:val="false"/>
                <w:bCs w:val="false"/>
                <w:sz w:val="18"/>
                <w:szCs w:val="18"/>
              </w:rPr>
              <w:t xml:space="preserve"> Cover §2 says “no dependants” and, in the next sentence, that he is exempt as a caretaker. The officer will ask who he supports. The card details, the person supported and the care arrangement are missing.</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Use “no spouse or children” rather than “no dependants”. Fill INPUT-09 with the person supported, relationship, card number and issue date, and who provides care during his absence. File the card with translation as G-1.</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F-21</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5.7, 6.1; Exh. 5-A, H-4; Verification Briefing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Order of events.</w:t>
            </w:r>
            <w:r>
              <w:rPr>
                <w:rFonts w:ascii="Calibri" w:cs="Calibri" w:eastAsia="Calibri" w:hAnsi="Calibri"/>
                <w:b w:val="false"/>
                <w:bCs w:val="false"/>
                <w:sz w:val="18"/>
                <w:szCs w:val="18"/>
              </w:rPr>
              <w:t xml:space="preserve"> Offer, Doc 5 and H-4 describe selection steps and the COI declaration as completed. Each must have a real date earlier than the Offer signature and the Portal submission.</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Fill a one-table sequence (Section 4, rows 14–22) and check every document against it. If any step has not happened, do not sign the Offer.</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F-22</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Telephone Assistant file Part 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Answers that assert unfinished facts.</w:t>
            </w:r>
            <w:r>
              <w:rPr>
                <w:rFonts w:ascii="Calibri" w:cs="Calibri" w:eastAsia="Calibri" w:hAnsi="Calibri"/>
                <w:b w:val="false"/>
                <w:bCs w:val="false"/>
                <w:sz w:val="18"/>
                <w:szCs w:val="18"/>
              </w:rPr>
              <w:t xml:space="preserve"> Examples: G-04 (legal advice “on file”), F-03 to F-09 (selection steps and dates), C-03 (venue booking), J-10 (return flight booked), L-06 (funds access), H-07 (Offer number). The assistant also holds sensitive items (salary, family, balances). G-13 says the unremunerated structure “affects the LMIA”, which is imprecise.</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Update the bank only when each fact becomes true and documented; until then keep the “confirm in writing” answer. Restrict salary, family and balance answers to “confirm in writing”. Fix G-13 to say the C51 exemption removes the LMIA regardless of pay. Update E-05 (A-5), E-10 (SBU), and any dates changed by F-04.</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F-23</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(whole); Offer (whole)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Length and repetition.</w:t>
            </w:r>
            <w:r>
              <w:rPr>
                <w:rFonts w:ascii="Calibri" w:cs="Calibri" w:eastAsia="Calibri" w:hAnsi="Calibri"/>
                <w:b w:val="false"/>
                <w:bCs w:val="false"/>
                <w:sz w:val="18"/>
                <w:szCs w:val="18"/>
              </w:rPr>
              <w:t xml:space="preserve"> The cover letter repeats ties and funds in §§1, 6, 8, 9 and the conclusion. The officer’s time is short.</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Keep the §1 table as the summary. Trim repeated passages. Aim for a cover letter the officer can read in under ten minutes; push detail to exhibits.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F-24</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§8.2; Offer 7.4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Biometrics and timing.</w:t>
            </w:r>
            <w:r>
              <w:rPr>
                <w:rFonts w:ascii="Calibri" w:cs="Calibri" w:eastAsia="Calibri" w:hAnsi="Calibri"/>
                <w:b w:val="false"/>
                <w:bCs w:val="false"/>
                <w:sz w:val="18"/>
                <w:szCs w:val="18"/>
              </w:rPr>
              <w:t xml:space="preserve"> Iranian applicants give biometrics outside Iran. GSS requires biometrics within two weeks. The plan (country, booking, dates) is not shown.</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Add a one-line plan (country, appointment booked after application) and keep the CAD 1,300 line. Make sure the date of submission leaves enough time before June 25, 2027.</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F-25</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§8.2, §9; Exh. H-2, H-3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Return flight and insurance.</w:t>
            </w:r>
            <w:r>
              <w:rPr>
                <w:rFonts w:ascii="Calibri" w:cs="Calibri" w:eastAsia="Calibri" w:hAnsi="Calibri"/>
                <w:b w:val="false"/>
                <w:bCs w:val="false"/>
                <w:sz w:val="18"/>
                <w:szCs w:val="18"/>
              </w:rPr>
              <w:t xml:space="preserve"> The package says a return flight for September 10, 2027 is booked and insurance arranged.</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State only what exists. If only a reservation, say “reservation”. Prefer a refundable fare. Add the permit end date to the policy.</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F-26</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3.5(d); Cover §4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Reasons for in-person delivery</w:t>
            </w:r>
            <w:r>
              <w:rPr>
                <w:rFonts w:ascii="Calibri" w:cs="Calibri" w:eastAsia="Calibri" w:hAnsi="Calibri"/>
                <w:b w:val="false"/>
                <w:bCs w:val="false"/>
                <w:sz w:val="18"/>
                <w:szCs w:val="18"/>
              </w:rPr>
              <w:t xml:space="preserve"> include time difference and internet restrictions in Iran. These are valid but the first two reasons (group exercises, live feedback) are stronger.</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Order reasons: group exercises and live feedback first; presented final assignment second; time difference and connectivity last, in neutral wording.</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F-27</w:t>
            </w:r>
          </w:p>
        </w:tc>
        <w:tc>
          <w:tcPr>
            <w:tcW w:type="dxa" w:w="950"/>
            <w:tcBorders>
              <w:top w:val="single" w:color="A6A6A6" w:sz="4"/>
              <w:left w:val="single" w:color="A6A6A6" w:sz="4"/>
              <w:bottom w:val="single" w:color="A6A6A6" w:sz="4"/>
              <w:right w:val="single" w:color="A6A6A6" w:sz="4"/>
            </w:tcBorders>
            <w:shd w:fill="F8D9A8"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HIGH</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§5 (six reasons and closing sentence)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Thin reasons and reversed causation.</w:t>
            </w:r>
            <w:r>
              <w:rPr>
                <w:rFonts w:ascii="Calibri" w:cs="Calibri" w:eastAsia="Calibri" w:hAnsi="Calibri"/>
                <w:b w:val="false"/>
                <w:bCs w:val="false"/>
                <w:sz w:val="18"/>
                <w:szCs w:val="18"/>
              </w:rPr>
              <w:t xml:space="preserve"> Reason 6 (“I know the procedures”) and reason 4 (reference letter, contact) are weak. The closing line says he accepts the arrangement and that the fee exemption follows from being unpaid, which can read as unpaid in order to get the exemption.</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Keep three to four true reasons: teaching specialization with the AI component; the departmental interest letter (D-1); the reflective report for his own courses; the professional relationship. Delete reason 6. Rewrite the closing: unpaid because the pilot has no instructor budget; the fee exemption is a consequence, not the aim.</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F-28</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8.7; Doc 3 §5</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Cancellation consequences.</w:t>
            </w:r>
            <w:r>
              <w:rPr>
                <w:rFonts w:ascii="Calibri" w:cs="Calibri" w:eastAsia="Calibri" w:hAnsi="Calibri"/>
                <w:b w:val="false"/>
                <w:bCs w:val="false"/>
                <w:sz w:val="18"/>
                <w:szCs w:val="18"/>
              </w:rPr>
              <w:t xml:space="preserve"> If the cohort is cancelled after he has applied or travelled, what happens is unclear.</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State that he will not travel until CFFB confirms enrolment and the permit is issued, and that CFFB will tell IRCC if the programme is cancelled.</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F-29</w:t>
            </w:r>
          </w:p>
        </w:tc>
        <w:tc>
          <w:tcPr>
            <w:tcW w:type="dxa" w:w="950"/>
            <w:tcBorders>
              <w:top w:val="single" w:color="A6A6A6" w:sz="4"/>
              <w:left w:val="single" w:color="A6A6A6" w:sz="4"/>
              <w:bottom w:val="single" w:color="A6A6A6" w:sz="4"/>
              <w:right w:val="single" w:color="A6A6A6" w:sz="4"/>
            </w:tcBorders>
            <w:shd w:fill="FFF2B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MEDIUM</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§1 table, §3.4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Teaching experience statement.</w:t>
            </w:r>
            <w:r>
              <w:rPr>
                <w:rFonts w:ascii="Calibri" w:cs="Calibri" w:eastAsia="Calibri" w:hAnsi="Calibri"/>
                <w:b w:val="false"/>
                <w:bCs w:val="false"/>
                <w:sz w:val="18"/>
                <w:szCs w:val="18"/>
              </w:rPr>
              <w:t xml:space="preserve"> “At three Iranian institutions since 2021” can be read as three current posts.</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Word it as “at three Iranian institutions between 2021 and the present, currently at the University of Tehran”.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F-30</w:t>
            </w:r>
          </w:p>
        </w:tc>
        <w:tc>
          <w:tcPr>
            <w:tcW w:type="dxa" w:w="950"/>
            <w:tcBorders>
              <w:top w:val="single" w:color="A6A6A6" w:sz="4"/>
              <w:left w:val="single" w:color="A6A6A6" w:sz="4"/>
              <w:bottom w:val="single" w:color="A6A6A6" w:sz="4"/>
              <w:right w:val="single" w:color="A6A6A6" w:sz="4"/>
            </w:tcBorders>
            <w:shd w:fill="E2EFD9"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LOW</w:t>
            </w:r>
          </w:p>
        </w:tc>
        <w:tc>
          <w:tcPr>
            <w:tcW w:type="dxa" w:w="18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Offer; Sch. 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Regulatory citations</w:t>
            </w:r>
            <w:r>
              <w:rPr>
                <w:rFonts w:ascii="Calibri" w:cs="Calibri" w:eastAsia="Calibri" w:hAnsi="Calibri"/>
                <w:b w:val="false"/>
                <w:bCs w:val="false"/>
                <w:sz w:val="18"/>
                <w:szCs w:val="18"/>
              </w:rPr>
              <w:t xml:space="preserve"> (R299(2)(f), R303.1(5), R209.11, R200(3)(f.1), 2023 policy name) are not verified here.</w:t>
            </w:r>
          </w:p>
        </w:tc>
        <w:tc>
          <w:tcPr>
            <w:tcW w:type="dxa" w:w="33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See Ground rule 6. Fix any citation that has changed.</w:t>
            </w:r>
          </w:p>
        </w:tc>
      </w:tr>
    </w:tbl>
    <w:p>
      <w:pPr>
        <w:pStyle w:val="Heading1"/>
        <w:spacing w:after="120" w:before="300"/>
      </w:pPr>
      <w:r>
        <w:rPr>
          <w:rFonts w:ascii="Calibri" w:cs="Calibri" w:eastAsia="Calibri" w:hAnsi="Calibri"/>
          <w:b/>
          <w:bCs/>
          <w:color w:val="1F3864"/>
          <w:sz w:val="30"/>
          <w:szCs w:val="30"/>
        </w:rPr>
        <w:t xml:space="preserve">4. Master timeline (all files must match)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300"/>
        <w:gridCol w:w="3280"/>
      </w:tblGrid>
      <w:tr>
        <w:trPr>
          <w:tblHeader/>
        </w:trPr>
        <w:tc>
          <w:tcPr>
            <w:tcW w:type="dxa" w:w="6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t>
            </w:r>
            <w:r>
              <w:rPr>
                <w:rFonts w:ascii="Calibri" w:cs="Calibri" w:eastAsia="Calibri" w:hAnsi="Calibri"/>
                <w:b w:val="false"/>
                <w:bCs w:val="false"/>
                <w:sz w:val="18"/>
                <w:szCs w:val="18"/>
              </w:rPr>
              <w:t xml:space="preserve"/>
            </w:r>
          </w:p>
        </w:tc>
        <w:tc>
          <w:tcPr>
            <w:tcW w:type="dxa" w:w="29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Date / period</w:t>
            </w:r>
            <w:r>
              <w:rPr>
                <w:rFonts w:ascii="Calibri" w:cs="Calibri" w:eastAsia="Calibri" w:hAnsi="Calibri"/>
                <w:b w:val="false"/>
                <w:bCs w:val="false"/>
                <w:sz w:val="18"/>
                <w:szCs w:val="18"/>
              </w:rPr>
              <w:t xml:space="preserve"/>
            </w:r>
          </w:p>
        </w:tc>
        <w:tc>
          <w:tcPr>
            <w:tcW w:type="dxa" w:w="33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Event</w:t>
            </w:r>
            <w:r>
              <w:rPr>
                <w:rFonts w:ascii="Calibri" w:cs="Calibri" w:eastAsia="Calibri" w:hAnsi="Calibri"/>
                <w:b w:val="false"/>
                <w:bCs w:val="false"/>
                <w:sz w:val="18"/>
                <w:szCs w:val="18"/>
              </w:rPr>
              <w:t xml:space="preserve"/>
            </w:r>
          </w:p>
        </w:tc>
        <w:tc>
          <w:tcPr>
            <w:tcW w:type="dxa" w:w="32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Source and status</w:t>
            </w:r>
            <w:r>
              <w:rPr>
                <w:rFonts w:ascii="Calibri" w:cs="Calibri" w:eastAsia="Calibri" w:hAnsi="Calibri"/>
                <w:b w:val="false"/>
                <w:bCs w:val="false"/>
                <w:sz w:val="18"/>
                <w:szCs w:val="18"/>
              </w:rPr>
              <w:t xml:space="preserve"/>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Sep 2010 – 2014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BBA (First Class Honours), University of Malaya</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4-B</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2014 – 2016</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MBA Marketing (With Distinction), University of Malaya</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4-B; WES</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3</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2016 – Jan 2020</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Not documented.</w:t>
            </w:r>
            <w:r>
              <w:rPr>
                <w:rFonts w:ascii="Calibri" w:cs="Calibri" w:eastAsia="Calibri" w:hAnsi="Calibri"/>
                <w:b w:val="false"/>
                <w:bCs w:val="false"/>
                <w:sz w:val="18"/>
                <w:szCs w:val="18"/>
              </w:rPr>
              <w:t xml:space="preserve"> Fill (F-10).</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Open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4</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Jan 2020 – present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Asha Home Nursing Services: Coordinator → Specialist → Manager (promotion dates INPUT-05)</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D-2, D-3 to D-5; promotion dates open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Jan 2021 – Mar 2022</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Marketing Instructor, Mahan Business School</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C-2</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6</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Mar 2022 – Sep 2022</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Not documented.</w:t>
            </w:r>
            <w:r>
              <w:rPr>
                <w:rFonts w:ascii="Calibri" w:cs="Calibri" w:eastAsia="Calibri" w:hAnsi="Calibri"/>
                <w:b w:val="false"/>
                <w:bCs w:val="false"/>
                <w:sz w:val="18"/>
                <w:szCs w:val="18"/>
              </w:rPr>
              <w:t xml:space="preserve"> Fill (F-10).</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Open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7</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Sep 2022 – Feb 2024</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Marketing Instructor, Shahid Beheshti University (adjunct, per course). Leave Apr–Nov 2023; resumed Dec 2023</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C-3; contract type INPUT-08</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8</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Mar 9, 2023 / Apr 19, 2023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Previous application approved (type INPUT-06) / entered Canada</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F-2, F-3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9</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May 2023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Open work permit (Iran Situation policy) and temporary SIN; no work, no Canadian income</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F-2; reason INPUT-07</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10</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Apr – Nov 2023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Unpaid leave from Asha; leave from SBU</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D-2, C-3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11</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Nov 2023 (date INPUT-07)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Left Canada via Toronto Pearson; permit would have expired Nov 24, 2024</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F-3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12</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Dec 2023</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Resumed duties at Asha; resumed SBU teaching</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D-2, C-3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13</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Jan 2024 – present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Marketing Instructor, University of Tehran (adjunct, per course)</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D-1</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14</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CFFB documents the learning need (EOIs) and approves the pilot (budget with no instructor line)</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2-A, 2-C, 5-D; dates open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Selection criteria note (before first contact)</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add if true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16</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First LinkedIn contact and reply</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item 1</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17</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Video interview</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item 2</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18</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30-minute demonstration session</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item 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19</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Credential and teaching-letter review</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item 4</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20</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[[INPUT-11]]</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Dated selection memo signed by Brian Bourke</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5-A item 5</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21</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[[INPUT-19]]</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COI/non-remuneration declaration signed (H-4); Statement 5-E signed; Offer signed by CFFB then by the applicant</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H-4, 5-E, Offer</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22</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[[INPUT-02]]</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submitted on Employer Portal; Offer number issued; EC1 claimed</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Portal confirmation</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23</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[[INPUT-18]]</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Application submitted; biometrics within two weeks</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Cover dateline</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24</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May – Jun 2027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Remote design and preparation from Tehran</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4-H</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Jun 1, 2027 or permit date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Registration opens; enrolment threshold check</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Docs 2, 3</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26</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Jun 25, 2027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Permit deadline: postponement clause applies if not issued</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3.6</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27</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Jul 3 – Jul 5, 2027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Arrival (on or after Jul 3); permit start Jul 5 (or as shortened per F-04)</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3.6</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28</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Thu Jul 8 – Thu Aug 26, 2027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Eight Thursday workshops, 6:00–8:30 PM</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Sch. A; Doc 3 §5</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29</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Sep 9 / Sep 10, 2027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Close-out complete / permit end and departure (or shortened per F-04)</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Offer 3.6; Exh. H-2</w:t>
            </w:r>
          </w:p>
        </w:tc>
      </w:tr>
      <w:t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30</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About Sep 12, 2027</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Resume at Asha; fall teaching at University of Tehran</w:t>
            </w:r>
          </w:p>
        </w:tc>
        <w:tc>
          <w:tcPr>
            <w:tcW w:type="dxa" w:w="32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Exh. D-1, D-2</w:t>
            </w:r>
          </w:p>
        </w:tc>
      </w:tr>
    </w:tbl>
    <w:p>
      <w:pPr>
        <w:pStyle w:val="Heading1"/>
        <w:spacing w:after="120" w:before="300"/>
      </w:pPr>
      <w:r>
        <w:rPr>
          <w:rFonts w:ascii="Calibri" w:cs="Calibri" w:eastAsia="Calibri" w:hAnsi="Calibri"/>
          <w:b/>
          <w:bCs/>
          <w:color w:val="1F3864"/>
          <w:sz w:val="30"/>
          <w:szCs w:val="30"/>
        </w:rPr>
        <w:t xml:space="preserve">5. File-by-file edit checklist</w:t>
      </w:r>
    </w:p>
    <w:p>
      <w:pPr>
        <w:pStyle w:val="Heading2"/>
        <w:spacing w:after="80" w:before="200"/>
      </w:pPr>
      <w:r>
        <w:rPr>
          <w:rFonts w:ascii="Calibri" w:cs="Calibri" w:eastAsia="Calibri" w:hAnsi="Calibri"/>
          <w:b/>
          <w:bCs/>
          <w:color w:val="2F5496"/>
          <w:sz w:val="24"/>
          <w:szCs w:val="24"/>
        </w:rPr>
        <w:t xml:space="preserve">Cover letter</w:t>
      </w:r>
    </w:p>
    <w:p>
      <w:pPr>
        <w:pStyle w:val="ListParagraph"/>
        <w:numPr>
          <w:ilvl w:val="0"/>
          <w:numId w:val="2"/>
        </w:numPr>
        <w:spacing w:after="50"/>
      </w:pPr>
      <w:r>
        <w:rPr>
          <w:rFonts w:ascii="Calibri" w:cs="Calibri" w:eastAsia="Calibri" w:hAnsi="Calibri"/>
          <w:b w:val="false"/>
          <w:bCs w:val="false"/>
          <w:sz w:val="21"/>
          <w:szCs w:val="21"/>
        </w:rPr>
        <w:t xml:space="preserve">F-03: rewrite §1 funds row, §6.2, §8 intro and access paragraph; F-04: dates and costs if the permit is shortened; F-05: complete §7 and table; F-07/F-23: trim repetition; F-09: §10 SBU tense; F-10: add the gap periods to §2 or §3.3; F-11: exhibits in §3.1, §10, §11; F-17/F-18: §8.1 notes, salary, savings paragraph; F-19/F-20: §2, §6.4; F-27: rewrite §5 and its closing sentence; F-29: §1 and §3.4 wording; F-08: add volunteer paragraph in §4; remove INPUT placeholders last.</w:t>
      </w:r>
    </w:p>
    <w:p>
      <w:pPr>
        <w:pStyle w:val="Heading2"/>
        <w:spacing w:after="80" w:before="200"/>
      </w:pPr>
      <w:r>
        <w:rPr>
          <w:rFonts w:ascii="Calibri" w:cs="Calibri" w:eastAsia="Calibri" w:hAnsi="Calibri"/>
          <w:b/>
          <w:bCs/>
          <w:color w:val="2F5496"/>
          <w:sz w:val="24"/>
          <w:szCs w:val="24"/>
        </w:rPr>
        <w:t xml:space="preserve">Job Offer</w:t>
      </w:r>
    </w:p>
    <w:p>
      <w:pPr>
        <w:pStyle w:val="ListParagraph"/>
        <w:numPr>
          <w:ilvl w:val="0"/>
          <w:numId w:val="2"/>
        </w:numPr>
        <w:spacing w:after="50"/>
      </w:pPr>
      <w:r>
        <w:rPr>
          <w:rFonts w:ascii="Calibri" w:cs="Calibri" w:eastAsia="Calibri" w:hAnsi="Calibri"/>
          <w:b w:val="false"/>
          <w:bCs w:val="false"/>
          <w:sz w:val="21"/>
          <w:szCs w:val="21"/>
        </w:rPr>
        <w:t xml:space="preserve">F-02: fill contact fields; F-04: dates in cover, 1.4, 3.6, 5.2, Sch. A, E; F-08: 1.3; F-09: 6.5, 8.3; F-14: reorder Sch. D; F-16: minimum-enrolment rule in 4.2; F-21: 5.7 and 6.1 sequence; F-28: 8.7; F-26: 3.5(d) order; F-01: 6.1, 6.3 selection wording; fill INPUT-01, 02, 03, 11, 19.</w:t>
      </w:r>
    </w:p>
    <w:p>
      <w:pPr>
        <w:pStyle w:val="Heading2"/>
        <w:spacing w:after="80" w:before="200"/>
      </w:pPr>
      <w:r>
        <w:rPr>
          <w:rFonts w:ascii="Calibri" w:cs="Calibri" w:eastAsia="Calibri" w:hAnsi="Calibri"/>
          <w:b/>
          <w:bCs/>
          <w:color w:val="2F5496"/>
          <w:sz w:val="24"/>
          <w:szCs w:val="24"/>
        </w:rPr>
        <w:t xml:space="preserve">Document 1</w:t>
      </w:r>
    </w:p>
    <w:p>
      <w:pPr>
        <w:pStyle w:val="ListParagraph"/>
        <w:numPr>
          <w:ilvl w:val="0"/>
          <w:numId w:val="2"/>
        </w:numPr>
        <w:spacing w:after="50"/>
      </w:pPr>
      <w:r>
        <w:rPr>
          <w:rFonts w:ascii="Calibri" w:cs="Calibri" w:eastAsia="Calibri" w:hAnsi="Calibri"/>
          <w:b w:val="false"/>
          <w:bCs w:val="false"/>
          <w:sz w:val="21"/>
          <w:szCs w:val="21"/>
        </w:rPr>
        <w:t xml:space="preserve">F-15: registration date, registered purposes, three to six past workshops with instructor and pay status; F-12: assessment reference; F-07: present as CFFB submission.</w:t>
      </w:r>
    </w:p>
    <w:p>
      <w:pPr>
        <w:pStyle w:val="Heading2"/>
        <w:spacing w:after="80" w:before="200"/>
      </w:pPr>
      <w:r>
        <w:rPr>
          <w:rFonts w:ascii="Calibri" w:cs="Calibri" w:eastAsia="Calibri" w:hAnsi="Calibri"/>
          <w:b/>
          <w:bCs/>
          <w:color w:val="2F5496"/>
          <w:sz w:val="24"/>
          <w:szCs w:val="24"/>
        </w:rPr>
        <w:t xml:space="preserve">Document 2</w:t>
      </w:r>
    </w:p>
    <w:p>
      <w:pPr>
        <w:pStyle w:val="ListParagraph"/>
        <w:numPr>
          <w:ilvl w:val="0"/>
          <w:numId w:val="2"/>
        </w:numPr>
        <w:spacing w:after="50"/>
      </w:pPr>
      <w:r>
        <w:rPr>
          <w:rFonts w:ascii="Calibri" w:cs="Calibri" w:eastAsia="Calibri" w:hAnsi="Calibri"/>
          <w:b w:val="false"/>
          <w:bCs w:val="false"/>
          <w:sz w:val="21"/>
          <w:szCs w:val="21"/>
        </w:rPr>
        <w:t xml:space="preserve">F-12: all Document 3 references; F-13: stray “2-A]” text in §12; F-14: lead with the C51 test; F-16: enrolment evidence; K1–K2: §2 learning need and budget reason.</w:t>
      </w:r>
    </w:p>
    <w:p>
      <w:pPr>
        <w:pStyle w:val="Heading2"/>
        <w:spacing w:after="80" w:before="200"/>
      </w:pPr>
      <w:r>
        <w:rPr>
          <w:rFonts w:ascii="Calibri" w:cs="Calibri" w:eastAsia="Calibri" w:hAnsi="Calibri"/>
          <w:b/>
          <w:bCs/>
          <w:color w:val="2F5496"/>
          <w:sz w:val="24"/>
          <w:szCs w:val="24"/>
        </w:rPr>
        <w:t xml:space="preserve">Document 3</w:t>
      </w:r>
    </w:p>
    <w:p>
      <w:pPr>
        <w:pStyle w:val="ListParagraph"/>
        <w:numPr>
          <w:ilvl w:val="0"/>
          <w:numId w:val="2"/>
        </w:numPr>
        <w:spacing w:after="50"/>
      </w:pPr>
      <w:r>
        <w:rPr>
          <w:rFonts w:ascii="Calibri" w:cs="Calibri" w:eastAsia="Calibri" w:hAnsi="Calibri"/>
          <w:b w:val="false"/>
          <w:bCs w:val="false"/>
          <w:sz w:val="21"/>
          <w:szCs w:val="21"/>
        </w:rPr>
        <w:t xml:space="preserve">F-13: punctuation in §9–10; F-04: dates if shortened; F-16: enrolment threshold; INPUT-03, 11 fill.</w:t>
      </w:r>
    </w:p>
    <w:p>
      <w:pPr>
        <w:pStyle w:val="Heading2"/>
        <w:spacing w:after="80" w:before="200"/>
      </w:pPr>
      <w:r>
        <w:rPr>
          <w:rFonts w:ascii="Calibri" w:cs="Calibri" w:eastAsia="Calibri" w:hAnsi="Calibri"/>
          <w:b/>
          <w:bCs/>
          <w:color w:val="2F5496"/>
          <w:sz w:val="24"/>
          <w:szCs w:val="24"/>
        </w:rPr>
        <w:t xml:space="preserve">Document 4</w:t>
      </w:r>
    </w:p>
    <w:p>
      <w:pPr>
        <w:pStyle w:val="ListParagraph"/>
        <w:numPr>
          <w:ilvl w:val="0"/>
          <w:numId w:val="2"/>
        </w:numPr>
        <w:spacing w:after="50"/>
      </w:pPr>
      <w:r>
        <w:rPr>
          <w:rFonts w:ascii="Calibri" w:cs="Calibri" w:eastAsia="Calibri" w:hAnsi="Calibri"/>
          <w:b w:val="false"/>
          <w:bCs w:val="false"/>
          <w:sz w:val="21"/>
          <w:szCs w:val="21"/>
        </w:rPr>
        <w:t xml:space="preserve">F-12: stale cross-references and the deleted “Section 9” sentence; F-09: SBU tense; F-10: gaps; INPUT-05, 08, 13, 20, 21 fill.</w:t>
      </w:r>
    </w:p>
    <w:p>
      <w:pPr>
        <w:pStyle w:val="Heading2"/>
        <w:spacing w:after="80" w:before="200"/>
      </w:pPr>
      <w:r>
        <w:rPr>
          <w:rFonts w:ascii="Calibri" w:cs="Calibri" w:eastAsia="Calibri" w:hAnsi="Calibri"/>
          <w:b/>
          <w:bCs/>
          <w:color w:val="2F5496"/>
          <w:sz w:val="24"/>
          <w:szCs w:val="24"/>
        </w:rPr>
        <w:t xml:space="preserve">Document 5</w:t>
      </w:r>
    </w:p>
    <w:p>
      <w:pPr>
        <w:pStyle w:val="ListParagraph"/>
        <w:numPr>
          <w:ilvl w:val="0"/>
          <w:numId w:val="2"/>
        </w:numPr>
        <w:spacing w:after="50"/>
      </w:pPr>
      <w:r>
        <w:rPr>
          <w:rFonts w:ascii="Calibri" w:cs="Calibri" w:eastAsia="Calibri" w:hAnsi="Calibri"/>
          <w:b w:val="false"/>
          <w:bCs w:val="false"/>
          <w:sz w:val="21"/>
          <w:szCs w:val="21"/>
        </w:rPr>
        <w:t xml:space="preserve">F-01: rewrite §2 selection (criteria note, search log if real, “willing unpaid” criterion); F-12: references; F-27: align the reflective-report sentence; INPUT-04 fill.</w:t>
      </w:r>
    </w:p>
    <w:p>
      <w:pPr>
        <w:pStyle w:val="Heading2"/>
        <w:spacing w:after="80" w:before="200"/>
      </w:pPr>
      <w:r>
        <w:rPr>
          <w:rFonts w:ascii="Calibri" w:cs="Calibri" w:eastAsia="Calibri" w:hAnsi="Calibri"/>
          <w:b/>
          <w:bCs/>
          <w:color w:val="2F5496"/>
          <w:sz w:val="24"/>
          <w:szCs w:val="24"/>
        </w:rPr>
        <w:t xml:space="preserve">Document 6</w:t>
      </w:r>
    </w:p>
    <w:p>
      <w:pPr>
        <w:pStyle w:val="ListParagraph"/>
        <w:numPr>
          <w:ilvl w:val="0"/>
          <w:numId w:val="2"/>
        </w:numPr>
        <w:spacing w:after="50"/>
      </w:pPr>
      <w:r>
        <w:rPr>
          <w:rFonts w:ascii="Calibri" w:cs="Calibri" w:eastAsia="Calibri" w:hAnsi="Calibri"/>
          <w:b w:val="false"/>
          <w:bCs w:val="false"/>
          <w:sz w:val="21"/>
          <w:szCs w:val="21"/>
        </w:rPr>
        <w:t xml:space="preserve">F-11: master exhibit list; F-12: Part B criterion 4; F-13: remove N-numbers; add new exhibits (search log, criteria note, D-1 departmental interest letter, enrolment rule, E-4 evidence).</w:t>
      </w:r>
    </w:p>
    <w:p>
      <w:pPr>
        <w:pStyle w:val="Heading2"/>
        <w:spacing w:after="80" w:before="200"/>
      </w:pPr>
      <w:r>
        <w:rPr>
          <w:rFonts w:ascii="Calibri" w:cs="Calibri" w:eastAsia="Calibri" w:hAnsi="Calibri"/>
          <w:b/>
          <w:bCs/>
          <w:color w:val="2F5496"/>
          <w:sz w:val="24"/>
          <w:szCs w:val="24"/>
        </w:rPr>
        <w:t xml:space="preserve">Résumé</w:t>
      </w:r>
    </w:p>
    <w:p>
      <w:pPr>
        <w:pStyle w:val="ListParagraph"/>
        <w:numPr>
          <w:ilvl w:val="0"/>
          <w:numId w:val="2"/>
        </w:numPr>
        <w:spacing w:after="50"/>
      </w:pPr>
      <w:r>
        <w:rPr>
          <w:rFonts w:ascii="Calibri" w:cs="Calibri" w:eastAsia="Calibri" w:hAnsi="Calibri"/>
          <w:b w:val="false"/>
          <w:bCs w:val="false"/>
          <w:sz w:val="21"/>
          <w:szCs w:val="21"/>
        </w:rPr>
        <w:t xml:space="preserve">F-10: add 2016–2020 and Mar–Sep 2022; INPUT-05, 08, 13, 14 fill; keep teaching dates identical to Exh. F-1.</w:t>
      </w:r>
    </w:p>
    <w:p>
      <w:pPr>
        <w:pStyle w:val="Heading2"/>
        <w:spacing w:after="80" w:before="200"/>
      </w:pPr>
      <w:r>
        <w:rPr>
          <w:rFonts w:ascii="Calibri" w:cs="Calibri" w:eastAsia="Calibri" w:hAnsi="Calibri"/>
          <w:b/>
          <w:bCs/>
          <w:color w:val="2F5496"/>
          <w:sz w:val="24"/>
          <w:szCs w:val="24"/>
        </w:rPr>
        <w:t xml:space="preserve">Exhibit letters (1-F/2-C/4-I, 5-E, H-4, D-1, D-2, C-3, 3-F, 2-A, 5-A, E-4, F-1)</w:t>
      </w:r>
    </w:p>
    <w:p>
      <w:pPr>
        <w:pStyle w:val="ListParagraph"/>
        <w:numPr>
          <w:ilvl w:val="0"/>
          <w:numId w:val="2"/>
        </w:numPr>
        <w:spacing w:after="50"/>
      </w:pPr>
      <w:r>
        <w:rPr>
          <w:rFonts w:ascii="Calibri" w:cs="Calibri" w:eastAsia="Calibri" w:hAnsi="Calibri"/>
          <w:b w:val="false"/>
          <w:bCs w:val="false"/>
          <w:sz w:val="21"/>
          <w:szCs w:val="21"/>
        </w:rPr>
        <w:t xml:space="preserve">Replace templates with real, dated, signed documents. D-1: name the fall 2027 courses and add the departmental-interest sentence. D-2: salary, leave dates, return date, no remote work. F-1: add gap rows; rebuild chart to match Section 4. 1-F: include real phone and email.</w:t>
      </w:r>
    </w:p>
    <w:p>
      <w:pPr>
        <w:pStyle w:val="Heading2"/>
        <w:spacing w:after="80" w:before="200"/>
      </w:pPr>
      <w:r>
        <w:rPr>
          <w:rFonts w:ascii="Calibri" w:cs="Calibri" w:eastAsia="Calibri" w:hAnsi="Calibri"/>
          <w:b/>
          <w:bCs/>
          <w:color w:val="2F5496"/>
          <w:sz w:val="24"/>
          <w:szCs w:val="24"/>
        </w:rPr>
        <w:t xml:space="preserve">Telephone Assistant and Verification Briefing</w:t>
      </w:r>
    </w:p>
    <w:p>
      <w:pPr>
        <w:pStyle w:val="ListParagraph"/>
        <w:numPr>
          <w:ilvl w:val="0"/>
          <w:numId w:val="2"/>
        </w:numPr>
        <w:spacing w:after="50"/>
      </w:pPr>
      <w:r>
        <w:rPr>
          <w:rFonts w:ascii="Calibri" w:cs="Calibri" w:eastAsia="Calibri" w:hAnsi="Calibri"/>
          <w:b w:val="false"/>
          <w:bCs w:val="false"/>
          <w:sz w:val="21"/>
          <w:szCs w:val="21"/>
        </w:rPr>
        <w:t xml:space="preserve">F-02: human first; F-22: update answers only when facts are real; align all dates; remove sensitive answers from the phone line.</w:t>
      </w:r>
    </w:p>
    <w:p>
      <w:pPr>
        <w:pStyle w:val="Heading2"/>
        <w:spacing w:after="80" w:before="200"/>
      </w:pPr>
      <w:r>
        <w:rPr>
          <w:rFonts w:ascii="Calibri" w:cs="Calibri" w:eastAsia="Calibri" w:hAnsi="Calibri"/>
          <w:b/>
          <w:bCs/>
          <w:color w:val="2F5496"/>
          <w:sz w:val="24"/>
          <w:szCs w:val="24"/>
        </w:rPr>
        <w:t xml:space="preserve">Change Log</w:t>
      </w:r>
    </w:p>
    <w:p>
      <w:pPr>
        <w:pStyle w:val="ListParagraph"/>
        <w:numPr>
          <w:ilvl w:val="0"/>
          <w:numId w:val="2"/>
        </w:numPr>
        <w:spacing w:after="50"/>
      </w:pPr>
      <w:r>
        <w:rPr>
          <w:rFonts w:ascii="Calibri" w:cs="Calibri" w:eastAsia="Calibri" w:hAnsi="Calibri"/>
          <w:b w:val="false"/>
          <w:bCs w:val="false"/>
          <w:sz w:val="21"/>
          <w:szCs w:val="21"/>
        </w:rPr>
        <w:t xml:space="preserve">Add a Round 2 entry listing each F-item applied.</w:t>
      </w:r>
    </w:p>
    <w:p>
      <w:pPr>
        <w:pStyle w:val="Heading1"/>
        <w:spacing w:after="120" w:before="300"/>
      </w:pPr>
      <w:r>
        <w:rPr>
          <w:rFonts w:ascii="Calibri" w:cs="Calibri" w:eastAsia="Calibri" w:hAnsi="Calibri"/>
          <w:b/>
          <w:bCs/>
          <w:color w:val="1F3864"/>
          <w:sz w:val="30"/>
          <w:szCs w:val="30"/>
        </w:rPr>
        <w:t xml:space="preserve">6. INPUT items in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680"/>
      </w:tblGrid>
      <w:tr>
        <w:trPr>
          <w:tblHeader/>
        </w:trPr>
        <w:tc>
          <w:tcPr>
            <w:tcW w:type="dxa" w:w="14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Priority</w:t>
            </w:r>
            <w:r>
              <w:rPr>
                <w:rFonts w:ascii="Calibri" w:cs="Calibri" w:eastAsia="Calibri" w:hAnsi="Calibri"/>
                <w:b w:val="false"/>
                <w:bCs w:val="false"/>
                <w:sz w:val="18"/>
                <w:szCs w:val="18"/>
              </w:rPr>
              <w:t xml:space="preserve"/>
            </w:r>
          </w:p>
        </w:tc>
        <w:tc>
          <w:tcPr>
            <w:tcW w:type="dxa" w:w="500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Items</w:t>
            </w:r>
            <w:r>
              <w:rPr>
                <w:rFonts w:ascii="Calibri" w:cs="Calibri" w:eastAsia="Calibri" w:hAnsi="Calibri"/>
                <w:b w:val="false"/>
                <w:bCs w:val="false"/>
                <w:sz w:val="18"/>
                <w:szCs w:val="18"/>
              </w:rPr>
              <w:t xml:space="preserve"/>
            </w:r>
          </w:p>
        </w:tc>
        <w:tc>
          <w:tcPr>
            <w:tcW w:type="dxa" w:w="3680"/>
            <w:tcBorders>
              <w:top w:val="single" w:color="A6A6A6" w:sz="4"/>
              <w:left w:val="single" w:color="A6A6A6" w:sz="4"/>
              <w:bottom w:val="single" w:color="A6A6A6" w:sz="4"/>
              <w:right w:val="single" w:color="A6A6A6" w:sz="4"/>
            </w:tcBorders>
            <w:shd w:fill="D9E2F3" w:val="clear"/>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Why first</w:t>
            </w:r>
            <w:r>
              <w:rPr>
                <w:rFonts w:ascii="Calibri" w:cs="Calibri" w:eastAsia="Calibri" w:hAnsi="Calibri"/>
                <w:b w:val="false"/>
                <w:bCs w:val="false"/>
                <w:sz w:val="18"/>
                <w:szCs w:val="18"/>
              </w:rPr>
              <w:t xml:space="preserve"/>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1 (blocks everything)</w:t>
            </w:r>
          </w:p>
        </w:tc>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INPUT-03 (employer contact, venue), INPUT-02 (Offer number), INPUT-11 (all CFFB dates, registration date, EOI count), INPUT-19 (signing dates)</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Genuineness of the offer; sequence of events; STOP condition on registered purposes</w:t>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2</w:t>
            </w:r>
          </w:p>
        </w:tc>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INPUT-10 (funds access, rate, statement dates), INPUT-22 (salaries), INPUT-05 (promotion and leave dates), INPUT-08 (contract type)</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Funds and ties; every “current” statement</w:t>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3</w:t>
            </w:r>
          </w:p>
        </w:tc>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INPUT-06, 07, 16, 17 (2023 stay, ECA reason, never refused)</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Credibility of the previous stay and admissibility</w:t>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4</w:t>
            </w:r>
          </w:p>
        </w:tc>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INPUT-01, 09, 13, 14, 15, 18, 20, 21</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Identity data, credentials, kafalat, course-development record</w:t>
            </w:r>
          </w:p>
        </w:tc>
      </w:tr>
      <w:tr>
        <w:tc>
          <w:tcPr>
            <w:tcW w:type="dxa" w:w="1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5</w:t>
            </w:r>
          </w:p>
        </w:tc>
        <w:tc>
          <w:tcPr>
            <w:tcW w:type="dxa" w:w="5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INPUT-04, 12</w:t>
            </w:r>
          </w:p>
        </w:tc>
        <w:tc>
          <w:tcPr>
            <w:tcW w:type="dxa" w:w="36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40"/>
            </w:pPr>
            <w:r>
              <w:rPr>
                <w:rFonts w:ascii="Calibri" w:cs="Calibri" w:eastAsia="Calibri" w:hAnsi="Calibri"/>
                <w:b w:val="false"/>
                <w:bCs w:val="false"/>
                <w:sz w:val="18"/>
                <w:szCs w:val="18"/>
              </w:rPr>
              <w:t xml:space="preserve">Confirm reasons are held; representative statement</w:t>
            </w:r>
          </w:p>
        </w:tc>
      </w:tr>
    </w:tbl>
    <w:p>
      <w:pPr>
        <w:pStyle w:val="Heading1"/>
        <w:spacing w:after="120" w:before="300"/>
      </w:pPr>
      <w:r>
        <w:rPr>
          <w:rFonts w:ascii="Calibri" w:cs="Calibri" w:eastAsia="Calibri" w:hAnsi="Calibri"/>
          <w:b/>
          <w:bCs/>
          <w:color w:val="1F3864"/>
          <w:sz w:val="30"/>
          <w:szCs w:val="30"/>
        </w:rPr>
        <w:t xml:space="preserve">7. Final consistency pass (run last)</w:t>
      </w:r>
    </w:p>
    <w:p>
      <w:pPr>
        <w:pStyle w:val="ListParagraph"/>
        <w:numPr>
          <w:ilvl w:val="0"/>
          <w:numId w:val="2"/>
        </w:numPr>
        <w:spacing w:after="50"/>
      </w:pPr>
      <w:r>
        <w:rPr>
          <w:rFonts w:ascii="Calibri" w:cs="Calibri" w:eastAsia="Calibri" w:hAnsi="Calibri"/>
          <w:b w:val="false"/>
          <w:bCs w:val="false"/>
          <w:sz w:val="21"/>
          <w:szCs w:val="21"/>
        </w:rPr>
        <w:t xml:space="preserve">Search all files for every date in Section 4 and for any date no longer valid (especially if F-04 is adopted).</w:t>
      </w:r>
    </w:p>
    <w:p>
      <w:pPr>
        <w:pStyle w:val="ListParagraph"/>
        <w:numPr>
          <w:ilvl w:val="0"/>
          <w:numId w:val="2"/>
        </w:numPr>
        <w:spacing w:after="50"/>
      </w:pPr>
      <w:r>
        <w:rPr>
          <w:rFonts w:ascii="Calibri" w:cs="Calibri" w:eastAsia="Calibri" w:hAnsi="Calibri"/>
          <w:b w:val="false"/>
          <w:bCs w:val="false"/>
          <w:sz w:val="21"/>
          <w:szCs w:val="21"/>
        </w:rPr>
        <w:t xml:space="preserve">Search for “[[”, “INPUT”, “N-”, “confirm”, “to be”, “TBC”, “stipend” (allowed only in negations and the regulation quotation), “current” next to Shahid Beheshti.</w:t>
      </w:r>
    </w:p>
    <w:p>
      <w:pPr>
        <w:pStyle w:val="ListParagraph"/>
        <w:numPr>
          <w:ilvl w:val="0"/>
          <w:numId w:val="2"/>
        </w:numPr>
        <w:spacing w:after="50"/>
      </w:pPr>
      <w:r>
        <w:rPr>
          <w:rFonts w:ascii="Calibri" w:cs="Calibri" w:eastAsia="Calibri" w:hAnsi="Calibri"/>
          <w:b w:val="false"/>
          <w:bCs w:val="false"/>
          <w:sz w:val="21"/>
          <w:szCs w:val="21"/>
        </w:rPr>
        <w:t xml:space="preserve">Check that the five support items appear identically in Offer 5.2, Schedule E, Exh. 5-E, the Cover §4 and the Telephone file.</w:t>
      </w:r>
    </w:p>
    <w:p>
      <w:pPr>
        <w:pStyle w:val="ListParagraph"/>
        <w:numPr>
          <w:ilvl w:val="0"/>
          <w:numId w:val="2"/>
        </w:numPr>
        <w:spacing w:after="50"/>
      </w:pPr>
      <w:r>
        <w:rPr>
          <w:rFonts w:ascii="Calibri" w:cs="Calibri" w:eastAsia="Calibri" w:hAnsi="Calibri"/>
          <w:b w:val="false"/>
          <w:bCs w:val="false"/>
          <w:sz w:val="21"/>
          <w:szCs w:val="21"/>
        </w:rPr>
        <w:t xml:space="preserve">Check that every exhibit cited exists in Doc 6 Part C and that its letter matches the Cover §11 list.</w:t>
      </w:r>
    </w:p>
    <w:p>
      <w:pPr>
        <w:pStyle w:val="ListParagraph"/>
        <w:numPr>
          <w:ilvl w:val="0"/>
          <w:numId w:val="2"/>
        </w:numPr>
        <w:spacing w:after="50"/>
      </w:pPr>
      <w:r>
        <w:rPr>
          <w:rFonts w:ascii="Calibri" w:cs="Calibri" w:eastAsia="Calibri" w:hAnsi="Calibri"/>
          <w:b w:val="false"/>
          <w:bCs w:val="false"/>
          <w:sz w:val="21"/>
          <w:szCs w:val="21"/>
        </w:rPr>
        <w:t xml:space="preserve">Check that every Document 3 section reference matches the actual numbering in F-12.</w:t>
      </w:r>
    </w:p>
    <w:p>
      <w:pPr>
        <w:pStyle w:val="ListParagraph"/>
        <w:numPr>
          <w:ilvl w:val="0"/>
          <w:numId w:val="2"/>
        </w:numPr>
        <w:spacing w:after="50"/>
      </w:pPr>
      <w:r>
        <w:rPr>
          <w:rFonts w:ascii="Calibri" w:cs="Calibri" w:eastAsia="Calibri" w:hAnsi="Calibri"/>
          <w:b w:val="false"/>
          <w:bCs w:val="false"/>
          <w:sz w:val="21"/>
          <w:szCs w:val="21"/>
        </w:rPr>
        <w:t xml:space="preserve">Check that Offer contact data equals Exh. 1-F, the Verification Briefing and the Portal submission.</w:t>
      </w:r>
    </w:p>
    <w:p>
      <w:pPr>
        <w:pStyle w:val="ListParagraph"/>
        <w:numPr>
          <w:ilvl w:val="0"/>
          <w:numId w:val="2"/>
        </w:numPr>
        <w:spacing w:after="50"/>
      </w:pPr>
      <w:r>
        <w:rPr>
          <w:rFonts w:ascii="Calibri" w:cs="Calibri" w:eastAsia="Calibri" w:hAnsi="Calibri"/>
          <w:b w:val="false"/>
          <w:bCs w:val="false"/>
          <w:sz w:val="21"/>
          <w:szCs w:val="21"/>
        </w:rPr>
        <w:t xml:space="preserve">Check that salary, balances, valuation dates and the CAD conversion are the same in Cover §8, D-2, D-1, E-2, E-3 and E-4.</w:t>
      </w:r>
    </w:p>
    <w:p>
      <w:pPr>
        <w:pStyle w:val="ListParagraph"/>
        <w:numPr>
          <w:ilvl w:val="0"/>
          <w:numId w:val="2"/>
        </w:numPr>
        <w:spacing w:after="50"/>
      </w:pPr>
      <w:r>
        <w:rPr>
          <w:rFonts w:ascii="Calibri" w:cs="Calibri" w:eastAsia="Calibri" w:hAnsi="Calibri"/>
          <w:b w:val="false"/>
          <w:bCs w:val="false"/>
          <w:sz w:val="21"/>
          <w:szCs w:val="21"/>
        </w:rPr>
        <w:t xml:space="preserve">Read the whole package once as the officer: for each of the nine questions in Section 1, can the answer be found in under two minutes?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Officer-View Review, Round 2 — internal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2026-10-24T09:08:18.902Z</dcterms:created>
  <dcterms:modified xsi:type="dcterms:W3CDTF">2026-10-24T09:08:18.902Z</dcterms:modified>
</cp:coreProperties>
</file>

<file path=docProps/custom.xml><?xml version="1.0" encoding="utf-8"?>
<Properties xmlns="http://schemas.openxmlformats.org/officeDocument/2006/custom-properties" xmlns:vt="http://schemas.openxmlformats.org/officeDocument/2006/docPropsVTypes"/>
</file>