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Officer-View Review, Round 4</w:t>
      </w:r>
    </w:p>
    <w:p>
      <w:pPr>
        <w:spacing w:after="200"/>
      </w:pPr>
      <w:r>
        <w:rPr>
          <w:rFonts w:ascii="Calibri" w:cs="Calibri" w:eastAsia="Calibri" w:hAnsi="Calibri"/>
          <w:color w:val="555555"/>
          <w:sz w:val="24"/>
          <w:szCs w:val="24"/>
        </w:rPr>
        <w:t xml:space="preserve">IMP R205(d) / C51 work permit package: Ashkan Hosseinzadeh / CFFB. Flaws, fixes and the storyline the officer must be able to follow</w:t>
      </w:r>
    </w:p>
    <w:p>
      <w:pPr>
        <w:spacing w:after="100"/>
      </w:pPr>
      <w:r>
        <w:rPr>
          <w:rFonts w:ascii="Calibri" w:cs="Calibri" w:eastAsia="Calibri" w:hAnsi="Calibri"/>
          <w:sz w:val="20"/>
          <w:szCs w:val="20"/>
        </w:rPr>
        <w:t xml:space="preserve"/>
      </w:r>
      <w:r>
        <w:rPr>
          <w:rFonts w:ascii="Calibri" w:cs="Calibri" w:eastAsia="Calibri" w:hAnsi="Calibri"/>
          <w:b/>
          <w:bCs/>
          <w:sz w:val="20"/>
          <w:szCs w:val="20"/>
        </w:rPr>
        <w:t xml:space="preserve">Prepared:</w:t>
      </w:r>
      <w:r>
        <w:rPr>
          <w:rFonts w:ascii="Calibri" w:cs="Calibri" w:eastAsia="Calibri" w:hAnsi="Calibri"/>
          <w:sz w:val="20"/>
          <w:szCs w:val="20"/>
        </w:rPr>
        <w:t xml:space="preserve"> October 24, 2026. </w:t>
      </w:r>
      <w:r>
        <w:rPr>
          <w:rFonts w:ascii="Calibri" w:cs="Calibri" w:eastAsia="Calibri" w:hAnsi="Calibri"/>
          <w:b/>
          <w:bCs/>
          <w:sz w:val="20"/>
          <w:szCs w:val="20"/>
        </w:rPr>
        <w:t xml:space="preserve">Reviewed:</w:t>
      </w:r>
      <w:r>
        <w:rPr>
          <w:rFonts w:ascii="Calibri" w:cs="Calibri" w:eastAsia="Calibri" w:hAnsi="Calibri"/>
          <w:sz w:val="20"/>
          <w:szCs w:val="20"/>
        </w:rPr>
        <w:t xml:space="preserve"> the 24 files in the project (README, Change Log, Documents 0 to 6, cover letter, Job Offer, résumé, exhibit templates and specifications, verification briefing, telephone-assistant file). </w:t>
      </w:r>
      <w:r>
        <w:rPr>
          <w:rFonts w:ascii="Calibri" w:cs="Calibri" w:eastAsia="Calibri" w:hAnsi="Calibri"/>
          <w:b/>
          <w:bCs/>
          <w:sz w:val="20"/>
          <w:szCs w:val="20"/>
        </w:rPr>
        <w:t xml:space="preserve">Audience:</w:t>
      </w:r>
      <w:r>
        <w:rPr>
          <w:rFonts w:ascii="Calibri" w:cs="Calibri" w:eastAsia="Calibri" w:hAnsi="Calibri"/>
          <w:sz w:val="20"/>
          <w:szCs w:val="20"/>
        </w:rPr>
        <w:t xml:space="preserve"> the AI agent that will edit the package. Every instruction below names the file, the place in it, the problem as the officer would see it, and the exact fix.</w:t>
      </w:r>
    </w:p>
    <w:p>
      <w:pPr>
        <w:pStyle w:val="Heading1"/>
        <w:spacing w:after="140" w:before="300"/>
      </w:pPr>
      <w:r>
        <w:rPr>
          <w:rFonts w:ascii="Calibri" w:cs="Calibri" w:eastAsia="Calibri" w:hAnsi="Calibri"/>
          <w:b/>
          <w:bCs/>
          <w:color w:val="1F3864"/>
          <w:sz w:val="30"/>
          <w:szCs w:val="30"/>
        </w:rPr>
        <w:t xml:space="preserve">0. Ground rules for the editing agent</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Truth first.</w:t>
      </w:r>
      <w:r>
        <w:rPr>
          <w:rFonts w:ascii="Calibri" w:cs="Calibri" w:eastAsia="Calibri" w:hAnsi="Calibri"/>
          <w:sz w:val="20"/>
          <w:szCs w:val="20"/>
        </w:rPr>
        <w:t xml:space="preserve"> Every fact, date, message, search step, referral, publication, decline and approval the package states must be a fact that is true in the scenario and backed by a document that exists. Where this review proposes a storyline step, it is a step that must actually occur and leave a dated record; if it did not occur, the package must say so or drop the claim (the package already says this in Exhibits 5-A and 5-G; keep that discipline). Do not invent evidence to fit a narrative.</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Do not claim no Canadian could do the job.</w:t>
      </w:r>
      <w:r>
        <w:rPr>
          <w:rFonts w:ascii="Calibri" w:cs="Calibri" w:eastAsia="Calibri" w:hAnsi="Calibri"/>
          <w:sz w:val="20"/>
          <w:szCs w:val="20"/>
        </w:rPr>
        <w:t xml:space="preserve"> C51 has no labour-market test. The package is right not to claim it (Doc 5 §2, Offer 6.3, Exhibit 5-G §3(d)). The officer is satisfied by an ordered, dated, documented process and by an unremunerated structure that displaces no one, not by an assertion about Canadians.</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Keep every number and date identical across files.</w:t>
      </w:r>
      <w:r>
        <w:rPr>
          <w:rFonts w:ascii="Calibri" w:cs="Calibri" w:eastAsia="Calibri" w:hAnsi="Calibri"/>
          <w:sz w:val="20"/>
          <w:szCs w:val="20"/>
        </w:rPr>
        <w:t xml:space="preserve"> Part 4 is the consistency matrix. After any edit, re-check it.</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Strip all drafting traces</w:t>
      </w:r>
      <w:r>
        <w:rPr>
          <w:rFonts w:ascii="Calibri" w:cs="Calibri" w:eastAsia="Calibri" w:hAnsi="Calibri"/>
          <w:sz w:val="20"/>
          <w:szCs w:val="20"/>
        </w:rPr>
        <w:t xml:space="preserve"> before filing (finding S-09). Internal files are never filed.</w:t>
      </w:r>
    </w:p>
    <w:p>
      <w:pPr>
        <w:pStyle w:val="ListParagraph"/>
        <w:numPr>
          <w:ilvl w:val="0"/>
          <w:numId w:val="2"/>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Leave unknown facts as [[INPUT-nn]]</w:t>
      </w:r>
      <w:r>
        <w:rPr>
          <w:rFonts w:ascii="Calibri" w:cs="Calibri" w:eastAsia="Calibri" w:hAnsi="Calibri"/>
          <w:sz w:val="20"/>
          <w:szCs w:val="20"/>
        </w:rPr>
        <w:t xml:space="preserve"> and list them; never guess a date, number, name or amount.</w:t>
      </w:r>
    </w:p>
    <w:p>
      <w:pPr>
        <w:pStyle w:val="Heading1"/>
        <w:spacing w:after="140" w:before="300"/>
      </w:pPr>
      <w:r>
        <w:rPr>
          <w:rFonts w:ascii="Calibri" w:cs="Calibri" w:eastAsia="Calibri" w:hAnsi="Calibri"/>
          <w:b/>
          <w:bCs/>
          <w:color w:val="1F3864"/>
          <w:sz w:val="30"/>
          <w:szCs w:val="30"/>
        </w:rPr>
        <w:t xml:space="preserve">1. Overall verdict</w:t>
      </w:r>
    </w:p>
    <w:p>
      <w:pPr>
        <w:spacing w:after="100"/>
      </w:pPr>
      <w:r>
        <w:rPr>
          <w:rFonts w:ascii="Calibri" w:cs="Calibri" w:eastAsia="Calibri" w:hAnsi="Calibri"/>
          <w:sz w:val="20"/>
          <w:szCs w:val="20"/>
        </w:rPr>
        <w:t xml:space="preserve">The package is much stronger than the earlier rounds. It now has: a short, defined engagement; an honest zero-cash structure; the C51 test placed first; a dated selection sequence with a Search Brief; a leave-defined 2023 narrative; named anchors with documents behind them; a funds ratio with a stress test; and an officer’s guide. What still blocks a confident approval is no longer the big structure. It is (a) a few internal contradictions the officer can find by cross-reading, (b) evidence that is still placeholder or unspecified, (c) four narrative weak points: the budget paradox, the kafalat/family story, the funds-transfer mechanics and the 2023 permit, and (d) leftover drafting traces.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8940"/>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Officer question</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Status now</w:t>
            </w:r>
          </w:p>
        </w:tc>
        <w:tc>
          <w:tcPr>
            <w:tcW w:type="dxa" w:w="89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Why</w:t>
            </w:r>
          </w:p>
        </w:tc>
      </w:tr>
      <w:tr>
        <w:trPr>
          <w:cantSplit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Why would someone travel from Iran for unpaid work?</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Mostly answered</w:t>
            </w:r>
          </w:p>
        </w:tc>
        <w:tc>
          <w:tcPr>
            <w:tcW w:type="dxa" w:w="8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§5 gives five documented reasons. Weakness: the “no instructor budget line” explanation collides with the CAD 2,650 or more CFFB spends on lodging, pass and reimbursement (S-01).</w:t>
            </w:r>
          </w:p>
        </w:tc>
      </w:tr>
      <w:tr>
        <w:trPr>
          <w:cantSplit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Why this person and not a Canadian?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Partly answered</w:t>
            </w:r>
          </w:p>
        </w:tc>
        <w:tc>
          <w:tcPr>
            <w:tcW w:type="dxa" w:w="8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Process is right; the proof is still placeholders (Exhibits 5-A, 5-G, 2-A), the “published writing” trigger has nothing behind it in the résumé (S-03), and the approval-date logic is impossible as written (S-05).</w:t>
            </w:r>
          </w:p>
        </w:tc>
      </w:tr>
      <w:tr>
        <w:trPr>
          <w:cantSplit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Will he return?</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Good, with gaps</w:t>
            </w:r>
          </w:p>
        </w:tc>
        <w:tc>
          <w:tcPr>
            <w:tcW w:type="dxa" w:w="8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Strong: D-1 spring 2028 courses by name, D-2 Asha return, apartment, record of returning. Gaps: kafalat story, mother not mentioned, Malaysia “no obligation” overclaim, WES/PR section reads as immigration planning, the 2023 open permit (R-01 to R-05).</w:t>
            </w:r>
          </w:p>
        </w:tc>
      </w:tr>
      <w:tr>
        <w:trPr>
          <w:cantSplit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Is the work charitable?</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Good argument, one structural risk</w:t>
            </w:r>
          </w:p>
        </w:tc>
        <w:tc>
          <w:tcPr>
            <w:tcW w:type="dxa" w:w="8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CG-030 mapping is thorough. Risk: beneficiaries are owners of private for-profit firms; registered purposes (Exhibit 1-C) still unverified (C-01, C-02).</w:t>
            </w:r>
          </w:p>
        </w:tc>
      </w:tr>
      <w:tr>
        <w:trPr>
          <w:cantSplit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Is the package consistent?</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Not yet</w:t>
            </w:r>
          </w:p>
        </w:tc>
        <w:tc>
          <w:tcPr>
            <w:tcW w:type="dxa" w:w="8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Application numbers differ; Exhibit F-1 has stale preparation dates; telephone bank has stale lines; tense conflict on expressions of interest (Part 4).</w:t>
            </w:r>
          </w:p>
        </w:tc>
      </w:tr>
    </w:tbl>
    <w:p>
      <w:pPr>
        <w:pStyle w:val="Heading1"/>
        <w:spacing w:after="140" w:before="300"/>
      </w:pPr>
      <w:r>
        <w:rPr>
          <w:rFonts w:ascii="Calibri" w:cs="Calibri" w:eastAsia="Calibri" w:hAnsi="Calibri"/>
          <w:b/>
          <w:bCs/>
          <w:color w:val="1F3864"/>
          <w:sz w:val="30"/>
          <w:szCs w:val="30"/>
        </w:rPr>
        <w:t xml:space="preserve">2. The four core scenarios, rebuilt</w:t>
      </w:r>
    </w:p>
    <w:p>
      <w:pPr>
        <w:pStyle w:val="Heading2"/>
        <w:spacing w:after="100" w:before="220"/>
      </w:pPr>
      <w:r>
        <w:rPr>
          <w:rFonts w:ascii="Calibri" w:cs="Calibri" w:eastAsia="Calibri" w:hAnsi="Calibri"/>
          <w:b/>
          <w:bCs/>
          <w:color w:val="2E5597"/>
          <w:sz w:val="24"/>
          <w:szCs w:val="24"/>
        </w:rPr>
        <w:t xml:space="preserve">2.1 Why a person from Iran does this unpaid, and why that is credible</w:t>
      </w:r>
    </w:p>
    <w:p>
      <w:pPr>
        <w:spacing w:after="100"/>
      </w:pPr>
      <w:r>
        <w:rPr>
          <w:rFonts w:ascii="Calibri" w:cs="Calibri" w:eastAsia="Calibri" w:hAnsi="Calibri"/>
          <w:sz w:val="20"/>
          <w:szCs w:val="20"/>
        </w:rPr>
        <w:t xml:space="preserve"/>
      </w:r>
      <w:r>
        <w:rPr>
          <w:rFonts w:ascii="Calibri" w:cs="Calibri" w:eastAsia="Calibri" w:hAnsi="Calibri"/>
          <w:b/>
          <w:bCs/>
          <w:sz w:val="20"/>
          <w:szCs w:val="20"/>
        </w:rPr>
        <w:t xml:space="preserve">What is already good.</w:t>
      </w:r>
      <w:r>
        <w:rPr>
          <w:rFonts w:ascii="Calibri" w:cs="Calibri" w:eastAsia="Calibri" w:hAnsi="Calibri"/>
          <w:sz w:val="20"/>
          <w:szCs w:val="20"/>
        </w:rPr>
        <w:t xml:space="preserve"> Cover §5 lists specialisation match, documented departmental interest at the University of Tehran (D-1: evaluation credit, report session, spring 2028 courses assigned), a defined written output, the CFFB relationship and employer recognition, then states the economics plainly. Keep this structure.</w:t>
      </w:r>
    </w:p>
    <w:p>
      <w:pPr>
        <w:spacing w:after="100"/>
      </w:pPr>
      <w:r>
        <w:rPr>
          <w:rFonts w:ascii="Calibri" w:cs="Calibri" w:eastAsia="Calibri" w:hAnsi="Calibri"/>
          <w:sz w:val="20"/>
          <w:szCs w:val="20"/>
        </w:rPr>
        <w:t xml:space="preserve"/>
      </w:r>
      <w:r>
        <w:rPr>
          <w:rFonts w:ascii="Calibri" w:cs="Calibri" w:eastAsia="Calibri" w:hAnsi="Calibri"/>
          <w:b/>
          <w:bCs/>
          <w:sz w:val="20"/>
          <w:szCs w:val="20"/>
        </w:rPr>
        <w:t xml:space="preserve">What the officer will still ask.</w:t>
      </w:r>
      <w:r>
        <w:rPr>
          <w:rFonts w:ascii="Calibri" w:cs="Calibri" w:eastAsia="Calibri" w:hAnsi="Calibri"/>
          <w:sz w:val="20"/>
          <w:szCs w:val="20"/>
        </w:rPr>
        <w:t xml:space="preserve"> “He spends about CAD 6,710 and five weeks, earns nothing, and the benefits are a reference letter and a licence. Is that rational?” The honest answer is that the benefits accrue only after return (report, case study, evaluation credit, spring teaching). The package says this (§6.8). To make it hold:</w:t>
      </w:r>
    </w:p>
    <w:p>
      <w:pPr>
        <w:pStyle w:val="ListParagraph"/>
        <w:numPr>
          <w:ilvl w:val="0"/>
          <w:numId w:val="3"/>
        </w:numPr>
        <w:spacing w:after="60"/>
      </w:pPr>
      <w:r>
        <w:rPr>
          <w:rFonts w:ascii="Calibri" w:cs="Calibri" w:eastAsia="Calibri" w:hAnsi="Calibri"/>
          <w:sz w:val="20"/>
          <w:szCs w:val="20"/>
        </w:rPr>
        <w:t xml:space="preserve">Put the University of Tehran’s written statement at the centre: letter D-1 must say, on letterhead, what the department credits and the scheduled report date. This single document does more than any paragraph.</w:t>
      </w:r>
    </w:p>
    <w:p>
      <w:pPr>
        <w:pStyle w:val="ListParagraph"/>
        <w:numPr>
          <w:ilvl w:val="0"/>
          <w:numId w:val="3"/>
        </w:numPr>
        <w:spacing w:after="60"/>
      </w:pPr>
      <w:r>
        <w:rPr>
          <w:rFonts w:ascii="Calibri" w:cs="Calibri" w:eastAsia="Calibri" w:hAnsi="Calibri"/>
          <w:sz w:val="20"/>
          <w:szCs w:val="20"/>
        </w:rPr>
        <w:t xml:space="preserve">Attach the one-page outline of the case study or conference paper (INPUT-04) as an exhibit, plus the target venue and its deadline if one exists. A real submission deadline after February 2028 is a strong, verifiable reason to return.</w:t>
      </w:r>
    </w:p>
    <w:p>
      <w:pPr>
        <w:pStyle w:val="ListParagraph"/>
        <w:numPr>
          <w:ilvl w:val="0"/>
          <w:numId w:val="3"/>
        </w:numPr>
        <w:spacing w:after="60"/>
      </w:pPr>
      <w:r>
        <w:rPr>
          <w:rFonts w:ascii="Calibri" w:cs="Calibri" w:eastAsia="Calibri" w:hAnsi="Calibri"/>
          <w:sz w:val="20"/>
          <w:szCs w:val="20"/>
        </w:rPr>
        <w:t xml:space="preserve">Add a sentence in cover §5 that he has already declined or would forgo paid commitments during the window (only if true), which shows the cost is real.</w:t>
      </w:r>
    </w:p>
    <w:p>
      <w:pPr>
        <w:pStyle w:val="ListParagraph"/>
        <w:numPr>
          <w:ilvl w:val="0"/>
          <w:numId w:val="3"/>
        </w:numPr>
        <w:spacing w:after="60"/>
      </w:pPr>
      <w:r>
        <w:rPr>
          <w:rFonts w:ascii="Calibri" w:cs="Calibri" w:eastAsia="Calibri" w:hAnsi="Calibri"/>
          <w:sz w:val="20"/>
          <w:szCs w:val="20"/>
        </w:rPr>
        <w:t xml:space="preserve">Do not describe the engagement as an “opportunity to emigrate”, “exposure to Canada” or similar. Keep the reasons professional and Iran-facing.</w:t>
      </w:r>
    </w:p>
    <w:p>
      <w:pPr>
        <w:pStyle w:val="Heading2"/>
        <w:spacing w:after="100" w:before="220"/>
      </w:pPr>
      <w:r>
        <w:rPr>
          <w:rFonts w:ascii="Calibri" w:cs="Calibri" w:eastAsia="Calibri" w:hAnsi="Calibri"/>
          <w:b/>
          <w:bCs/>
          <w:color w:val="2E5597"/>
          <w:sz w:val="24"/>
          <w:szCs w:val="24"/>
        </w:rPr>
        <w:t xml:space="preserve">2.2 Why this instructor: the storyline the file must tell, in order</w:t>
      </w:r>
    </w:p>
    <w:p>
      <w:pPr>
        <w:spacing w:after="100"/>
      </w:pPr>
      <w:r>
        <w:rPr>
          <w:rFonts w:ascii="Calibri" w:cs="Calibri" w:eastAsia="Calibri" w:hAnsi="Calibri"/>
          <w:sz w:val="20"/>
          <w:szCs w:val="20"/>
        </w:rPr>
        <w:t xml:space="preserve">This is the linear story to build and to document. Each step needs a dated artifact; none may be reordered. Steps marked (real) must genuinely have happened in the scenario.</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4700"/>
        <w:gridCol w:w="494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Step</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What happens</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Dated artifact (exhibit)</w:t>
            </w:r>
          </w:p>
        </w:tc>
        <w:tc>
          <w:tcPr>
            <w:tcW w:type="dxa" w:w="49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What the officer concludes</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Members and advisors ask CFFB for practical digital-marketing and AI-in-marketing training (real).</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3 to 10 dated messages, with business name and role (2-A). Messages should mention what they want (for example AI tools for content), because Workshops 4 and 5 are built on it.</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need came from the community before any instructor existed.</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CFFB approves a pilot and its budget (real).</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Board minute extract or delegated-authority record (2-C) and programme budget (5-D). The resolution should state the pilot is funded for programme costs and records the decision on instructor remuneration and why.</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no-pay structure is a recorded organisational decision, not an arrangement made around one person.</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3</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Executive Director writes the Search Brief (real).</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One-page brief dated before any contact (5-A item 0): four criteria, hours, window, disclosed unpaid constraint, channels.</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Criteria were set before the candidate was known.</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4</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CFFB searches (real): public LinkedIn posting, emails to marketing departments of local colleges and universities, member and advisor network.</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Search log (5-G) with the posting text and saved replies. Attach two or three anonymised decline messages (unpaid, January window, no AI-era teaching experience).</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CFFB made a genuine attempt to find others. The reason others did not proceed is on record in their own words, so no claim about Canadians is needed.</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Trigger: the Executive Director sees the instructor’s published writing on generative AI in marketing education; a faculty referral arrives in the same period (real, delete the referral if none).</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article, post or course listing printed with its date and URL (new Exhibit 5-H); referral email if any (5-A item 1).</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 specific, checkable reason why this person came to CFFB’s attention.</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6</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Executive Director writes first on LinkedIn; thread runs several weeks.</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Complete thread export with dates (5-A item 1).</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Genuine, ordered, unhurried exchange; unpaid basis disclosed in writing early.</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7</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Video interview, 30-minute demonstration, credential and letter review.</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Dated notes (5-A items 2 to 4); credentials current on those dates (see D-08).</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Competence was tested, not assumed.</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8</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Selection memo signed.</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5-A item 5, listing other candidates anonymously.</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Decision followed criteria.</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9</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Instructor designs the course; CFFB reviews and approves the design (second approval, S-05).</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Dated drafts (4-H); second approval record.</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CFFB, not the applicant, controls content.</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10</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Legal opinion on the unpaid structure obtained; Offer signed; Employer Portal submission; Exhibit 1-F letter signed.</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Opinion on file (INPUT-28), Offer number, signed letter.</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Compliant employer.</w:t>
            </w:r>
          </w:p>
        </w:tc>
      </w:tr>
      <w:tr>
        <w:trPr>
          <w:cantSplit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Application filed (planned about September 2027).</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Complete package, funds already transferred (R-10).</w:t>
            </w:r>
          </w:p>
        </w:tc>
        <w:tc>
          <w:tcPr>
            <w:tcW w:type="dxa" w:w="49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Package complete and consistent at filing.</w:t>
            </w:r>
          </w:p>
        </w:tc>
      </w:tr>
    </w:tbl>
    <w:p>
      <w:pPr>
        <w:spacing w:after="100"/>
      </w:pPr>
      <w:r>
        <w:rPr>
          <w:rFonts w:ascii="Calibri" w:cs="Calibri" w:eastAsia="Calibri" w:hAnsi="Calibri"/>
          <w:sz w:val="20"/>
          <w:szCs w:val="20"/>
        </w:rPr>
        <w:t xml:space="preserve"/>
      </w:r>
      <w:r>
        <w:rPr>
          <w:rFonts w:ascii="Calibri" w:cs="Calibri" w:eastAsia="Calibri" w:hAnsi="Calibri"/>
          <w:b/>
          <w:bCs/>
          <w:sz w:val="20"/>
          <w:szCs w:val="20"/>
        </w:rPr>
        <w:t xml:space="preserve">The “why not a Canadian” answer in one paragraph (use in Doc 5 §2 once Step 4 is real):</w:t>
      </w:r>
      <w:r>
        <w:rPr>
          <w:rFonts w:ascii="Calibri" w:cs="Calibri" w:eastAsia="Calibri" w:hAnsi="Calibri"/>
          <w:sz w:val="20"/>
          <w:szCs w:val="20"/>
        </w:rPr>
        <w:t xml:space="preserve"> CFFB approached [number] candidates through [channels]; [number] declined because the engagement is unremunerated, [number] because of the January window, [number] did not reply, and [number] lacked experience teaching AI-era digital marketing to professional learners. The instructor met the four criteria set in the Search Brief. CFFB does not claim that no one else could teach the course.</w:t>
      </w:r>
    </w:p>
    <w:p>
      <w:pPr>
        <w:spacing w:after="100"/>
      </w:pPr>
      <w:r>
        <w:rPr>
          <w:rFonts w:ascii="Calibri" w:cs="Calibri" w:eastAsia="Calibri" w:hAnsi="Calibri"/>
          <w:sz w:val="20"/>
          <w:szCs w:val="20"/>
        </w:rPr>
        <w:t xml:space="preserve"/>
      </w:r>
      <w:r>
        <w:rPr>
          <w:rFonts w:ascii="Calibri" w:cs="Calibri" w:eastAsia="Calibri" w:hAnsi="Calibri"/>
          <w:b/>
          <w:bCs/>
          <w:sz w:val="20"/>
          <w:szCs w:val="20"/>
        </w:rPr>
        <w:t xml:space="preserve">The budget paradox (S-01) must be solved inside this storyline.</w:t>
      </w:r>
      <w:r>
        <w:rPr>
          <w:rFonts w:ascii="Calibri" w:cs="Calibri" w:eastAsia="Calibri" w:hAnsi="Calibri"/>
          <w:sz w:val="20"/>
          <w:szCs w:val="20"/>
        </w:rPr>
        <w:t xml:space="preserve"> Either lodging costs CFFB nothing because a member host donates it (host letter, Exhibit 5-E, 5-D shows CAD 0 to CFFB), or CFFB explains why it funds lodging but not a fee. The first is cleaner and is the recommended fix.</w:t>
      </w:r>
    </w:p>
    <w:p>
      <w:pPr>
        <w:pStyle w:val="Heading2"/>
        <w:spacing w:after="100" w:before="220"/>
      </w:pPr>
      <w:r>
        <w:rPr>
          <w:rFonts w:ascii="Calibri" w:cs="Calibri" w:eastAsia="Calibri" w:hAnsi="Calibri"/>
          <w:b/>
          <w:bCs/>
          <w:color w:val="2E5597"/>
          <w:sz w:val="24"/>
          <w:szCs w:val="24"/>
        </w:rPr>
        <w:t xml:space="preserve">2.3 Why he will return: what the officer must conclude, and how to get there</w:t>
      </w:r>
    </w:p>
    <w:p>
      <w:pPr>
        <w:spacing w:after="100"/>
      </w:pPr>
      <w:r>
        <w:rPr>
          <w:rFonts w:ascii="Calibri" w:cs="Calibri" w:eastAsia="Calibri" w:hAnsi="Calibri"/>
          <w:sz w:val="20"/>
          <w:szCs w:val="20"/>
        </w:rPr>
        <w:t xml:space="preserve">Ranked anchors, strongest first, with the document that carries each. Lead with the top four in cover §6 and Doc 0 §7.</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900"/>
        <w:gridCol w:w="504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Anchor</w:t>
            </w:r>
          </w:p>
        </w:tc>
        <w:tc>
          <w:tcPr>
            <w:tcW w:type="dxa" w:w="4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Evidence</w:t>
            </w:r>
          </w:p>
        </w:tc>
        <w:tc>
          <w:tcPr>
            <w:tcW w:type="dxa" w:w="50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Action</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Authorization itself ends Feb 4, 2028; no income, no other work.</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3.3, 6.5, 8.2.</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Keep. Short and first.</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University of Tehran spring 2028 courses assigned by name; report session scheduled.</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D-1 (INPUT-34).</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Get the letter in the university’s own words with verifiable contact details and a timetable page. This is the best single anchor.</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Asha position held, leave dates, February 6 return, no remote work, salary.</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D-2 (INPUT-05, INPUT-22).</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Fill salary and promotion dates. Add payroll continuity (D-3 to D-5).</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Apartment in District 1 (title deed).</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E-1.</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State who else lives there, if anyone.</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Family in Iran: father, sister, brother.</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G-1, G-2.</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the mother’s status (R-03) and fix the kafalat text (R-02).</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Record of returning: Malaysia 2016; Canada 2023.</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F-1 to F-3, cover §6.3.</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Reword the Malaysia claim (R-01); document 2023 fully (R-05).</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Defined academic output with value only in Iran.</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Outline (INPUT-04).</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Attach outline and target venue.</w:t>
            </w:r>
          </w:p>
        </w:tc>
      </w:tr>
      <w:tr>
        <w:trPr>
          <w:cantSplit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Funds and savings.</w:t>
            </w:r>
          </w:p>
        </w:tc>
        <w:tc>
          <w:tcPr>
            <w:tcW w:type="dxa" w:w="4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E-2, E-3.</w:t>
            </w:r>
          </w:p>
        </w:tc>
        <w:tc>
          <w:tcPr>
            <w:tcW w:type="dxa" w:w="50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 not present Rial holdings as an anchor; the package already says so. Keep.</w:t>
            </w:r>
          </w:p>
        </w:tc>
      </w:tr>
    </w:tbl>
    <w:p>
      <w:pPr>
        <w:spacing w:after="100"/>
      </w:pPr>
      <w:r>
        <w:rPr>
          <w:rFonts w:ascii="Calibri" w:cs="Calibri" w:eastAsia="Calibri" w:hAnsi="Calibri"/>
          <w:sz w:val="20"/>
          <w:szCs w:val="20"/>
        </w:rPr>
        <w:t xml:space="preserve"/>
      </w:r>
      <w:r>
        <w:rPr>
          <w:rFonts w:ascii="Calibri" w:cs="Calibri" w:eastAsia="Calibri" w:hAnsi="Calibri"/>
          <w:b/>
          <w:bCs/>
          <w:sz w:val="20"/>
          <w:szCs w:val="20"/>
        </w:rPr>
        <w:t xml:space="preserve">Residual risk the file cannot remove:</w:t>
      </w:r>
      <w:r>
        <w:rPr>
          <w:rFonts w:ascii="Calibri" w:cs="Calibri" w:eastAsia="Calibri" w:hAnsi="Calibri"/>
          <w:sz w:val="20"/>
          <w:szCs w:val="20"/>
        </w:rPr>
        <w:t xml:space="preserve"> single, early thirties, previous seven-month stay in Canada, Iran nationality. Offset with seniority and continuity documents (Manager title, payslips, tax, insurance), and keep every statement factual and calm.</w:t>
      </w:r>
    </w:p>
    <w:p>
      <w:pPr>
        <w:pStyle w:val="Heading2"/>
        <w:spacing w:after="100" w:before="220"/>
      </w:pPr>
      <w:r>
        <w:rPr>
          <w:rFonts w:ascii="Calibri" w:cs="Calibri" w:eastAsia="Calibri" w:hAnsi="Calibri"/>
          <w:b/>
          <w:bCs/>
          <w:color w:val="2E5597"/>
          <w:sz w:val="24"/>
          <w:szCs w:val="24"/>
        </w:rPr>
        <w:t xml:space="preserve">2.4 Why the position must read as charitable</w:t>
      </w:r>
    </w:p>
    <w:p>
      <w:pPr>
        <w:spacing w:after="100"/>
      </w:pPr>
      <w:r>
        <w:rPr>
          <w:rFonts w:ascii="Calibri" w:cs="Calibri" w:eastAsia="Calibri" w:hAnsi="Calibri"/>
          <w:sz w:val="20"/>
          <w:szCs w:val="20"/>
        </w:rPr>
        <w:t xml:space="preserve">The package makes the right first move: the work itself is the teaching, assessed, supervised, and the instructor does no administration (Offer 3.4, Doc 2 opening, Schedule D). Three things keep this from being fully closed:</w:t>
      </w:r>
    </w:p>
    <w:p>
      <w:pPr>
        <w:pStyle w:val="ListParagraph"/>
        <w:numPr>
          <w:ilvl w:val="0"/>
          <w:numId w:val="3"/>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Public benefit.</w:t>
      </w:r>
      <w:r>
        <w:rPr>
          <w:rFonts w:ascii="Calibri" w:cs="Calibri" w:eastAsia="Calibri" w:hAnsi="Calibri"/>
          <w:sz w:val="20"/>
          <w:szCs w:val="20"/>
        </w:rPr>
        <w:t xml:space="preserve"> Beneficiaries are owners and managers of private commercial firms. CG-030 ¶86 permits vocational training focused on knowledge and skills, but an officer used to humanitarian or religious C51 cases may read “business skills for owners” as commercial. Fix in C-01.</w:t>
      </w:r>
    </w:p>
    <w:p>
      <w:pPr>
        <w:pStyle w:val="ListParagraph"/>
        <w:numPr>
          <w:ilvl w:val="0"/>
          <w:numId w:val="3"/>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Registered purposes.</w:t>
      </w:r>
      <w:r>
        <w:rPr>
          <w:rFonts w:ascii="Calibri" w:cs="Calibri" w:eastAsia="Calibri" w:hAnsi="Calibri"/>
          <w:sz w:val="20"/>
          <w:szCs w:val="20"/>
        </w:rPr>
        <w:t xml:space="preserve"> Exhibit 1-C is still the stop-condition item. If the CRA listing does not include advancement of education (or a purpose that covers it), do not file.</w:t>
      </w:r>
    </w:p>
    <w:p>
      <w:pPr>
        <w:pStyle w:val="ListParagraph"/>
        <w:numPr>
          <w:ilvl w:val="0"/>
          <w:numId w:val="3"/>
        </w:numPr>
        <w:spacing w:after="60"/>
      </w:pPr>
      <w:r>
        <w:rPr>
          <w:rFonts w:ascii="Calibri" w:cs="Calibri" w:eastAsia="Calibri" w:hAnsi="Calibri"/>
          <w:sz w:val="20"/>
          <w:szCs w:val="20"/>
        </w:rPr>
        <w:t xml:space="preserve"/>
      </w:r>
      <w:r>
        <w:rPr>
          <w:rFonts w:ascii="Calibri" w:cs="Calibri" w:eastAsia="Calibri" w:hAnsi="Calibri"/>
          <w:b/>
          <w:bCs/>
          <w:sz w:val="20"/>
          <w:szCs w:val="20"/>
        </w:rPr>
        <w:t xml:space="preserve">Voice.</w:t>
      </w:r>
      <w:r>
        <w:rPr>
          <w:rFonts w:ascii="Calibri" w:cs="Calibri" w:eastAsia="Calibri" w:hAnsi="Calibri"/>
          <w:sz w:val="20"/>
          <w:szCs w:val="20"/>
        </w:rPr>
        <w:t xml:space="preserve"> Documents 1 to 6 and the cover letter share one voice and layout, and Document 3 is said to be written by the instructor. The officer may conclude the applicant wrote the employer’s case. Fix in C-04.</w:t>
      </w:r>
    </w:p>
    <w:p>
      <w:pPr>
        <w:pStyle w:val="Heading1"/>
        <w:spacing w:after="140" w:before="300"/>
      </w:pPr>
      <w:r>
        <w:rPr>
          <w:rFonts w:ascii="Calibri" w:cs="Calibri" w:eastAsia="Calibri" w:hAnsi="Calibri"/>
          <w:b/>
          <w:bCs/>
          <w:color w:val="1F3864"/>
          <w:sz w:val="30"/>
          <w:szCs w:val="30"/>
        </w:rPr>
        <w:t xml:space="preserve">3. Findings register</w:t>
      </w:r>
    </w:p>
    <w:p>
      <w:pPr>
        <w:spacing w:after="100"/>
      </w:pPr>
      <w:r>
        <w:rPr>
          <w:rFonts w:ascii="Calibri" w:cs="Calibri" w:eastAsia="Calibri" w:hAnsi="Calibri"/>
          <w:sz w:val="20"/>
          <w:szCs w:val="20"/>
        </w:rPr>
        <w:t xml:space="preserve">Severity: Critical = can sink the file or create a misrepresentation risk; High = an officer will likely notice and it weakens a core criterion; Medium = fix before filing; Low = polish. “Where” names the file and section as it exists now.</w:t>
      </w:r>
    </w:p>
    <w:p>
      <w:pPr>
        <w:pStyle w:val="Heading2"/>
        <w:spacing w:after="100" w:before="220"/>
      </w:pPr>
      <w:r>
        <w:rPr>
          <w:rFonts w:ascii="Calibri" w:cs="Calibri" w:eastAsia="Calibri" w:hAnsi="Calibri"/>
          <w:b/>
          <w:bCs/>
          <w:color w:val="2E5597"/>
          <w:sz w:val="24"/>
          <w:szCs w:val="24"/>
        </w:rPr>
        <w:t xml:space="preserve">3A. Scenario and logic</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760"/>
        <w:gridCol w:w="1000"/>
        <w:gridCol w:w="2500"/>
        <w:gridCol w:w="4700"/>
        <w:gridCol w:w="4880"/>
      </w:tblGrid>
      <w:tr>
        <w:trPr>
          <w:tblHeader/>
        </w:trPr>
        <w:tc>
          <w:tcPr>
            <w:tcW w:type="dxa" w:w="76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ID</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Severity</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Where</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Problem (officer’s view)</w:t>
            </w:r>
          </w:p>
        </w:tc>
        <w:tc>
          <w:tcPr>
            <w:tcW w:type="dxa" w:w="488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Exact fix</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Critical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§5 closing paragraph; Offer 5.2, 5.3; Doc 5 §2, §6; Exhibit 5-E</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“No instructor line in the budget” is the stated reason for the unpaid structure, yet CFFB funds hosted lodging (about CAD 2,150), a pass (about CAD 200), reimbursement (up to CAD 300) and programme costs. Spending about CAD 2,650 on the instructor looks like a choice not to pay a fee, not a constraint. A local instructor for 20 hours would cost about the same.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Make lodging cost CFFB nothing: a member host donates it; host letter states no payment from CFFB; Exhibit 5-D shows CAD 0 for lodging and lists the donation as in-kind. Rewrite the reason in Offer 5.3 and Doc 5 §6 as: the pilot was approved on [date] as a programme-cost-only community pilot; the decision on instructor fees is recorded in the minute; candidates approached were told of the unpaid basis. If CFFB does pay for lodging, remove “no budget line” and state the true reason the engagement is unpaid. Keep the CAD 300 reimbursement only if 5-D budgets it.</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Critical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5 §2; Offer 6.1, 6.3; cover §5 reason 4; Exhibits 5-A, 5-G</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selection story is right but is still all placeholders. An officer will not credit a search that has no log entries, no decline messages and no dated thread. The “couldn’t find a Canadian” question is unanswered in evidence.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Build Steps 1 to 11 of Section 2.2. Fill Exhibits 2-A, 5-A and 5-G with real, dated records. Add anonymised decline messages. Add the paragraph at the end of 2.2 to Doc 5 §2 and to Offer 6.3. Do not add any sentence claiming no Canadian was available.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Résumé (no publications section; LinkedIn URL is INPUT-14); cover §5 reason 4; Doc 5 §2; Offer 6.1; 5-A item 1</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Every selection document says CFFB found him through his published writing on generative AI in marketing education. The résumé lists no publication, post or talk and has no LinkedIn link. The officer will look for the trigger and find nothing.</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a “Publications, talks and online writing” section to the résumé with title, venue, date and URL of the item CFFB saw (INPUT-25). Fill the LinkedIn URL. File the printed item as new Exhibit 5-H and add it to Doc 6 Part C and cover §11. If no such item exists, remove the trigger sentence everywhere and state the true reason he was approached.</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5 §2 / Offer 6.1 / 5-G row “Academic referrals”</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 referral from a University of Tehran faculty member ties CFFB’s choice to a personal network and, with the department’s later role in D-1, reads as arranged. It also needs verification.</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Keep only if it truly happened. Add the referral email to 5-A item 1. State that the referrer has no role at CFFB and no commercial link. In Exhibit H-4 add: no personal, family, financial or business relationship with CFFB, Mr Bourke, any director, the lodging host or any participant.</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1-F/2-C/4-I letter, paragraph 2; Doc 2 header; Doc 3 header and conclusion; Offer Part IV status; Doc 6 row 2-C</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letter says the pilot was approved on one date and that Document 3, “prepared by the instructor”, was approved “on the date stated above”. The pilot approval must precede the Search Brief, which precedes contact with the instructor, who then wrote Document 3. One date cannot be both. Cross-readers will catch it.</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Introduce two dated approvals. Approval 1: pilot and budget (before Search Brief). Approval 2: course design and Document 3 (after selection, before the Offer is signed). Add INPUT-35 (second date) to the letter, Docs 2 and 3, Offer Part IV and Schedule A, Doc 6 row 2-C, Doc 0 §1. Rewrite the letter sentence: “CFFB approved the pilot on [date 1]. After selecting the instructor, CFFB reviewed and approved Document 3 on [date 2].”</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2 §7; Doc 3 §3 (Registration row); Offer 4.2 vs Doc 5 §2, Exhibit 2-A</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Present tense “expressions of interest are being collected” contradicts the sequence that says they were received before approval.</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Use two statements everywhere: “[n] written expressions of interest were received between [date] and [date] (Exhibit 2-A)” and separately “formal registration opens on [date]”.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S-07</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5-A (note to CFFB); 5-G (intro); 2-A (header); Doc 5 §2 bracket “[include the search only if…]”; Doc 1, 2, 4 INPUT notes</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Preparer instructions are written inside text that will be filed. If left in, they show the record was assembled to a template.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Convert each exhibit from template to final record. Delete every conditional instruction before filing. Keep honest dating only if a step really differs from the order: then the exhibit states the true order openly.</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S-08</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3.6, 3.7; cover header; Doc 3 §5; Exhibit D-2 spec</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Five weeks for 20 hours of teaching. Eight days after the last workshop for 10 to 15 hours of close-out. Arrival “on or after December 31” while the requested period starts January 3 and Asha leave starts about December 29.</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Either shorten the end date (for example February 1) or justify February 4 as return-flight buffer with the return ticket attached. Align arrival with the start date: use arrival January 2 or 3 and state the permit start request consistently. Align Asha leave start with actual travel.</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S-09</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3 §5 (“under the previous schedule two workshops would have fallen…”); Offer 3.6 (“from about nine weeks to about five”); Doc 3 §15 and Doc 6 Conclusion (“New in this revision”); cover §5 (“issued to the specification at Exhibits D-1, D-2, C-3”); all footers “Page 1 of 1”; file names ending “Claude”, “Opus”; README (“GLM 5.5”); Change Log</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documents reveal that the schedule was redesigned and that letters were written to a specification. File names and README show how the package was produced.</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Delete each phrase. State only the current rationale. Replace footers with live page fields. Rename files to neutral names (for example “Doc 3 - Course Syllabus.docx”). Do not file the README, Change Log, Verification Briefing, Telephone Assistant file or any “specification”.</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S-10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3 §5 “Dates”; Offer 3.6</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Says the “substituted holiday falls on Monday, January 3, 2028”. Ontario private-sector employers are not generally required to observe a Monday substitute for a Saturday holiday. An unverifiable statement of law invites doubt.</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Replace with: no workshop falls on December 25, December 26, January 1 or any other statutory holiday. Remove the substitute-holiday claim unless checked against current ESA rules.</w:t>
            </w:r>
          </w:p>
        </w:tc>
      </w:tr>
    </w:tbl>
    <w:p>
      <w:pPr>
        <w:spacing w:after="80"/>
      </w:pPr>
    </w:p>
    <w:p>
      <w:pPr>
        <w:pStyle w:val="Heading2"/>
        <w:spacing w:after="100" w:before="220"/>
      </w:pPr>
      <w:r>
        <w:rPr>
          <w:rFonts w:ascii="Calibri" w:cs="Calibri" w:eastAsia="Calibri" w:hAnsi="Calibri"/>
          <w:b/>
          <w:bCs/>
          <w:color w:val="2E5597"/>
          <w:sz w:val="24"/>
          <w:szCs w:val="24"/>
        </w:rPr>
        <w:t xml:space="preserve">3B. Return and ties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760"/>
        <w:gridCol w:w="1000"/>
        <w:gridCol w:w="2500"/>
        <w:gridCol w:w="4700"/>
        <w:gridCol w:w="4880"/>
      </w:tblGrid>
      <w:tr>
        <w:trPr>
          <w:tblHeader/>
        </w:trPr>
        <w:tc>
          <w:tcPr>
            <w:tcW w:type="dxa" w:w="76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ID</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Severity</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Where</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Problem (officer’s view)</w:t>
            </w:r>
          </w:p>
        </w:tc>
        <w:tc>
          <w:tcPr>
            <w:tcW w:type="dxa" w:w="488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Exact fix</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§6.3</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 have twice left a country in which I held lawful status and returned to Iran when I had no obligation to leave.” For Malaysia this is not accurate: a study permit ends with the programme. Officer discounts the whole paragraph.</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Reword: “After completing my degrees in Malaysia in 2016 I returned to Tehran. In 2023 I left Canada about twelve months before my permit expired.” Remove “no obligation to leave” for Malaysia. Keep the 2023 point.</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Critical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§2, §6.6, §10; Exhibit H-4 §1; Doc 4 §3.4; résumé 2016–2019 block; Exhibit G-1; INPUT-09</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file says the military exemption is on kafalat (caretaker) grounds, then says he is “not the daily caregiver of a dependent”, while the 2016 to 2019 block says he managed family responsibilities arising from his parents’ divorce. Either he supports a family member (then the exemption is real and a strong tie, and the disclaimer is wrong) or he does not (then the officer questions the exemption). A doubtful military exemption on an Iranian male applicant also touches admissibility and misrepresentation.</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Establish the true facts first (INPUT-09): who is the dependent, what the card states, and who cares for that person during his absence. Then write one consistent paragraph used identically in cover §2, §6.6, §10, H-4 and Doc 4: who, the legal basis shown on the card, the arrangement while he is away. Remove the sentence “I am not the daily caregiver” unless the card and facts truly require it, and then explain why the exemption was nonetheless granted. File the card and a translation exactly as issued.</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§6.6; Exhibit G-2; INPUT-33</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Parents are described as divorced, but only father, sister and brother are named. The mother’s whereabouts are missing. If she lives abroad or in Canada, silence looks like concealment; if in Iran, it is an unused tie.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State the mother’s country and relationship in cover §6.6 and G-2 (divorce record if relevant). If any family member is in Canada, disclose it in §6.7.</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§3.1 (WES row), §6.9; Doc 6 A-5; INPUT-15, INPUT-16</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WES report is an immigration-pathway document. §6.9 says he obtained it “so that, if I ever needed to apply to enter Canada again… the Canadian equivalency would already be established”, then adds a long “no PR” statement. That reads as dual-intent planning and draws attention.</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Keep WES only if it was truly needed or already held, and describe it neutrally as verification of education. Shorten §6.9 to two true sentences: why it was obtained (INPUT-16) and that no PR application or Express Entry profile exists or is planned. Do not volunteer more.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§7; Doc 0 §9; Exhibit F-1; INPUT-06, INPUT-07, INPUT-31</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2023: seven months in Canada, an open work permit under the Iran policy, a temporary SIN, private host, savings. “Held it as a contingency” is thin. The officer asks why a person on approved leave with no intent to work applied for a work permit, and what the stated purpose of the 2023 visit was.</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Give the true reason for the 2023 visit and for the permit (INPUT-07). Make the cover letter match what the 2023 application stated. Add proof: bank statements April to November 2023 with no Canadian income (E-3 extension), Asha and Shahid Beheshti leave letters (D-2, C-3), passport stamps, SIN letter. State the type of visa approved on March 9, 2023 (INPUT-06). Keep the account short, dated and complete.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Résumé 2016–2019; cover §3.2; Doc 4 §3.4; Exhibit F-1</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Three and a half years of “family responsibilities and independent study” is vague. Then teaching at Sharif in January 2021, one year after joining Asha as a coordinator, raises a credibility question for a university school of management.</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Support the gap with dated Google and Coursera completion records (4-C) and the divorce or family documents (G-2). Make the Sharif letter (C-2) state course titles, level, audience, contract type and hours. Add a copy of one contract or timetable.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R-07</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§3.2; Doc 4 §3.3; Offer 6.2, Schedule B</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Institution names are non-standard (“Sharif University - School of Management and Economics”). Letters will carry official names; mismatches suggest different entities. Malaysian degrees and Iranian hiring rules are also unaddressed.</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Use the exact official names printed on each letterhead, in English and Persian once. Ask D-1 and C-2 to confirm the appointment is consistent with Iranian degree-recognition rules; if the Ministry of Science recognised the Malaya degrees, attach that recognition.</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R-08</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§8, §8.1; Exhibit E-4; Doc 0 §8; INPUT-10, INPUT-29</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says the transfer happens before departure and that the evidence “is part of this application rather than a promise”. Filing is planned about September 2027; departure is December 2027. A transfer after filing cannot be in the filed package. E-4 also asks for four to six months of statements from an account abroad, which implies funds already held abroad. “Through a lawful channel” is never named.</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Complete the transfer before filing and file the receiving-account statement. Or use funds already held abroad (option A). Name the actual route and institution country in E-4 (INPUT-29) and explain compliance with Iranian currency-export rules and any sanctions screening. If neither is possible, base the application on the true position and rely on the small cost (CAD 6,710). Delete the “not a promise” sentence unless the transfer is done.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R-09</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§8.1 (Avand ETF valued October 19, 2026); Exhibits E-2, E-3; INPUT-10, INPUT-22</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Valuation will be about 11 months stale at filing. Exchange rate and which published Rial rate is used are open. Salary rows empty. Together the CAD 50,000 headline is unproven.</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Refresh E-2 and E-3 within 30 days of filing. State the rate and source in one note. Fill both salary rows from D-1 and D-2. List what D-3 to D-5 show (payslips for the last 12 months, tax records, social-insurance history) and make cover §8 headline the funds that are actually usable: the transferred amount plus salary.</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R-10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F-1 table row “Nov 3 – Dec 3, 2027”; Offer 3.6 and Doc 5 §3 (Dec 3 to 31)</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Stale preparation dates in Exhibit F-1 contradict the Offer and Doc 5.</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Change F-1 to “December 3 to 31, 2027, remote preparation from Tehran”. Regenerate the chart.</w:t>
            </w:r>
          </w:p>
        </w:tc>
      </w:tr>
    </w:tbl>
    <w:p>
      <w:pPr>
        <w:spacing w:after="80"/>
      </w:pPr>
    </w:p>
    <w:p>
      <w:pPr>
        <w:pStyle w:val="Heading2"/>
        <w:spacing w:after="100" w:before="220"/>
      </w:pPr>
      <w:r>
        <w:rPr>
          <w:rFonts w:ascii="Calibri" w:cs="Calibri" w:eastAsia="Calibri" w:hAnsi="Calibri"/>
          <w:b/>
          <w:bCs/>
          <w:color w:val="2E5597"/>
          <w:sz w:val="24"/>
          <w:szCs w:val="24"/>
        </w:rPr>
        <w:t xml:space="preserve">3C. Charitable character and employer</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760"/>
        <w:gridCol w:w="1000"/>
        <w:gridCol w:w="2500"/>
        <w:gridCol w:w="4700"/>
        <w:gridCol w:w="4880"/>
      </w:tblGrid>
      <w:tr>
        <w:trPr>
          <w:tblHeader/>
        </w:trPr>
        <w:tc>
          <w:tcPr>
            <w:tcW w:type="dxa" w:w="76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ID</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Severity</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Where</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Problem (officer’s view)</w:t>
            </w:r>
          </w:p>
        </w:tc>
        <w:tc>
          <w:tcPr>
            <w:tcW w:type="dxa" w:w="488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Exact fix</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C-01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2 §9–§10; Doc 3 §3; Offer 4.2; Schedule D</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Beneficiaries are limited to people connected with family businesses, who run private commercial firms. Officer may see a commercial skills course rather than a charitable one.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Widen and document eligibility: include staff of not-for-profits and social enterprises, advisors, and a small number of student seats (for example 2 to 4 for local college or university students). Add an open public summary of the course materials (for example a published outline) and state CFFB’s other free or subsidised programmes (Exhibit 1-E). Add one paragraph to Doc 2 §9 explaining the wider eligibility.</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C-02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Critical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Docs 1 §2–3, 2 §11, Offer 2.2; Exhibits 1-A, 1-C; INPUT-11</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Registered purposes are unverified. Without education (or a covering purpose) in the CRA record, the charitable argument fails.</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Pull the CRA listing and T3010 now. If education is covered, quote the purpose exactly in Doc 1 §3. If not, stop and escalate.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C-03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1.3, Parts V, VII; Schedule C</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The file argues “work, not volunteering” and “unremunerated” together. The officer may ask why a permit is needed at all. Fee-exemption codes and regulation numbers are cited in several places (E02 / R299(2)(f); EC1 / R303.1(5)).</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one sentence: because the role is scheduled, supervised, deliverable-bound and carries non-monetary benefits, CFFB treats it as work needing authorization. Check every fee-exemption citation and every C51 instruction quotation against the current IRCC pages before filing, then keep one worded version.</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C-04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Docs 1 to 6; cover; Offer</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Same voice, headings (“In short:”) and layout across employer documents and the applicant’s letter. Doc 3 and Doc 4 are acknowledged as written by or about the instructor. The officer may infer the applicant authored CFFB’s case.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Have Mr Bourke review every CFFB document and state this in the signed letter (already adopted in 1-F). Add a CFFB-voice selection memo and approval minutes. Mark Docs 4 and 5 “prepared by CFFB from information supplied by the instructor”. If any consultant helped, complete INPUT-12 truthfully with IMM 5476.</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C-05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Low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4.1; Doc 2 §2</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“Family businesses typically cannot keep specialized marketing staff” is unsupported.</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Cite a source or turn it into CFFB’s own observation from the expressions of interest.</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C-06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5.2, Exhibit 5-E item 2(b), INPUT-27</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Hosted lodging with a member of CFFB’s community creates a possible conflict (host may be a participant) and shows the instructor’s residence is a private home.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File a host letter: name, address, relationship to CFFB, no payment from instructor or CFFB, not a participant, no link to the instructor. Add the address to Exhibit 5-E and the same address in the permit application.</w:t>
            </w:r>
          </w:p>
        </w:tc>
      </w:tr>
    </w:tbl>
    <w:p>
      <w:pPr>
        <w:spacing w:after="80"/>
      </w:pPr>
    </w:p>
    <w:p>
      <w:pPr>
        <w:pStyle w:val="Heading2"/>
        <w:spacing w:after="100" w:before="220"/>
      </w:pPr>
      <w:r>
        <w:rPr>
          <w:rFonts w:ascii="Calibri" w:cs="Calibri" w:eastAsia="Calibri" w:hAnsi="Calibri"/>
          <w:b/>
          <w:bCs/>
          <w:color w:val="2E5597"/>
          <w:sz w:val="24"/>
          <w:szCs w:val="24"/>
        </w:rPr>
        <w:t xml:space="preserve">3D. Evidence gaps and package hygiene</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760"/>
        <w:gridCol w:w="1000"/>
        <w:gridCol w:w="2500"/>
        <w:gridCol w:w="4700"/>
        <w:gridCol w:w="4880"/>
      </w:tblGrid>
      <w:tr>
        <w:trPr>
          <w:tblHeader/>
        </w:trPr>
        <w:tc>
          <w:tcPr>
            <w:tcW w:type="dxa" w:w="76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ID</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Severity</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Where</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Problem (officer’s view)</w:t>
            </w:r>
          </w:p>
        </w:tc>
        <w:tc>
          <w:tcPr>
            <w:tcW w:type="dxa" w:w="488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Exact fix</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High</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6 Part C vs files in project</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Exhibits listed but with no template or specification in the package: 1-A to 1-E, 2-B, 3-A to 3-E, 4-F, 4-H, 5-B, 5-C, 5-D, 5-F, G-1, G-2, D-3 to D-5, E-1 to E-3, F-2, F-3, H-1 to H-3, new 5-H. Exhibit 5-D (budget) is the core proof for “no instructor line”.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Create a short specification for each (what it must show, what dates, who signs). Priority: 5-D, 5-B, 5-C, 2-B, 3-A, 3-C, 4-H, G-2.</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6 cross-walk</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Aliases between the two exhibit series are partial. 4-A = B-1; 4-B = A-5 (degrees); 4-C = A-6; 4-D = C-1, C-2, C-3; 4-E = D-2; 4-G = A-7; 2-C = A-3 = 1-F = 4-I are not all stated.</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Add the missing alias rows to the cross-walk.</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Low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6 Part A</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Criterion row “Intent to leave…” has no number; numbering jumps from 3 to 5.</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Number the rows 1 to 9 consecutively.</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header and §7 (S305400593) vs Exhibit F-1 and telephone K-02 (S306000593)</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Two different previous application numbers.</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Check the IRCC approval letter and use one number everywhere.</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Telephone file Q Q-03 (“nine-week”), Q N-04 (“Why Thursday evenings?”), Q M-06 (“five items”), Part 4.1 rows (“December 6, 2027–February 4, 2028”)</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Stale lines. If the number is ever used, answers contradict the file.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Replace with: five weeks; Tuesday and Thursday evenings; six items (0 to 5); January 3, 2028 to February 4, 2028. Keep the rule that the IRCC number is answered by a person.</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Résumé certifications; Doc 4 §3.2; Search Brief criterion “current Google credentials”</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Google Skillshop certifications generally expire after about a year. The Search Brief says current. A lapsed credential, or one dated after the Brief, contradicts the sequence.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Renew the three Skillshop credentials within 30 days before filing, enter issue and expiry dates in 4-C, and make sure no date falls after the Search Brief unless the Brief is dated later.</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D-07</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Low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4 §3.4 (bold block), Doc 3 bold blocks, Doc 6 “Page 1 of 1”</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Formatting residue.</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Clean formatting; use real page-number fields.</w:t>
            </w:r>
          </w:p>
        </w:tc>
      </w:tr>
      <w:tr>
        <w:trPr>
          <w:cantSplit w:val="false"/>
        </w:trPr>
        <w:tc>
          <w:tcPr>
            <w:tcW w:type="dxa" w:w="7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bCs/>
                <w:sz w:val="18"/>
                <w:szCs w:val="18"/>
              </w:rPr>
              <w:t xml:space="preserve">D-08</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Medium</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7.2; Exhibit 5-B; INPUT-28</w:t>
            </w:r>
          </w:p>
        </w:tc>
        <w:tc>
          <w:tcPr>
            <w:tcW w:type="dxa" w:w="4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Employment-law opinion must exist before signing.</w:t>
            </w:r>
          </w:p>
        </w:tc>
        <w:tc>
          <w:tcPr>
            <w:tcW w:type="dxa" w:w="488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Obtain and file the opinion; date it before the Offer signature.</w:t>
            </w:r>
          </w:p>
        </w:tc>
      </w:tr>
    </w:tbl>
    <w:p>
      <w:pPr>
        <w:pStyle w:val="Heading1"/>
        <w:spacing w:after="140" w:before="300"/>
      </w:pPr>
      <w:r>
        <w:rPr>
          <w:rFonts w:ascii="Calibri" w:cs="Calibri" w:eastAsia="Calibri" w:hAnsi="Calibri"/>
          <w:b/>
          <w:bCs/>
          <w:color w:val="1F3864"/>
          <w:sz w:val="30"/>
          <w:szCs w:val="30"/>
        </w:rPr>
        <w:t xml:space="preserve">4. Consistency matrix: values that must be identical everywhere</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500"/>
        <w:gridCol w:w="5200"/>
        <w:gridCol w:w="5140"/>
      </w:tblGrid>
      <w:tr>
        <w:trPr>
          <w:tblHeader/>
        </w:trPr>
        <w:tc>
          <w:tcPr>
            <w:tcW w:type="dxa" w:w="3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Item</w:t>
            </w:r>
          </w:p>
        </w:tc>
        <w:tc>
          <w:tcPr>
            <w:tcW w:type="dxa" w:w="5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Canonical value</w:t>
            </w:r>
          </w:p>
        </w:tc>
        <w:tc>
          <w:tcPr>
            <w:tcW w:type="dxa" w:w="51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50"/>
            </w:pPr>
            <w:r>
              <w:rPr>
                <w:rFonts w:ascii="Calibri" w:cs="Calibri" w:eastAsia="Calibri" w:hAnsi="Calibri"/>
                <w:b/>
                <w:bCs/>
                <w:sz w:val="18"/>
                <w:szCs w:val="18"/>
              </w:rPr>
              <w:t xml:space="preserve">Check these places</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Permit period</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January 3 to February 4, 2028</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header, Offer cover, 3.6, Schedule A/E, Docs 0 to 5, Exhibits 1-F, 5-E, F-1, D-2 spec</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Workshops</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Tue/Thu 6:00 to 8:30 PM, January 4, 6, 11, 13, 18, 20, 25, 27, 2028</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Docs 2, 3, Offer Part IV, Schedule A, 3-F, 1-F</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Remote preparation</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December 3 to 31, 2027</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 5 §3, Offer 3.6, 3.7, Exhibit F-1 (fix)</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Arrival / start</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Arrival on or after Dec 31 vs permit start Jan 3 (align, S-08)</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§9, Offer 3.6, Doc 0</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Close-out / return</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February 3 / February 4, 2028; Asha return on or about February 6</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Offer, Doc 0, D-2 spec, F-1</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Registration</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Opens November 15, 2027 or permit approval, whichever later; minimum 8 by December 10; postponement trigger December 17</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Docs 2, 3, Offer 3.6, 4.2, 1-F, telephone file</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Two approvals</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Pilot approval date (before Search Brief); design approval date (after selection)</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Exhibit 1-F, Docs 2, 3, Offer Part IV, Doc 6, Doc 0</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Costs and ratio</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Subtotal CAD 5,835; contingency 875; total about 6,710; funds about 50,000; ratio about 7.5</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§1, §8; Doc 0 §8; telephone file; verification briefing</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Hours</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About 60 to 70 total; about 30 to 35 in Canada</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3.7, Doc 0 §2, Doc 5 §3, cover §4</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Previous application number</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Single number from IRCC letter</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header and §7, F-1, telephone K-02</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Kafalat / family text</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One paragraph used verbatim</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Cover §2, §6.6, §10; H-4; Doc 4; G-1 and G-2</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Lodging</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Donated or CFFB-paid (decide, S-01); host address</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Offer 5.2, Schedule E, 5-E, cover §4, 8.2, 5-D</w:t>
            </w:r>
          </w:p>
        </w:tc>
      </w:tr>
      <w:tr>
        <w:trPr>
          <w:cantSplit w:val="false"/>
        </w:trPr>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Selection steps</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Search Brief → search → trigger → thread → interview → demo → review → memo; four criteria; unpaid = constraint</w:t>
            </w:r>
          </w:p>
        </w:tc>
        <w:tc>
          <w:tcPr>
            <w:tcW w:type="dxa" w:w="51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Calibri" w:cs="Calibri" w:eastAsia="Calibri" w:hAnsi="Calibri"/>
                <w:b w:val="false"/>
                <w:bCs w:val="false"/>
                <w:sz w:val="18"/>
                <w:szCs w:val="18"/>
              </w:rPr>
              <w:t xml:space="preserve">Docs 0, 2, 5, Offer 6.1, 6.3, 5-A, 5-G, cover §5</w:t>
            </w:r>
          </w:p>
        </w:tc>
      </w:tr>
    </w:tbl>
    <w:p>
      <w:pPr>
        <w:pStyle w:val="Heading1"/>
        <w:spacing w:after="140" w:before="300"/>
      </w:pPr>
      <w:r>
        <w:rPr>
          <w:rFonts w:ascii="Calibri" w:cs="Calibri" w:eastAsia="Calibri" w:hAnsi="Calibri"/>
          <w:b/>
          <w:bCs/>
          <w:color w:val="1F3864"/>
          <w:sz w:val="30"/>
          <w:szCs w:val="30"/>
        </w:rPr>
        <w:t xml:space="preserve">5. Suggested replacement wording for the key paragraphs</w:t>
      </w:r>
    </w:p>
    <w:p>
      <w:pPr>
        <w:pStyle w:val="Heading2"/>
        <w:spacing w:after="100" w:before="220"/>
      </w:pPr>
      <w:r>
        <w:rPr>
          <w:rFonts w:ascii="Calibri" w:cs="Calibri" w:eastAsia="Calibri" w:hAnsi="Calibri"/>
          <w:b/>
          <w:bCs/>
          <w:color w:val="2E5597"/>
          <w:sz w:val="24"/>
          <w:szCs w:val="24"/>
        </w:rPr>
        <w:t xml:space="preserve">5.1 Exhibit 1-F, paragraph 2 (two approvals)</w:t>
      </w:r>
    </w:p>
    <w:p>
      <w:pPr>
        <w:spacing w:after="100"/>
      </w:pPr>
      <w:r>
        <w:rPr>
          <w:rFonts w:ascii="Calibri" w:cs="Calibri" w:eastAsia="Calibri" w:hAnsi="Calibri"/>
          <w:sz w:val="20"/>
          <w:szCs w:val="20"/>
        </w:rPr>
        <w:t xml:space="preserve">“CFFB’s [approving body] approved the pilot programme and its budget on [date 1] (minute extract attached). After CFFB selected the instructor (Exhibit 5-A, item 5, dated [date]), CFFB reviewed the course design in Document 3 and approved it on [date 2].”</w:t>
      </w:r>
    </w:p>
    <w:p>
      <w:pPr>
        <w:pStyle w:val="Heading2"/>
        <w:spacing w:after="100" w:before="220"/>
      </w:pPr>
      <w:r>
        <w:rPr>
          <w:rFonts w:ascii="Calibri" w:cs="Calibri" w:eastAsia="Calibri" w:hAnsi="Calibri"/>
          <w:b/>
          <w:bCs/>
          <w:color w:val="2E5597"/>
          <w:sz w:val="24"/>
          <w:szCs w:val="24"/>
        </w:rPr>
        <w:t xml:space="preserve">5.2 Offer 5.3 / Doc 5 §6 (reason for the unpaid structure)</w:t>
      </w:r>
    </w:p>
    <w:p>
      <w:pPr>
        <w:spacing w:after="100"/>
      </w:pPr>
      <w:r>
        <w:rPr>
          <w:rFonts w:ascii="Calibri" w:cs="Calibri" w:eastAsia="Calibri" w:hAnsi="Calibri"/>
          <w:sz w:val="20"/>
          <w:szCs w:val="20"/>
        </w:rPr>
        <w:t xml:space="preserve">“On [date 1] CFFB approved the pilot as a programme-cost-only community course. The approval records that no instructor fee is budgeted and that every candidate approached would be told so. The hosted lodging is donated by [host] and costs CFFB nothing (Exhibit 5-E). No participant fee is charged.” (Use only if true; otherwise state the true reason.)</w:t>
      </w:r>
    </w:p>
    <w:p>
      <w:pPr>
        <w:pStyle w:val="Heading2"/>
        <w:spacing w:after="100" w:before="220"/>
      </w:pPr>
      <w:r>
        <w:rPr>
          <w:rFonts w:ascii="Calibri" w:cs="Calibri" w:eastAsia="Calibri" w:hAnsi="Calibri"/>
          <w:b/>
          <w:bCs/>
          <w:color w:val="2E5597"/>
          <w:sz w:val="24"/>
          <w:szCs w:val="24"/>
        </w:rPr>
        <w:t xml:space="preserve">5.3 Cover §6.3 (returns)</w:t>
      </w:r>
    </w:p>
    <w:p>
      <w:pPr>
        <w:spacing w:after="100"/>
      </w:pPr>
      <w:r>
        <w:rPr>
          <w:rFonts w:ascii="Calibri" w:cs="Calibri" w:eastAsia="Calibri" w:hAnsi="Calibri"/>
          <w:sz w:val="20"/>
          <w:szCs w:val="20"/>
        </w:rPr>
        <w:t xml:space="preserve">“After completing my degrees in Malaysia in 2016 I returned to Tehran, where I have lived and worked since. In 2023 I left Canada in November, about twelve months before my open work permit expired, because my approved leave had ended and my positions were waiting.”</w:t>
      </w:r>
    </w:p>
    <w:p>
      <w:pPr>
        <w:pStyle w:val="Heading2"/>
        <w:spacing w:after="100" w:before="220"/>
      </w:pPr>
      <w:r>
        <w:rPr>
          <w:rFonts w:ascii="Calibri" w:cs="Calibri" w:eastAsia="Calibri" w:hAnsi="Calibri"/>
          <w:b/>
          <w:bCs/>
          <w:color w:val="2E5597"/>
          <w:sz w:val="24"/>
          <w:szCs w:val="24"/>
        </w:rPr>
        <w:t xml:space="preserve">5.4 Cover §8 (funds access, after the transfer is done)</w:t>
      </w:r>
    </w:p>
    <w:p>
      <w:pPr>
        <w:spacing w:after="100"/>
      </w:pPr>
      <w:r>
        <w:rPr>
          <w:rFonts w:ascii="Calibri" w:cs="Calibri" w:eastAsia="Calibri" w:hAnsi="Calibri"/>
          <w:sz w:val="20"/>
          <w:szCs w:val="20"/>
        </w:rPr>
        <w:t xml:space="preserve">“On [date], before filing this application, I transferred CAD [amount] from [source] to my account at [institution, country] through [named channel]. The transfer record and the account statement are Exhibit E-4. Those funds alone exceed twice the estimated cost of the stay.”</w:t>
      </w:r>
    </w:p>
    <w:p>
      <w:pPr>
        <w:pStyle w:val="Heading2"/>
        <w:spacing w:after="100" w:before="220"/>
      </w:pPr>
      <w:r>
        <w:rPr>
          <w:rFonts w:ascii="Calibri" w:cs="Calibri" w:eastAsia="Calibri" w:hAnsi="Calibri"/>
          <w:b/>
          <w:bCs/>
          <w:color w:val="2E5597"/>
          <w:sz w:val="24"/>
          <w:szCs w:val="24"/>
        </w:rPr>
        <w:t xml:space="preserve">5.5 Kafalat paragraph (skeleton, one version for all files)</w:t>
      </w:r>
    </w:p>
    <w:p>
      <w:pPr>
        <w:spacing w:after="100"/>
      </w:pPr>
      <w:r>
        <w:rPr>
          <w:rFonts w:ascii="Calibri" w:cs="Calibri" w:eastAsia="Calibri" w:hAnsi="Calibri"/>
          <w:sz w:val="20"/>
          <w:szCs w:val="20"/>
        </w:rPr>
        <w:t xml:space="preserve">“I am exempt from compulsory military service under the caretaker (kafalat) provision. The exemption card (Exhibit G-1, number [x], issued [date]) states [what it states]. The person supported is [relationship], who lives at [city]. During my absence [name] will care for this person. I have not served and I have no association with any military, paramilitary, security or intelligence organization.” (Facts to be supplied under INPUT-09.)</w:t>
      </w:r>
    </w:p>
    <w:p>
      <w:pPr>
        <w:pStyle w:val="Heading1"/>
        <w:spacing w:after="140" w:before="300"/>
      </w:pPr>
      <w:r>
        <w:rPr>
          <w:rFonts w:ascii="Calibri" w:cs="Calibri" w:eastAsia="Calibri" w:hAnsi="Calibri"/>
          <w:b/>
          <w:bCs/>
          <w:color w:val="1F3864"/>
          <w:sz w:val="30"/>
          <w:szCs w:val="30"/>
        </w:rPr>
        <w:t xml:space="preserve">6. Order of work for the agent</w:t>
      </w:r>
    </w:p>
    <w:p>
      <w:pPr>
        <w:pStyle w:val="ListParagraph"/>
        <w:numPr>
          <w:ilvl w:val="0"/>
          <w:numId w:val="2"/>
        </w:numPr>
        <w:spacing w:after="60"/>
      </w:pPr>
      <w:r>
        <w:rPr>
          <w:rFonts w:ascii="Calibri" w:cs="Calibri" w:eastAsia="Calibri" w:hAnsi="Calibri"/>
          <w:sz w:val="20"/>
          <w:szCs w:val="20"/>
        </w:rPr>
        <w:t xml:space="preserve">Resolve the stop and truth items: Exhibit 1-C purposes (C-02), kafalat facts (R-02), mother (R-03), 2023 purpose (R-05), publication trigger (S-03).</w:t>
      </w:r>
    </w:p>
    <w:p>
      <w:pPr>
        <w:pStyle w:val="ListParagraph"/>
        <w:numPr>
          <w:ilvl w:val="0"/>
          <w:numId w:val="2"/>
        </w:numPr>
        <w:spacing w:after="60"/>
      </w:pPr>
      <w:r>
        <w:rPr>
          <w:rFonts w:ascii="Calibri" w:cs="Calibri" w:eastAsia="Calibri" w:hAnsi="Calibri"/>
          <w:sz w:val="20"/>
          <w:szCs w:val="20"/>
        </w:rPr>
        <w:t xml:space="preserve">Fix logic contradictions: two approvals (S-05), expressions-of-interest tense (S-06), budget paradox (S-01), funds timing (R-08).</w:t>
      </w:r>
    </w:p>
    <w:p>
      <w:pPr>
        <w:pStyle w:val="ListParagraph"/>
        <w:numPr>
          <w:ilvl w:val="0"/>
          <w:numId w:val="2"/>
        </w:numPr>
        <w:spacing w:after="60"/>
      </w:pPr>
      <w:r>
        <w:rPr>
          <w:rFonts w:ascii="Calibri" w:cs="Calibri" w:eastAsia="Calibri" w:hAnsi="Calibri"/>
          <w:sz w:val="20"/>
          <w:szCs w:val="20"/>
        </w:rPr>
        <w:t xml:space="preserve">Build the evidence storyline (Section 2.2) and write the missing exhibit specifications (D-01).</w:t>
      </w:r>
    </w:p>
    <w:p>
      <w:pPr>
        <w:pStyle w:val="ListParagraph"/>
        <w:numPr>
          <w:ilvl w:val="0"/>
          <w:numId w:val="2"/>
        </w:numPr>
        <w:spacing w:after="60"/>
      </w:pPr>
      <w:r>
        <w:rPr>
          <w:rFonts w:ascii="Calibri" w:cs="Calibri" w:eastAsia="Calibri" w:hAnsi="Calibri"/>
          <w:sz w:val="20"/>
          <w:szCs w:val="20"/>
        </w:rPr>
        <w:t xml:space="preserve">Rewrite the weak paragraphs (R-01, R-04, S-08, S-10) using Section 5.</w:t>
      </w:r>
    </w:p>
    <w:p>
      <w:pPr>
        <w:pStyle w:val="ListParagraph"/>
        <w:numPr>
          <w:ilvl w:val="0"/>
          <w:numId w:val="2"/>
        </w:numPr>
        <w:spacing w:after="60"/>
      </w:pPr>
      <w:r>
        <w:rPr>
          <w:rFonts w:ascii="Calibri" w:cs="Calibri" w:eastAsia="Calibri" w:hAnsi="Calibri"/>
          <w:sz w:val="20"/>
          <w:szCs w:val="20"/>
        </w:rPr>
        <w:t xml:space="preserve">Widen eligibility (C-01); add host letter (C-06).</w:t>
      </w:r>
    </w:p>
    <w:p>
      <w:pPr>
        <w:pStyle w:val="ListParagraph"/>
        <w:numPr>
          <w:ilvl w:val="0"/>
          <w:numId w:val="2"/>
        </w:numPr>
        <w:spacing w:after="60"/>
      </w:pPr>
      <w:r>
        <w:rPr>
          <w:rFonts w:ascii="Calibri" w:cs="Calibri" w:eastAsia="Calibri" w:hAnsi="Calibri"/>
          <w:sz w:val="20"/>
          <w:szCs w:val="20"/>
        </w:rPr>
        <w:t xml:space="preserve">Remove drafting traces and rename files (S-09, S-07, D-07).</w:t>
      </w:r>
    </w:p>
    <w:p>
      <w:pPr>
        <w:pStyle w:val="ListParagraph"/>
        <w:numPr>
          <w:ilvl w:val="0"/>
          <w:numId w:val="2"/>
        </w:numPr>
        <w:spacing w:after="60"/>
      </w:pPr>
      <w:r>
        <w:rPr>
          <w:rFonts w:ascii="Calibri" w:cs="Calibri" w:eastAsia="Calibri" w:hAnsi="Calibri"/>
          <w:sz w:val="20"/>
          <w:szCs w:val="20"/>
        </w:rPr>
        <w:t xml:space="preserve">Run Part 4 consistency check; fix Exhibit F-1 and telephone file (R-10, D-05); unify application number (D-04).</w:t>
      </w:r>
    </w:p>
    <w:p>
      <w:pPr>
        <w:pStyle w:val="ListParagraph"/>
        <w:numPr>
          <w:ilvl w:val="0"/>
          <w:numId w:val="2"/>
        </w:numPr>
        <w:spacing w:after="60"/>
      </w:pPr>
      <w:r>
        <w:rPr>
          <w:rFonts w:ascii="Calibri" w:cs="Calibri" w:eastAsia="Calibri" w:hAnsi="Calibri"/>
          <w:sz w:val="20"/>
          <w:szCs w:val="20"/>
        </w:rPr>
        <w:t xml:space="preserve">List every remaining [[INPUT-nn]] for the applicant.</w:t>
      </w:r>
    </w:p>
    <w:sectPr>
      <w:footerReference w:type="default" r:id="rId7"/>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Officer-View Review, Round 4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2026-10-24T13:26:54.165Z</dcterms:created>
  <dcterms:modified xsi:type="dcterms:W3CDTF">2026-10-24T13:26:54.184Z</dcterms:modified>
</cp:coreProperties>
</file>

<file path=docProps/custom.xml><?xml version="1.0" encoding="utf-8"?>
<Properties xmlns="http://schemas.openxmlformats.org/officeDocument/2006/custom-properties" xmlns:vt="http://schemas.openxmlformats.org/officeDocument/2006/docPropsVTypes"/>
</file>