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广联达一期工程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2023年10月12日23时16分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2023年11月4日23时56分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本报告由广联达清标产品6.0.9900.78版本生成，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54,488,272.81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62,225,701.18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63,117,112.68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63,824,459.54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详见附表2《清标结果_符合性检查结果_符合性检查结果汇总表》、3《清标结果_符合性检查结果_分部分项工程量清单表》。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2家单位无计算逻辑错误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详见附表4《清标结果_计算性检查结果_计算性检查结果汇总表》、5《清标结果_计算性检查结果_单价为0或负》、6《清标结果_计算性检查结果_合价≠单价*数量》。</w:t>
      </w:r>
    </w:p>
    <w:p>
      <w:pPr>
        <w:rPr>
          <w:rFonts w:ascii="宋体" w:hAnsi="宋体" w:eastAsia="宋体"/>
          <w:b/>
          <w:sz w:val="28"/>
          <w:szCs w:val="28"/>
        </w:rPr>
      </w:pPr>
      <w:bookmarkStart w:id="3" w:name="Hard"/>
      <w:r>
        <w:rPr>
          <w:rFonts w:hint="eastAsia" w:ascii="宋体" w:hAnsi="宋体" w:eastAsia="宋体"/>
          <w:b/>
          <w:sz w:val="28"/>
          <w:szCs w:val="28"/>
        </w:rPr>
        <w:t>三、经清标软件检查，软硬件信息检查结果：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其中投标单位（投标文件A；投标文件C）电子版投标文件出现相同加密锁的信息（ZZ321117759）。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其中投标单位（投标文件A；投标文件B）电子版投标文件出现相同加密锁的信息（E4-0E-EE-83-56-5C）。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5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118"/>
        <w:gridCol w:w="204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MAC物理地址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  <w:bookmarkStart w:id="4" w:name="_GoBack"/>
            <w:bookmarkEnd w:id="4"/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ZZ321120519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8C-16-45-5C-C9-D4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ZZ321122009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B4-2E-99-77-05-17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*招标及控制价文件的锁号不参与判定是否存在相同锁、相同电脑信息。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详见附表11《规律性分析_硬件信息检查结果表》。</w:t>
      </w:r>
    </w:p>
    <w:bookmarkEnd w:id="3"/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1、《清标结果_清标结果汇总_清标结果汇总表》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4、《清标结果_计算性检查结果_计算性检查结果汇总表》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6、《清标结果_计算性检查结果_合价≠单价*数量》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7、《不平衡报价_评审_不平衡报价汇总表》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8、《不平衡报价_评审_投标总价对比表》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9、《不平衡报价_评审_分部分项清单单价分析表》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10、《不平衡报价_比价_分部分项工程量清单对比表》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12、《规律性分析_错误一致性分析表》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CC5"/>
    <w:multiLevelType w:val="multilevel"/>
    <w:tmpl w:val="2E4C4CC5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0NWE5OGFlMmJkYzE4YWNiMDYzYTk2ZjUwZjg3Y2M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566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0</TotalTime>
  <ScaleCrop>false</ScaleCrop>
  <LinksUpToDate>false</LinksUpToDate>
  <CharactersWithSpaces>3203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14212</dc:creator>
  <cp:lastModifiedBy>愿你天天好心情</cp:lastModifiedBy>
  <dcterms:modified xsi:type="dcterms:W3CDTF">2023-11-05T04:37:46Z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D6AF3A79853142169A740BA3B76C671A_12</vt:lpwstr>
  </property>
</Properties>
</file>