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bookmarkStart w:id="0" w:name="_GoBack"/>
            <w:bookmarkEnd w:id="0"/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D47C09">
        <w:rPr>
          <w:rFonts w:ascii="Times New Roman" w:hAnsi="Times New Roman"/>
          <w:sz w:val="26"/>
        </w:rPr>
        <w:t>тест номера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D47C09">
        <w:rPr>
          <w:rFonts w:ascii="Times New Roman" w:hAnsi="Times New Roman" w:cs="Times New Roman"/>
          <w:sz w:val="26"/>
          <w:szCs w:val="26"/>
        </w:rPr>
        <w:t xml:space="preserve">тест даты 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D47C09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 имени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D47C09">
              <w:rPr>
                <w:sz w:val="26"/>
                <w:szCs w:val="26"/>
              </w:rPr>
              <w:t>тест приказа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D47C09">
              <w:rPr>
                <w:sz w:val="26"/>
                <w:szCs w:val="26"/>
              </w:rPr>
              <w:t>тест даты приказа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D47C09">
              <w:rPr>
                <w:sz w:val="26"/>
              </w:rPr>
              <w:t>тест ТНПА</w:t>
            </w:r>
          </w:p>
        </w:tc>
      </w:tr>
      <w:tr w:rsidR="007E6DD3" w:rsidRPr="000A7E81" w:rsidTr="00867462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D47C09">
              <w:rPr>
                <w:sz w:val="26"/>
              </w:rPr>
              <w:t>тест имени</w:t>
            </w:r>
            <w:r w:rsidRPr="000A7E81">
              <w:rPr>
                <w:sz w:val="26"/>
              </w:rPr>
              <w:t>зав №</w:t>
            </w:r>
            <w:r w:rsidR="00D47C09">
              <w:rPr>
                <w:sz w:val="26"/>
                <w:szCs w:val="26"/>
              </w:rPr>
              <w:t>тест номер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D47C09">
              <w:rPr>
                <w:sz w:val="26"/>
                <w:szCs w:val="26"/>
              </w:rPr>
              <w:t>тест номер рег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D47C09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тест ТНПА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D47C09" w:rsidP="00D85110">
            <w:r>
              <w:rPr>
                <w:sz w:val="26"/>
              </w:rPr>
              <w:t>тест даты начала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D47C09">
            <w:r>
              <w:rPr>
                <w:sz w:val="26"/>
              </w:rPr>
              <w:t>тест даты начала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D47C09" w:rsidP="00D85110">
            <w:r>
              <w:rPr>
                <w:sz w:val="26"/>
              </w:rPr>
              <w:t>тест окончания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D47C09">
              <w:rPr>
                <w:sz w:val="26"/>
                <w:szCs w:val="26"/>
              </w:rPr>
              <w:t>тест темп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D47C09">
              <w:rPr>
                <w:sz w:val="26"/>
                <w:szCs w:val="26"/>
              </w:rPr>
              <w:t>тест влажн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D47C09">
              <w:rPr>
                <w:sz w:val="26"/>
                <w:szCs w:val="26"/>
              </w:rPr>
              <w:t>тест давление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D47C09">
        <w:rPr>
          <w:rFonts w:ascii="Times New Roman" w:hAnsi="Times New Roman" w:cs="Times New Roman"/>
          <w:sz w:val="26"/>
          <w:szCs w:val="26"/>
        </w:rPr>
        <w:t>тест имени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D47C09">
        <w:rPr>
          <w:rFonts w:ascii="Times New Roman" w:hAnsi="Times New Roman" w:cs="Times New Roman"/>
          <w:sz w:val="26"/>
          <w:szCs w:val="26"/>
        </w:rPr>
        <w:t>тест номер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D47C09">
              <w:rPr>
                <w:sz w:val="26"/>
              </w:rPr>
              <w:t>тест имени</w:t>
            </w:r>
            <w:r w:rsidR="00D85110" w:rsidRPr="00D85110">
              <w:rPr>
                <w:sz w:val="26"/>
              </w:rPr>
              <w:t>зав №</w:t>
            </w:r>
            <w:r w:rsidR="00D47C09">
              <w:rPr>
                <w:sz w:val="26"/>
              </w:rPr>
              <w:t>тест номер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DCA" w:rsidRDefault="00D30DCA" w:rsidP="00386204">
      <w:r>
        <w:separator/>
      </w:r>
    </w:p>
  </w:endnote>
  <w:endnote w:type="continuationSeparator" w:id="0">
    <w:p w:rsidR="00D30DCA" w:rsidRDefault="00D30DCA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DCA" w:rsidRDefault="00D30DCA" w:rsidP="00386204">
      <w:r>
        <w:separator/>
      </w:r>
    </w:p>
  </w:footnote>
  <w:footnote w:type="continuationSeparator" w:id="0">
    <w:p w:rsidR="00D30DCA" w:rsidRDefault="00D30DCA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37BA"/>
    <w:rsid w:val="003A638B"/>
    <w:rsid w:val="003B7585"/>
    <w:rsid w:val="003C5E19"/>
    <w:rsid w:val="003C7509"/>
    <w:rsid w:val="004001A1"/>
    <w:rsid w:val="00400C64"/>
    <w:rsid w:val="00407488"/>
    <w:rsid w:val="00431185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30DCA"/>
    <w:rsid w:val="00D47C09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</cp:revision>
  <cp:lastPrinted>2025-03-27T06:03:00Z</cp:lastPrinted>
  <dcterms:created xsi:type="dcterms:W3CDTF">2025-08-22T06:29:00Z</dcterms:created>
  <dcterms:modified xsi:type="dcterms:W3CDTF">2025-08-22T06:29:00Z</dcterms:modified>
</cp:coreProperties>
</file>