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60" w:line="276" w:lineRule="auto"/>
        <w:jc w:val="center"/>
      </w:pPr>
      <w:r>
        <w:rPr>
          <w:rFonts w:ascii="Arial" w:cs="Arial" w:eastAsia="Arial" w:hAnsi="Arial"/>
          <w:b/>
          <w:bCs/>
          <w:color w:val="1E3A5F"/>
          <w:sz w:val="64"/>
          <w:szCs w:val="64"/>
        </w:rPr>
        <w:t xml:space="preserve">KorPIX</w:t>
      </w:r>
    </w:p>
    <w:p>
      <w:pPr>
        <w:spacing w:before="0" w:after="80" w:line="276" w:lineRule="auto"/>
        <w:jc w:val="center"/>
      </w:pPr>
      <w:r>
        <w:rPr>
          <w:rFonts w:ascii="Arial" w:cs="Arial" w:eastAsia="Arial" w:hAnsi="Arial"/>
          <w:color w:val="0E7490"/>
          <w:sz w:val="36"/>
          <w:szCs w:val="36"/>
        </w:rPr>
        <w:t xml:space="preserve">파일럿 프로젝트 유스케이스</w:t>
      </w:r>
    </w:p>
    <w:p>
      <w:pPr>
        <w:spacing w:before="0" w:after="120" w:line="276" w:lineRule="auto"/>
        <w:jc w:val="center"/>
      </w:pPr>
      <w:r>
        <w:rPr>
          <w:rFonts w:ascii="Arial" w:cs="Arial" w:eastAsia="Arial" w:hAnsi="Arial"/>
          <w:b/>
          <w:bCs/>
          <w:color w:val="424242"/>
          <w:sz w:val="44"/>
          <w:szCs w:val="44"/>
        </w:rPr>
        <w:t xml:space="preserve">AI 자동 결제 신뢰 실행 파일럿</w:t>
      </w:r>
    </w:p>
    <w:p>
      <w:pPr>
        <w:spacing w:before="0" w:after="60" w:line="276" w:lineRule="auto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Pilot Use Case UC-001</w:t>
      </w:r>
    </w:p>
    <w:p>
      <w:pPr>
        <w:spacing w:before="0" w:after="480" w:line="276" w:lineRule="auto"/>
        <w:jc w:val="center"/>
      </w:pPr>
      <w:r>
        <w:rPr>
          <w:rFonts w:ascii="Arial" w:cs="Arial" w:eastAsia="Arial" w:hAnsi="Arial"/>
          <w:color w:val="AAAAAA"/>
          <w:sz w:val="20"/>
          <w:szCs w:val="20"/>
        </w:rPr>
        <w:t xml:space="preserve">Version 0.1  ·  2025년 초안</w:t>
      </w:r>
    </w:p>
    <w:p>
      <w:r>
        <w:br w:type="page"/>
      </w: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유스케이스 개요</w:t>
      </w:r>
    </w:p>
    <w:p>
      <w:pPr>
        <w:spacing w:before="0" w:after="0" w:line="276" w:lineRule="auto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UC ID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1"/>
                <w:szCs w:val="21"/>
              </w:rPr>
              <w:t xml:space="preserve">UC-001 · AI 자동 결제 신뢰 실행 파일럿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F7FA" w:sz="1"/>
              <w:left w:val="single" w:color="E0F7FA" w:sz="1"/>
              <w:bottom w:val="single" w:color="E0F7FA" w:sz="1"/>
              <w:right w:val="single" w:color="E0F7FA" w:sz="1"/>
            </w:tcBorders>
            <w:shd w:fill="E0F7FA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분류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1"/>
                <w:szCs w:val="21"/>
              </w:rPr>
              <w:t xml:space="preserve">소액 정기결제 자동화 (구독 서비스 / 공과금 납부)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8F4FD" w:sz="1"/>
              <w:left w:val="single" w:color="E8F4FD" w:sz="1"/>
              <w:bottom w:val="single" w:color="E8F4FD" w:sz="1"/>
              <w:right w:val="single" w:color="E8F4FD" w:sz="1"/>
            </w:tcBorders>
            <w:shd w:fill="E8F4FD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목적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1"/>
                <w:szCs w:val="21"/>
              </w:rPr>
              <w:t xml:space="preserve">KorPIX 3대 시스템(Trust Terminal · Policy Engine · Audit Network)의 실제 동작 검증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F5F5F5" w:sz="1"/>
              <w:left w:val="single" w:color="F5F5F5" w:sz="1"/>
              <w:bottom w:val="single" w:color="F5F5F5" w:sz="1"/>
              <w:right w:val="single" w:color="F5F5F5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파일럿 기간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1"/>
                <w:szCs w:val="21"/>
              </w:rPr>
              <w:t xml:space="preserve">4주 (1개월) · 가상 결제 환경 적용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F5F5F5" w:sz="1"/>
              <w:left w:val="single" w:color="F5F5F5" w:sz="1"/>
              <w:bottom w:val="single" w:color="F5F5F5" w:sz="1"/>
              <w:right w:val="single" w:color="F5F5F5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참여 규모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1"/>
                <w:szCs w:val="21"/>
              </w:rPr>
              <w:t xml:space="preserve">일반 사용자 30명 · 소액 결제 건당 최대 5만원</w:t>
            </w:r>
          </w:p>
        </w:tc>
      </w:tr>
    </w:tbl>
    <w:p>
      <w:pPr>
        <w:spacing w:before="0" w:after="0" w:line="276" w:lineRule="auto"/>
      </w:pPr>
      <w:r>
        <w:t xml:space="preserve"/>
      </w:r>
    </w:p>
    <w:p>
      <w:pPr>
        <w:spacing w:before="0" w:after="12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이 유스케이스는 KorPIX 백서에서 제안하는 아키텍처를 '소액 정기결제 자동화'라는 가장 단순하고 검증 가능한 시나리오로 좁혀, 실제 코드와 운영 환경에서 어떻게 동작하는지를 증명하는 첫 번째 파일럿 계획입니다.</w:t>
      </w:r>
    </w:p>
    <w:p>
      <w:pPr>
        <w:spacing w:before="0" w:after="12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AI 에이전트가 사용자를 대신해 구독 서비스 결제를 수행하는 과정에서 Trust Terminal이 행동을 시작하고, Policy Engine이 정책과 위험도를 판단하며, Audit Network가 모든 과정을 불변 기록으로 저장하는 전체 흐름을 검증합니다.</w:t>
      </w:r>
    </w:p>
    <w:p>
      <w:pPr>
        <w:spacing w:before="0" w:after="0" w:line="276" w:lineRule="auto"/>
      </w:pPr>
      <w:r>
        <w:t xml:space="preserve"/>
      </w:r>
    </w:p>
    <w:p>
      <w:pPr>
        <w:pBdr>
          <w:bottom w:val="single" w:color="E0E0E0" w:sz="4"/>
        </w:pBdr>
        <w:spacing w:before="12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문제 정의 및 해결 목표</w:t>
      </w:r>
    </w:p>
    <w:p>
      <w:pPr>
        <w:spacing w:before="0" w:after="0" w:line="276" w:lineRule="auto"/>
      </w:pPr>
      <w:r>
        <w:t xml:space="preserve"/>
      </w:r>
    </w:p>
    <w:p>
      <w:pPr>
        <w:spacing w:before="200" w:after="8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2.1 현재 상황의 문제</w:t>
      </w:r>
    </w:p>
    <w:p>
      <w:pPr>
        <w:spacing w:before="0" w:after="12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현재 AI 에이전트 기반 자동 결제 시스템은 다음 세 가지 구조적 문제를 가지고 있습니다.</w:t>
      </w:r>
    </w:p>
    <w:p>
      <w:pPr>
        <w:spacing w:before="0" w:after="0" w:line="276" w:lineRule="auto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0" w:after="8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행동 통제 부재: AI가 사용자 의도와 다르게 과도한 결제를 실행하거나, 정책 범위를 벗어난 거래를 수행할 수 있는 장치가 없음</w:t>
      </w:r>
    </w:p>
    <w:p>
      <w:pPr>
        <w:pStyle w:val="ListParagraph"/>
        <w:numPr>
          <w:ilvl w:val="0"/>
          <w:numId w:val="2"/>
        </w:numPr>
        <w:spacing w:before="0" w:after="8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책임 추적 불가: AI가 수행한 결제가 어떤 정책과 권한으로 실행되었는지 사후에 확인할 방법이 없음</w:t>
      </w:r>
    </w:p>
    <w:p>
      <w:pPr>
        <w:pStyle w:val="ListParagraph"/>
        <w:numPr>
          <w:ilvl w:val="0"/>
          <w:numId w:val="2"/>
        </w:numPr>
        <w:spacing w:before="0" w:after="8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감사 기록 변조 가능성: 기존 로그 시스템은 관리자가 임의로 수정·삭제할 수 있어 분쟁 발생 시 객관적 증거 확보가 어려움</w:t>
      </w:r>
    </w:p>
    <w:p>
      <w:pPr>
        <w:spacing w:before="0" w:after="0" w:line="276" w:lineRule="auto"/>
      </w:pPr>
      <w:r>
        <w:t xml:space="preserve"/>
      </w:r>
    </w:p>
    <w:p>
      <w:pPr>
        <w:spacing w:before="200" w:after="8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2.2 KorPIX가 제시하는 해결 구조</w:t>
      </w:r>
    </w:p>
    <w:p>
      <w:pPr>
        <w:pStyle w:val="ListParagraph"/>
        <w:numPr>
          <w:ilvl w:val="0"/>
          <w:numId w:val="2"/>
        </w:numPr>
        <w:spacing w:before="0" w:after="8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Trust Terminal: AI 결제 행동이 시작되는 환경을 사용자 인증 + 샌드박스 격리로 보호</w:t>
      </w:r>
    </w:p>
    <w:p>
      <w:pPr>
        <w:pStyle w:val="ListParagraph"/>
        <w:numPr>
          <w:ilvl w:val="0"/>
          <w:numId w:val="2"/>
        </w:numPr>
        <w:spacing w:before="0" w:after="8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Policy Engine: 결제 요청이 실행되기 전, 금액·권한·정책·위험도를 자동 검증하여 승인/차단/에스컬레이션 결정</w:t>
      </w:r>
    </w:p>
    <w:p>
      <w:pPr>
        <w:pStyle w:val="ListParagraph"/>
        <w:numPr>
          <w:ilvl w:val="0"/>
          <w:numId w:val="2"/>
        </w:numPr>
        <w:spacing w:before="0" w:after="8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Audit Network: 모든 결제 행동을 해시 체인 + 디지털 서명으로 보호된 불변 감사 기록으로 저장</w:t>
      </w:r>
    </w:p>
    <w:p>
      <w:pPr>
        <w:spacing w:before="0" w:after="0" w:line="276" w:lineRule="auto"/>
      </w:pPr>
      <w:r>
        <w:t xml:space="preserve"/>
      </w:r>
    </w:p>
    <w:p>
      <w:pPr>
        <w:pBdr>
          <w:bottom w:val="single" w:color="E0E0E0" w:sz="4"/>
        </w:pBdr>
        <w:spacing w:before="12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파일럿 시나리오 상세</w:t>
      </w:r>
    </w:p>
    <w:p>
      <w:pPr>
        <w:spacing w:before="0" w:after="0" w:line="276" w:lineRule="auto"/>
      </w:pPr>
      <w:r>
        <w:t xml:space="preserve"/>
      </w:r>
    </w:p>
    <w:p>
      <w:pPr>
        <w:spacing w:before="0" w:after="12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이 파일럿은 사용자가 AI 에이전트에게 '매달 넷플릭스, 유튜브 프리미엄, 전기요금을 자동으로 결제해줘'라고 위임하는 상황을 가정합니다. 한 달간 총 3회의 정기결제가 발생하며, 각 결제마다 KorPIX 전체 플로우가 동작합니다.</w:t>
      </w:r>
    </w:p>
    <w:p>
      <w:pPr>
        <w:spacing w:before="0" w:after="0" w:line="276" w:lineRule="auto"/>
      </w:pPr>
      <w:r>
        <w:t xml:space="preserve"/>
      </w:r>
    </w:p>
    <w:p>
      <w:pPr>
        <w:spacing w:before="200" w:after="8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3.1 기본 시나리오 — 정상 결제 흐름</w:t>
      </w:r>
    </w:p>
    <w:p>
      <w:pPr>
        <w:spacing w:before="0" w:after="0" w:line="276" w:lineRule="auto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3800"/>
        <w:gridCol w:w="3360"/>
      </w:tblGrid>
      <w:tr>
        <w:tc>
          <w:tcPr>
            <w:tcW w:type="dxa" w:w="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1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행위자</w:t>
            </w:r>
          </w:p>
        </w:tc>
        <w:tc>
          <w:tcPr>
            <w:tcW w:type="dxa" w:w="38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행동 내용</w:t>
            </w:r>
          </w:p>
        </w:tc>
        <w:tc>
          <w:tcPr>
            <w:tcW w:type="dxa" w:w="33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관여 시스템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S01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사용자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AI 에이전트에게 정기결제 위임 설정 (서비스명 · 한도 · 결제일 입력)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Trust Terminal / User Interface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S02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Trust Terminal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사용자 신원 인증 (생체인증 또는 PIN) · 단말 보안 상태 확인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Secure Hardware Module · Auth System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S03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AI Agent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결제일 도래 시 결제 요청(Action Request) 자동 생성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AI Agent Runtime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S04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Policy Engine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결제 금액·한도·패턴·시스템 상태 기반 Risk Score 계산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Risk Evaluator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S05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Policy Engine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Risk Score 30 미만 → 자동 승인(Auto Approve) 결정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Decision Engine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S06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Execution System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외부 결제 API 호출 → 실제 결제 처리 수행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Payment API Gateway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S07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Audit Network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Action Record 생성 → 해시 체인 연결 → Distributed Ledger 저장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Terminal Log → Audit Gateway → Ledger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S08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사용자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결제 완료 알림 수신 · 감사 내역 조회 가능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Audit Query System</w:t>
            </w:r>
          </w:p>
        </w:tc>
      </w:tr>
    </w:tbl>
    <w:p>
      <w:pPr>
        <w:spacing w:before="0" w:after="0" w:line="276" w:lineRule="auto"/>
      </w:pPr>
      <w:r>
        <w:t xml:space="preserve"/>
      </w:r>
    </w:p>
    <w:p>
      <w:pPr>
        <w:spacing w:before="200" w:after="8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3.2 예외 시나리오 — 한도 초과 결제 시도</w:t>
      </w:r>
    </w:p>
    <w:p>
      <w:pPr>
        <w:spacing w:before="0" w:after="12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AI 에이전트가 사용자 설정 한도(월 10만원)를 초과하는 결제(15만원)를 시도할 경우 Policy Engine이 개입합니다.</w:t>
      </w:r>
    </w:p>
    <w:p>
      <w:pPr>
        <w:spacing w:before="0" w:after="0" w:line="276" w:lineRule="auto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3800"/>
        <w:gridCol w:w="3360"/>
      </w:tblGrid>
      <w:tr>
        <w:tc>
          <w:tcPr>
            <w:tcW w:type="dxa" w:w="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1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행위자</w:t>
            </w:r>
          </w:p>
        </w:tc>
        <w:tc>
          <w:tcPr>
            <w:tcW w:type="dxa" w:w="38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행동 내용</w:t>
            </w:r>
          </w:p>
        </w:tc>
        <w:tc>
          <w:tcPr>
            <w:tcW w:type="dxa" w:w="33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관여 시스템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E01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AI Agent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15만원 결제 요청 생성 (설정 한도 10만원 초과)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AI Agent Runtime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E02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Policy Engine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Transaction Value 초과 감지 → Risk Score 상승 (70점)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Risk Evaluator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E03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Policy Engine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Risk Score 60~80 → 사용자 확인 요청 (User Confirm)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Decision Engine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E04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사용자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알림 수신 → 승인 또는 거절 선택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Trust Terminal / UI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E05a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사용자 승인 시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Policy Engine이 일회성 예외 승인 → 결제 실행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Execution System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E05b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사용자 거절 시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결제 차단 · 차단 사유 포함 Audit Record 생성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Audit Network</w:t>
            </w:r>
          </w:p>
        </w:tc>
      </w:tr>
    </w:tbl>
    <w:p>
      <w:pPr>
        <w:spacing w:before="0" w:after="0" w:line="276" w:lineRule="auto"/>
      </w:pPr>
      <w:r>
        <w:t xml:space="preserve"/>
      </w:r>
    </w:p>
    <w:p>
      <w:pPr>
        <w:spacing w:before="200" w:after="8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3.3 예외 시나리오 — 이상 결제 패턴 탐지</w:t>
      </w:r>
    </w:p>
    <w:p>
      <w:pPr>
        <w:spacing w:before="0" w:after="12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짧은 시간 내 동일 서비스에 반복 결제 시도가 발생하는 경우 Policy Engine이 이상 패턴으로 판단하고 자동 차단합니다.</w:t>
      </w:r>
    </w:p>
    <w:p>
      <w:pPr>
        <w:spacing w:before="0" w:after="0" w:line="276" w:lineRule="auto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3800"/>
        <w:gridCol w:w="3360"/>
      </w:tblGrid>
      <w:tr>
        <w:tc>
          <w:tcPr>
            <w:tcW w:type="dxa" w:w="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1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행위자</w:t>
            </w:r>
          </w:p>
        </w:tc>
        <w:tc>
          <w:tcPr>
            <w:tcW w:type="dxa" w:w="38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행동 내용</w:t>
            </w:r>
          </w:p>
        </w:tc>
        <w:tc>
          <w:tcPr>
            <w:tcW w:type="dxa" w:w="33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관여 시스템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A01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AI Agent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동일 서비스에 10분 내 3회 결제 요청 연속 생성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AI Agent Runtime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A02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Policy Engine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행동 패턴 분석 → 비정상 반복 패턴 감지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Behavior Monitor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A03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Policy Engine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Risk Score 85 → Admin Approval 에스컬레이션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Decision Engine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A04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관리자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알림 수신 → 상황 검토 후 허용/차단 결정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Admin Console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A05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Audit Network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이상 탐지 이벤트 포함 전체 Action Record 저장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Audit Network</w:t>
            </w:r>
          </w:p>
        </w:tc>
      </w:tr>
    </w:tbl>
    <w:p>
      <w:pPr>
        <w:spacing w:before="0" w:after="0" w:line="276" w:lineRule="auto"/>
      </w:pPr>
      <w:r>
        <w:t xml:space="preserve"/>
      </w:r>
    </w:p>
    <w:p>
      <w:pPr>
        <w:pBdr>
          <w:bottom w:val="single" w:color="E0E0E0" w:sz="4"/>
        </w:pBdr>
        <w:spacing w:before="12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기술 구현 명세</w:t>
      </w:r>
    </w:p>
    <w:p>
      <w:pPr>
        <w:spacing w:before="0" w:after="0" w:line="276" w:lineRule="auto"/>
      </w:pPr>
      <w:r>
        <w:t xml:space="preserve"/>
      </w:r>
    </w:p>
    <w:p>
      <w:pPr>
        <w:spacing w:before="200" w:after="8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4.1 Action Record 데이터 구조</w:t>
      </w:r>
    </w:p>
    <w:p>
      <w:pPr>
        <w:spacing w:before="0" w:after="12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모든 결제 행동은 아래 표준 구조로 기록됩니다. 이 구조가 KorPIX의 공통어(Common Interface)가 됩니다.</w:t>
      </w:r>
    </w:p>
    <w:p>
      <w:pPr>
        <w:spacing w:before="0" w:after="0" w:line="276" w:lineRule="auto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// Action Record — KorPIX 표준 감사 기록 구조 (TypeScript)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interface ActionRecord {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actionId:        string;           // UUID v4 — 고유 행동 식별자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agentId:         string;           // AI 에이전트 식별자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userId:          string;           // 위임한 사용자 ID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terminalId:      string;           // 실행 단말 ID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actionType:      'PAYMENT';        // 결제 유형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payload: {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service:       string;           // 'netflix' | 'youtube_premium' | ...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amount:        number;           // 결제 금액 (KRW)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currency:      'KRW';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};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policyDecision:  PolicyResult;     // AUTO_APPROVE | USER_CONFIRM | ADMIN_APPROVE | DENY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riskScore:       number;           // 0~100 (낮을수록 안전)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executionResult: 'SUCCESS' | 'BLOCKED' | 'PENDING';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timestamp:       string;           // ISO 8601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prevHash:        string;           // 이전 레코드 해시 (해시 체인)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digitalSignature: string;          // 단말 서명 (SHA-256 + ECDSA)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}</w:t>
            </w:r>
          </w:p>
        </w:tc>
      </w:tr>
    </w:tbl>
    <w:p>
      <w:pPr>
        <w:spacing w:before="0" w:after="0" w:line="276" w:lineRule="auto"/>
      </w:pPr>
      <w:r>
        <w:t xml:space="preserve"/>
      </w:r>
    </w:p>
    <w:p>
      <w:pPr>
        <w:spacing w:before="200" w:after="8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4.2 Policy Engine — Risk Score 계산 로직</w:t>
      </w:r>
    </w:p>
    <w:p>
      <w:pPr>
        <w:spacing w:before="0" w:after="0" w:line="276" w:lineRule="auto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# Policy Engine — Risk Score 계산 (Python 의사 코드)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class RiskEvaluator: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def calculate(self, req: ActionRequest) -&gt; int: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score = 0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1. 행동 유형 기본 점수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score += {'PAYMENT': 20, 'DATA_ACCESS': 30, 'CONTRACT': 50}.get(req.type, 40)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2. 거래 금액 가중치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  req.amount &lt;= 10_000: score += 0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elif req.amount &lt;= 50_000: score += 10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elif req.amount &lt;= 100_000: score += 25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else:                      score += 45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3. 한도 초과 여부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req.amount &gt; user_policy.monthly_limit: score += 30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4. 이상 패턴 (10분 내 3회 이상)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recent_count(req.userId, minutes=10) &gt;= 3: score += 40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5. 결정 분기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score &lt; 30:  return Decision.AUTO_APPROVE    # 자동 승인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score &lt; 60:  return Decision.USER_CONFIRM    # 사용자 확인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score &lt; 80:  return Decision.ADMIN_APPROVE   # 관리자 승인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return          Decision.DENY                   # 자동 차단</w:t>
            </w:r>
          </w:p>
        </w:tc>
      </w:tr>
    </w:tbl>
    <w:p>
      <w:pPr>
        <w:spacing w:before="0" w:after="0" w:line="276" w:lineRule="auto"/>
      </w:pPr>
      <w:r>
        <w:t xml:space="preserve"/>
      </w:r>
    </w:p>
    <w:p>
      <w:pPr>
        <w:spacing w:before="200" w:after="8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4.3 Audit Network — 해시 체인 기록</w:t>
      </w:r>
    </w:p>
    <w:p>
      <w:pPr>
        <w:spacing w:before="0" w:after="0" w:line="276" w:lineRule="auto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# 해시 체인 감사 기록 생성 (Python)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import hashlib, json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from datetime import datetime, timezone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def create_audit_record(action: ActionRecord, prev_hash: str) -&gt; dict: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record = {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'action_id':       action.action_id,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'agent_id':        action.agent_id,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'user_id':         action.user_id,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'terminal_id':     action.terminal_id,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'action_type':     action.action_type,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'amount':          action.payload.amount,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'policy_decision': action.policy_decision,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'risk_score':      action.risk_score,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'result':          action.execution_result,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'timestamp':       datetime.now(timezone.utc).isoformat(),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'prev_hash':       prev_hash,    # 이전 레코드와 체인 연결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}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record_str = json.dumps(record, sort_keys=True, ensure_ascii=False)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record['hash'] = hashlib.sha256(record_str.encode()).hexdigest()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record['signature'] = terminal.sign(record['hash'])   # 단말 서명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return record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# 무결성 검증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def verify_chain(records: list[dict]) -&gt; bool: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for i in range(1, len(records)):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records[i]['prev_hash'] != records[i-1]['hash']: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return False   # 변조 감지</w:t>
            </w:r>
          </w:p>
          <w:p>
            <w:pPr>
              <w:spacing w:before="0" w:after="40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return True</w:t>
            </w:r>
          </w:p>
        </w:tc>
      </w:tr>
    </w:tbl>
    <w:p>
      <w:pPr>
        <w:spacing w:before="0" w:after="0" w:line="276" w:lineRule="auto"/>
      </w:pPr>
      <w:r>
        <w:t xml:space="preserve"/>
      </w:r>
    </w:p>
    <w:p>
      <w:pPr>
        <w:pBdr>
          <w:bottom w:val="single" w:color="E0E0E0" w:sz="4"/>
        </w:pBdr>
        <w:spacing w:before="12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KPI 및 성공 기준</w:t>
      </w:r>
    </w:p>
    <w:p>
      <w:pPr>
        <w:spacing w:before="0" w:after="0" w:line="276" w:lineRule="auto"/>
      </w:pPr>
      <w:r>
        <w:t xml:space="preserve"/>
      </w:r>
    </w:p>
    <w:p>
      <w:pPr>
        <w:spacing w:before="0" w:after="12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파일럿 완료 후 아래 KPI를 기준으로 성공 여부를 판단하며, 미달 항목은 개선 사항으로 정리해 다음 단계 사업계획서에 반영합니다.</w:t>
      </w:r>
    </w:p>
    <w:p>
      <w:pPr>
        <w:spacing w:before="0" w:after="0" w:line="276" w:lineRule="auto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200"/>
        <w:gridCol w:w="2560"/>
      </w:tblGrid>
      <w:tr>
        <w:tc>
          <w:tcPr>
            <w:tcW w:type="dxa" w:w="24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 지표</w:t>
            </w:r>
          </w:p>
        </w:tc>
        <w:tc>
          <w:tcPr>
            <w:tcW w:type="dxa" w:w="22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목표치</w:t>
            </w:r>
          </w:p>
        </w:tc>
        <w:tc>
          <w:tcPr>
            <w:tcW w:type="dxa" w:w="22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측정 방법</w:t>
            </w:r>
          </w:p>
        </w:tc>
        <w:tc>
          <w:tcPr>
            <w:tcW w:type="dxa" w:w="25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결제 성공률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95% 이상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실행 결과 로그</w:t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Policy 승인 후 기준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Policy 판단 정확도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98% 이상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오승인/오차단 비율</w:t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수동 검토 비교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평균 처리 시간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3초 이내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Timestamp 측정</w:t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Terminal → Execution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감사 기록 무결성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100%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해시 체인 검증</w:t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변조 0건 목표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사용자 만족도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4.0 / 5.0 이상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설문 조사</w:t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30명 참가자 기준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이상 결제 탐지율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90% 이상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테스트 케이스 통과</w:t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사전 시나리오 기준</w:t>
            </w:r>
          </w:p>
        </w:tc>
      </w:tr>
    </w:tbl>
    <w:p>
      <w:pPr>
        <w:spacing w:before="0" w:after="0" w:line="276" w:lineRule="auto"/>
      </w:pPr>
      <w:r>
        <w:t xml:space="preserve"/>
      </w:r>
    </w:p>
    <w:p>
      <w:pPr>
        <w:spacing w:before="0" w:after="12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KPI 전체 달성 시: 컨소시엄 구성 단계(Phase 3)로 진행 · 정부 규제 샌드박스 신청 준비에 착수합니다.</w:t>
      </w:r>
    </w:p>
    <w:p>
      <w:pPr>
        <w:spacing w:before="0" w:after="12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KPI 미달 시: 미달 원인 분석 보고서 작성 후 아키텍처 수정 → 2차 파일럿 계획을 수립합니다.</w:t>
      </w:r>
    </w:p>
    <w:p>
      <w:pPr>
        <w:spacing w:before="0" w:after="0" w:line="276" w:lineRule="auto"/>
      </w:pPr>
      <w:r>
        <w:t xml:space="preserve"/>
      </w:r>
    </w:p>
    <w:p>
      <w:pPr>
        <w:pBdr>
          <w:bottom w:val="single" w:color="E0E0E0" w:sz="4"/>
        </w:pBdr>
        <w:spacing w:before="12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리스크 및 대응 방안</w:t>
      </w:r>
    </w:p>
    <w:p>
      <w:pPr>
        <w:spacing w:before="0" w:after="0" w:line="276" w:lineRule="auto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리스크 항목</w:t>
            </w:r>
          </w:p>
        </w:tc>
        <w:tc>
          <w:tcPr>
            <w:tcW w:type="dxa" w:w="18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발생 가능성</w:t>
            </w:r>
          </w:p>
        </w:tc>
        <w:tc>
          <w:tcPr>
            <w:tcW w:type="dxa" w:w="18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영향도</w:t>
            </w:r>
          </w:p>
        </w:tc>
        <w:tc>
          <w:tcPr>
            <w:tcW w:type="dxa" w:w="35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대응 방안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사용자 인증 실패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낮음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높음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다중 인증 재시도 + 거래 차단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결제 한도 초과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중간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높음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Policy Engine 자동 차단 + 알림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이상 결제 패턴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낮음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매우 높음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Admin Approval 에스컬레이션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감사 기록 오류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매우 낮음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높음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해시 체인 자동 복원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외부 API 연동 실패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중간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중간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자동 재시도 + 거래 보류</w:t>
            </w:r>
          </w:p>
        </w:tc>
      </w:tr>
    </w:tbl>
    <w:p>
      <w:pPr>
        <w:spacing w:before="0" w:after="0" w:line="276" w:lineRule="auto"/>
      </w:pPr>
      <w:r>
        <w:t xml:space="preserve"/>
      </w:r>
    </w:p>
    <w:p>
      <w:pPr>
        <w:pBdr>
          <w:bottom w:val="single" w:color="E0E0E0" w:sz="4"/>
        </w:pBdr>
        <w:spacing w:before="12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참여 주체 및 역할</w:t>
      </w:r>
    </w:p>
    <w:p>
      <w:pPr>
        <w:spacing w:before="0" w:after="0" w:line="276" w:lineRule="auto"/>
      </w:pPr>
      <w:r>
        <w:t xml:space="preserve"/>
      </w:r>
    </w:p>
    <w:p>
      <w:pPr>
        <w:spacing w:before="0" w:after="12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파일럿 단계에서는 최소 필수 파트너만 구성합니다. 컨소시엄 전체 구성은 파일럿 결과 검증 이후 Phase 3에서 확대합니다.</w:t>
      </w:r>
    </w:p>
    <w:p>
      <w:pPr>
        <w:spacing w:before="0" w:after="0" w:line="276" w:lineRule="auto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800"/>
        <w:gridCol w:w="2760"/>
      </w:tblGrid>
      <w:tr>
        <w:tc>
          <w:tcPr>
            <w:tcW w:type="dxa" w:w="18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20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참여 주체</w:t>
            </w:r>
          </w:p>
        </w:tc>
        <w:tc>
          <w:tcPr>
            <w:tcW w:type="dxa" w:w="28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담당 기능</w:t>
            </w:r>
          </w:p>
        </w:tc>
        <w:tc>
          <w:tcPr>
            <w:tcW w:type="dxa" w:w="27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협력 형태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아키텍처 설계자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KorPIX 팀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전체 설계 · 표준 정의 · 조율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주관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보안 모듈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보안 기업 (파트너)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PQC 인증 · TPM 연동 · 위협 탐지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기술 협력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결제 연동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핀테크 / 전자결제사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결제 API 제공 · 거래 처리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API 파트너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클라우드 인프라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클라우드 기업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Audit Network 노드 운영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인프라 제공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테스트 참가자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일반 사용자 30명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실제 결제 시나리오 테스트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파일럿 참여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감독 기관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금융위 / KISA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규제 샌드박스 승인 · 감독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제도 지원</w:t>
            </w:r>
          </w:p>
        </w:tc>
      </w:tr>
    </w:tbl>
    <w:p>
      <w:pPr>
        <w:spacing w:before="0" w:after="0" w:line="276" w:lineRule="auto"/>
      </w:pPr>
      <w:r>
        <w:t xml:space="preserve"/>
      </w:r>
    </w:p>
    <w:p>
      <w:pPr>
        <w:pBdr>
          <w:bottom w:val="single" w:color="E0E0E0" w:sz="4"/>
        </w:pBdr>
        <w:spacing w:before="12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파일럿 추진 일정</w:t>
      </w:r>
    </w:p>
    <w:p>
      <w:pPr>
        <w:spacing w:before="0" w:after="0" w:line="276" w:lineRule="auto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3000"/>
        <w:gridCol w:w="2760"/>
      </w:tblGrid>
      <w:tr>
        <w:tc>
          <w:tcPr>
            <w:tcW w:type="dxa" w:w="14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주차</w:t>
            </w:r>
          </w:p>
        </w:tc>
        <w:tc>
          <w:tcPr>
            <w:tcW w:type="dxa" w:w="22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주요 작업</w:t>
            </w:r>
          </w:p>
        </w:tc>
        <w:tc>
          <w:tcPr>
            <w:tcW w:type="dxa" w:w="27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산출물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1주차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환경 구성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개발 환경 세팅, 테스트 참가자 모집, API 연동 준비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테스트 환경 구축 완료 보고서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2주차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기능 구현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Trust Terminal 에뮬레이터, Policy Engine 기본 룰셋 구현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모듈별 단위 테스트 결과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3주차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통합 테스트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전체 플로우 통합, 사용자 시나리오 10종 검증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통합 테스트 결과 보고서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4주차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파일럿 운영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실제 소액 결제 테스트 (가상 환경), KPI 측정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파일럿 운영 결과 + KPI 달성 보고서</w:t>
            </w:r>
          </w:p>
        </w:tc>
      </w:tr>
    </w:tbl>
    <w:p>
      <w:pPr>
        <w:spacing w:before="0" w:after="0" w:line="276" w:lineRule="auto"/>
      </w:pPr>
      <w:r>
        <w:t xml:space="preserve"/>
      </w:r>
    </w:p>
    <w:p>
      <w:pPr>
        <w:pBdr>
          <w:bottom w:val="single" w:color="E0E0E0" w:sz="4"/>
        </w:pBdr>
        <w:spacing w:before="12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9. 파일럿 이후 다음 단계</w:t>
      </w:r>
    </w:p>
    <w:p>
      <w:pPr>
        <w:spacing w:before="0" w:after="0" w:line="276" w:lineRule="auto"/>
      </w:pPr>
      <w:r>
        <w:t xml:space="preserve"/>
      </w:r>
    </w:p>
    <w:p>
      <w:pPr>
        <w:spacing w:before="0" w:after="12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UC-001 파일럿 성공을 기반으로 다음 유스케이스로 확장합니다.</w:t>
      </w:r>
    </w:p>
    <w:p>
      <w:pPr>
        <w:spacing w:before="0" w:after="0" w:line="276" w:lineRule="auto"/>
      </w:pPr>
      <w:r>
        <w:t xml:space="preserve"/>
      </w:r>
    </w:p>
    <w:p>
      <w:pPr>
        <w:pStyle w:val="ListParagraph"/>
        <w:numPr>
          <w:ilvl w:val="0"/>
          <w:numId w:val="3"/>
        </w:numPr>
        <w:spacing w:before="0" w:after="10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UC-002 · AI 투자 자동화 파일럿 — 소액 ETF 자동 매수 (Policy Engine 확장)</w:t>
      </w:r>
    </w:p>
    <w:p>
      <w:pPr>
        <w:pStyle w:val="ListParagraph"/>
        <w:numPr>
          <w:ilvl w:val="0"/>
          <w:numId w:val="3"/>
        </w:numPr>
        <w:spacing w:before="0" w:after="10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UC-003 · AI 기업 구매 승인 자동화 파일럿 — ERP 연동 + 내부 승인 플로우</w:t>
      </w:r>
    </w:p>
    <w:p>
      <w:pPr>
        <w:pStyle w:val="ListParagraph"/>
        <w:numPr>
          <w:ilvl w:val="0"/>
          <w:numId w:val="3"/>
        </w:numPr>
        <w:spacing w:before="0" w:after="10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UC-004 · AI 행정 서비스 자동화 파일럿 — 공과금 납부 + 공공 API 연동</w:t>
      </w:r>
    </w:p>
    <w:p>
      <w:pPr>
        <w:pStyle w:val="ListParagraph"/>
        <w:numPr>
          <w:ilvl w:val="0"/>
          <w:numId w:val="3"/>
        </w:numPr>
        <w:spacing w:before="0" w:after="10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UC-005 · AI Node PC 단말 탑재 파일럿 — 소프트웨어 에뮬레이터 → 하드웨어 Trust Terminal 전환</w:t>
      </w:r>
    </w:p>
    <w:p>
      <w:pPr>
        <w:spacing w:before="0" w:after="0" w:line="276" w:lineRule="auto"/>
      </w:pPr>
      <w:r>
        <w:t xml:space="preserve"/>
      </w:r>
    </w:p>
    <w:p>
      <w:pPr>
        <w:spacing w:before="0" w:after="12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각 유스케이스는 이 문서(UC-001)와 동일한 구조(개요 · 시나리오 · 구현 명세 · KPI · 리스크 · 일정)로 작성하며, 컨소시엄 참여사에게 표준 사업 문서로 배포합니다.</w:t>
      </w:r>
    </w:p>
    <w:p>
      <w:pPr>
        <w:spacing w:before="0" w:after="0" w:line="276" w:lineRule="auto"/>
      </w:pPr>
      <w:r>
        <w:t xml:space="preserve"/>
      </w:r>
    </w:p>
    <w:p>
      <w:pPr>
        <w:pBdr>
          <w:bottom w:val="single" w:color="E0E0E0" w:sz="4"/>
        </w:pBdr>
        <w:spacing w:before="120" w:after="120" w:line="276" w:lineRule="auto"/>
      </w:pPr>
    </w:p>
    <w:p>
      <w:pPr>
        <w:pBdr>
          <w:top w:val="single" w:color="E0E0E0" w:sz="4"/>
        </w:pBdr>
        <w:spacing w:before="360" w:after="0" w:line="276" w:lineRule="auto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이 문서는 KorPIX 아키텍처 백서의 </w:t>
      </w:r>
      <w:r>
        <w:rPr>
          <w:rFonts w:ascii="Arial" w:cs="Arial" w:eastAsia="Arial" w:hAnsi="Arial"/>
          <w:color w:val="0E7490"/>
          <w:sz w:val="18"/>
          <w:szCs w:val="18"/>
        </w:rPr>
        <w:t xml:space="preserve">21. Implementation Roadmap · 4단계 파일럿 프로젝트</w:t>
      </w:r>
      <w:r>
        <w:rPr>
          <w:rFonts w:ascii="Arial" w:cs="Arial" w:eastAsia="Arial" w:hAnsi="Arial"/>
          <w:color w:val="888888"/>
          <w:sz w:val="18"/>
          <w:szCs w:val="18"/>
        </w:rPr>
        <w:t xml:space="preserve">를 구체화한 파일럿 계획서입니다.</w:t>
      </w:r>
    </w:p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8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1E3A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2026-03-14T09:11:55.567Z</dcterms:created>
  <dcterms:modified xsi:type="dcterms:W3CDTF">2026-03-14T09:11:55.568Z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