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80" w:after="60" w:line="276" w:lineRule="auto"/>
        <w:jc w:val="center"/>
      </w:pPr>
      <w:r>
        <w:rPr>
          <w:rFonts w:ascii="Arial" w:cs="Arial" w:eastAsia="Arial" w:hAnsi="Arial"/>
          <w:b/>
          <w:bCs/>
          <w:color w:val="1E3A5F"/>
          <w:sz w:val="64"/>
          <w:szCs w:val="64"/>
        </w:rPr>
        <w:t xml:space="preserve">KorPIX</w:t>
      </w:r>
    </w:p>
    <w:p>
      <w:pPr>
        <w:spacing w:before="0" w:after="80" w:line="276" w:lineRule="auto"/>
        <w:jc w:val="center"/>
      </w:pPr>
      <w:r>
        <w:rPr>
          <w:rFonts w:ascii="Arial" w:cs="Arial" w:eastAsia="Arial" w:hAnsi="Arial"/>
          <w:color w:val="0E7490"/>
          <w:sz w:val="36"/>
          <w:szCs w:val="36"/>
        </w:rPr>
        <w:t xml:space="preserve">파일럿 프로젝트 유스케이스</w:t>
      </w:r>
    </w:p>
    <w:p>
      <w:pPr>
        <w:spacing w:before="0" w:after="120" w:line="276" w:lineRule="auto"/>
        <w:jc w:val="center"/>
      </w:pPr>
      <w:r>
        <w:rPr>
          <w:rFonts w:ascii="Arial" w:cs="Arial" w:eastAsia="Arial" w:hAnsi="Arial"/>
          <w:b/>
          <w:bCs/>
          <w:color w:val="424242"/>
          <w:sz w:val="44"/>
          <w:szCs w:val="44"/>
        </w:rPr>
        <w:t xml:space="preserve">AI 투자 자동화 신뢰 실행 파일럿</w:t>
      </w:r>
    </w:p>
    <w:p>
      <w:pPr>
        <w:spacing w:before="0" w:after="60" w:line="276" w:lineRule="auto"/>
        <w:jc w:val="center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Pilot Use Case UC-002</w:t>
      </w:r>
    </w:p>
    <w:p>
      <w:pPr>
        <w:spacing w:before="0" w:after="480" w:line="276" w:lineRule="auto"/>
        <w:jc w:val="center"/>
      </w:pPr>
      <w:r>
        <w:rPr>
          <w:rFonts w:ascii="Arial" w:cs="Arial" w:eastAsia="Arial" w:hAnsi="Arial"/>
          <w:color w:val="AAAAAA"/>
          <w:sz w:val="20"/>
          <w:szCs w:val="20"/>
        </w:rPr>
        <w:t xml:space="preserve">Version 0.1  ·  2025년 초안  ·  UC-001 파일럿 성공 기반</w:t>
      </w:r>
    </w:p>
    <w:p>
      <w:r>
        <w:br w:type="page"/>
      </w: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1. 유스케이스 개요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F7FA" w:sz="1"/>
              <w:left w:val="single" w:color="E0F7FA" w:sz="1"/>
              <w:bottom w:val="single" w:color="E0F7FA" w:sz="1"/>
              <w:right w:val="single" w:color="E0F7FA" w:sz="1"/>
            </w:tcBorders>
            <w:shd w:fill="E0F7FA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UC ID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UC-002 · AI 투자 자동화 신뢰 실행 파일럿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F7FA" w:sz="1"/>
              <w:left w:val="single" w:color="E0F7FA" w:sz="1"/>
              <w:bottom w:val="single" w:color="E0F7FA" w:sz="1"/>
              <w:right w:val="single" w:color="E0F7FA" w:sz="1"/>
            </w:tcBorders>
            <w:shd w:fill="E0F7FA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전제 조건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UC-001 AI 자동 결제 파일럿 KPI 달성 완료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F7FA" w:sz="1"/>
              <w:left w:val="single" w:color="E0F7FA" w:sz="1"/>
              <w:bottom w:val="single" w:color="E0F7FA" w:sz="1"/>
              <w:right w:val="single" w:color="E0F7FA" w:sz="1"/>
            </w:tcBorders>
            <w:shd w:fill="E0F7FA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분류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소액 ETF 자동 매수 / AI 기반 투자 전략 실행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F7FA" w:sz="1"/>
              <w:left w:val="single" w:color="E0F7FA" w:sz="1"/>
              <w:bottom w:val="single" w:color="E0F7FA" w:sz="1"/>
              <w:right w:val="single" w:color="E0F7FA" w:sz="1"/>
            </w:tcBorders>
            <w:shd w:fill="E0F7FA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목적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투자 행동에 특화된 고위험 Policy Engine 확장 검증 + 금융 감사 기록 무결성 입증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F7FA" w:sz="1"/>
              <w:left w:val="single" w:color="E0F7FA" w:sz="1"/>
              <w:bottom w:val="single" w:color="E0F7FA" w:sz="1"/>
              <w:right w:val="single" w:color="E0F7FA" w:sz="1"/>
            </w:tcBorders>
            <w:shd w:fill="E0F7FA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파일럿 기간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6주 (1.5개월) · 가상 투자 환경(Sandbox) 적용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F7FA" w:sz="1"/>
              <w:left w:val="single" w:color="E0F7FA" w:sz="1"/>
              <w:bottom w:val="single" w:color="E0F7FA" w:sz="1"/>
              <w:right w:val="single" w:color="E0F7FA" w:sz="1"/>
            </w:tcBorders>
            <w:shd w:fill="E0F7FA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참여 규모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일반 사용자 20명 · 1인당 월 투자 한도 50만원 이내</w:t>
            </w:r>
          </w:p>
        </w:tc>
      </w:tr>
    </w:tbl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c>
          <w:tcPr>
            <w:tcW w:type="dxa" w:w="2000"/>
            <w:tcBorders>
              <w:top w:val="single" w:color="E0F7FA" w:sz="1"/>
              <w:left w:val="single" w:color="E0F7FA" w:sz="1"/>
              <w:bottom w:val="single" w:color="E0F7FA" w:sz="1"/>
              <w:right w:val="single" w:color="E0F7FA" w:sz="1"/>
            </w:tcBorders>
            <w:shd w:fill="E0F7FA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0E7490"/>
                <w:sz w:val="20"/>
                <w:szCs w:val="20"/>
              </w:rPr>
              <w:t xml:space="preserve">관련 규제</w:t>
            </w:r>
          </w:p>
        </w:tc>
        <w:tc>
          <w:tcPr>
            <w:tcW w:type="dxa" w:w="7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00"/>
            </w:tcMar>
            <w:vAlign w:val="center"/>
          </w:tcPr>
          <w:p>
            <w:r>
              <w:rPr>
                <w:rFonts w:ascii="Arial" w:cs="Arial" w:eastAsia="Arial" w:hAnsi="Arial"/>
                <w:color w:val="424242"/>
                <w:sz w:val="21"/>
                <w:szCs w:val="21"/>
              </w:rPr>
              <w:t xml:space="preserve">자본시장법 · 금융위 규제 샌드박스 적용 필수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UC-002는 UC-001(소액 결제)보다 위험도와 규제 복잡성이 높은 투자 영역으로 KorPIX를 확장하는 두 번째 파일럿입니다.</w:t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AI 에이전트가 사용자의 투자 목표와 위험 선호도를 분석하여 ETF를 자동 매수하는 과정에서, Policy Engine이 투자 특화 리스크(시장 변동성 · 집중투자 · 손실 한도)를 어떻게 제어하는지, 그리고 금융 거래 감사 기록이 규제 요건을 만족하는지를 검증합니다.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45309" w:sz="6"/>
              <w:left w:val="single" w:color="B45309" w:sz="16"/>
              <w:bottom w:val="single" w:color="B45309" w:sz="6"/>
              <w:right w:val="single" w:color="B45309" w:sz="6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color w:val="92400E"/>
                <w:sz w:val="21"/>
                <w:szCs w:val="21"/>
              </w:rPr>
              <w:t xml:space="preserve">⚠  규제 중요 사항 — 이 파일럿은 실제 금융 거래가 아닌 가상 투자 Sandbox 환경에서 수행됩니다. 실제 서비스 전환 전 금융위 규제 샌드박스 승인 및 투자자 보호 검토가 필수입니다.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2. 문제 정의 및 해결 목표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2.1 투자 자동화 영역의 구조적 문제</w:t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AI 기반 자동 투자 시스템은 결제 자동화보다 훨씬 복잡한 리스크 구조를 가집니다. 현재 존재하는 핵심 문제는 다음과 같습니다.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투자 의사결정 불투명성 — AI가 왜 특정 ETF를 매수했는지, 어떤 데이터와 전략 기반으로 판단했는지 사후 확인 불가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손실 통제 부재 — 시장 급락 시 AI가 자동으로 추가 매수(물타기)하거나 손실 한도를 초과하는 행동을 막을 장치 없음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집중투자 위험 — AI가 특정 종목·섹터에 과도하게 집중 투자하여 분산투자 원칙을 위반할 가능성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규제 감사 불가 — 자본시장법상 투자 권유·실행 기록을 5년 이상 보존해야 하지만 기존 로그는 변조 가능성 존재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투자자 의사 확인 누락 — 고위험 투자 행동 실행 전 사용자 의사를 확인하는 강제 절차 부재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2.2 KorPIX UC-002가 제시하는 해결 구조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Policy Engine 투자 특화 확장 — 시장 변동성 지수(VIX), 손실 한도, 집중도 지수를 Risk Score에 반영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투자 전략 감사 기록 — AI가 매수 판단에 사용한 데이터와 전략 근거를 Action Record에 포함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단계적 사용자 확인 — 고위험 투자 행동 전 반드시 사용자 명시적 동의 획득</w:t>
      </w:r>
    </w:p>
    <w:p>
      <w:pPr>
        <w:pStyle w:val="ListParagraph"/>
        <w:numPr>
          <w:ilvl w:val="0"/>
          <w:numId w:val="2"/>
        </w:numPr>
        <w:spacing w:before="0" w:after="8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불변 투자 이력 — 해시 체인 기반 투자 기록으로 규제 감사 대응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3. 파일럿 시나리오 상세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사용자가 AI 에이전트에게 '월 30만원 한도로 내 투자 성향에 맞는 ETF를 자동으로 매수해줘. 손실이 10%를 넘으면 멈춰'라고 위임하는 상황을 가정합니다.</w:t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파일럿은 총 4가지 시나리오로 구성됩니다. 정상 자동 매수, 손실 한도 초과 감지, 집중투자 위험 차단, 시장 급락 긴급 차단입니다.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3.1 기본 시나리오 — 정상 자동 ETF 매수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900"/>
        <w:gridCol w:w="3200"/>
      </w:tblGrid>
      <w:tr>
        <w:tc>
          <w:tcPr>
            <w:tcW w:type="dxa" w:w="5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7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행위자</w:t>
            </w:r>
          </w:p>
        </w:tc>
        <w:tc>
          <w:tcPr>
            <w:tcW w:type="dxa" w:w="39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행동 내용</w:t>
            </w:r>
          </w:p>
        </w:tc>
        <w:tc>
          <w:tcPr>
            <w:tcW w:type="dxa" w:w="3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관여 시스템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S01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에이전트에게 투자 위임 설정 (월 한도 · 위험 성향 · 손실 한도 · 선호 자산군 입력)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Trust Terminal / User Interface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S02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Trust Terminal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 신원 인증 · 단말 보안 상태 확인 · 투자 위임 서명 생성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Secure Hardware Module · Auth System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S03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Agent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시장 데이터 분석 (VIX · 섹터 흐름 · 포트폴리오 현황) → 매수 대상 ETF 선정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Investment Strategy Engine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S04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Agent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Action Request 생성 (ETF 종목 · 수량 · 예상 금액 · 전략 근거 포함)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Agent Runtime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S05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투자 특화 Risk Score 계산 (금액 · 집중도 · VIX · 손실 현황 · 사용자 정책 종합)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Investment Risk Evaluator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S06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Risk Score 35 이하 → Auto Approve 결정 · 전략 근거 검증 통과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Decision Engine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S07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Execution System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증권 API 호출 → ETF 매수 주문 실행 → 체결 결과 수신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Securities API Gateway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S08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투자 Action Record 생성 (전략 근거 포함) → 해시 체인 연결 → 분산 원장 저장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Terminal Log → Audit Gateway → Ledger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S09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매수 완료 알림 수신 · 포트폴리오 현황 및 투자 근거 조회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Query System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3.2 예외 시나리오 — 손실 한도 초과 감지 및 자동 중단</w:t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포트폴리오 손실이 사용자 설정 한도(10%)에 도달하면 Policy Engine이 추가 매수를 차단하고 사용자에게 에스컬레이션합니다.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900"/>
        <w:gridCol w:w="3200"/>
      </w:tblGrid>
      <w:tr>
        <w:tc>
          <w:tcPr>
            <w:tcW w:type="dxa" w:w="5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7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행위자</w:t>
            </w:r>
          </w:p>
        </w:tc>
        <w:tc>
          <w:tcPr>
            <w:tcW w:type="dxa" w:w="39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행동 내용</w:t>
            </w:r>
          </w:p>
        </w:tc>
        <w:tc>
          <w:tcPr>
            <w:tcW w:type="dxa" w:w="3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관여 시스템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L01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Agent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시장 하락 감지 → 저가 매수 기회로 판단 → 추가 ETF 매수 Action Request 생성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Investment Strategy Engine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L02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현재 포트폴리오 손실률 계산 (-10.3%) → 사용자 설정 손실 한도(-10%) 초과 감지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Loss Limit Monitor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L03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Risk Score 급상승 (82) → Admin Approval 에스컬레이션 결정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Decision Engine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L04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추가 매수 전체 중단 · 기존 포지션 유지 · 사용자 긴급 알림 발송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Action Blocker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L05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상황 확인 → 한도 재설정 또는 매도 지시 또는 위임 일시 중단 선택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Trust Terminal / UI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L06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손실 한도 초과 이벤트 · 차단 결정 · 사용자 응답 전체를 Action Record로 저장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3.3 예외 시나리오 — 집중투자 위험 차단</w:t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AI가 동일 섹터(예: 반도체)에 포트폴리오의 40% 이상을 집중 투자하려는 경우 분산투자 정책 위반으로 차단합니다.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900"/>
        <w:gridCol w:w="3200"/>
      </w:tblGrid>
      <w:tr>
        <w:tc>
          <w:tcPr>
            <w:tcW w:type="dxa" w:w="5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7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행위자</w:t>
            </w:r>
          </w:p>
        </w:tc>
        <w:tc>
          <w:tcPr>
            <w:tcW w:type="dxa" w:w="39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행동 내용</w:t>
            </w:r>
          </w:p>
        </w:tc>
        <w:tc>
          <w:tcPr>
            <w:tcW w:type="dxa" w:w="3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관여 시스템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C01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AI Agent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반도체 ETF 3종 연속 매수 계획 수립 → 섹터 비중 42% 예상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Investment Strategy Engine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C02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포트폴리오 집중도 지수 계산 → 단일 섹터 35% 상한 정책 위반 감지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Concentration Risk Monitor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C03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Risk Score 65 → User Confirm 요청 (집중투자 위험 상세 안내 포함)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Decision Engine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C04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경고 확인 → 집중투자 강행 또는 다른 섹터 분산 매수 지시 선택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Trust Terminal / UI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C05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 명시적 동의 시 일회성 예외 승인 · 예외 사유 기록 생성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Exception Handler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C06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집중도 위반 경고 · 사용자 동의 내역 포함 Action Record 저장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3.4 예외 시나리오 — 시장 급락 긴급 자동 차단 (Circuit Breaker)</w:t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시장 급락(코스피 일간 -5% 이상)이 감지되면 Policy Engine이 모든 자동 매수 행동을 즉시 중단하는 서킷 브레이커를 발동합니다.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1700"/>
        <w:gridCol w:w="3900"/>
        <w:gridCol w:w="3200"/>
      </w:tblGrid>
      <w:tr>
        <w:tc>
          <w:tcPr>
            <w:tcW w:type="dxa" w:w="5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단계</w:t>
            </w:r>
          </w:p>
        </w:tc>
        <w:tc>
          <w:tcPr>
            <w:tcW w:type="dxa" w:w="17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행위자</w:t>
            </w:r>
          </w:p>
        </w:tc>
        <w:tc>
          <w:tcPr>
            <w:tcW w:type="dxa" w:w="39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행동 내용</w:t>
            </w:r>
          </w:p>
        </w:tc>
        <w:tc>
          <w:tcPr>
            <w:tcW w:type="dxa" w:w="3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관여 시스템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CB01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시장 데이터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코스피 일간 -5.2% 하락 감지 · VIX 30 이상 진입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Market Data Feed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CB02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시장 급락 임계값 초과 → 서킷 브레이커 발동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Market Volatility Monitor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CB03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Engine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전체 AI 에이전트 투자 행동 일괄 HOLD 상태 전환 (진행 중 주문 취소)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Global Action Blocker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CB04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서킷 브레이커 발동 알림 수신 · 포트폴리오 현황 확인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Trust Terminal / UI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CB05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시장 안정 확인 후 수동으로 AI 에이전트 재활성화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Trust Terminal / UI</w:t>
            </w:r>
          </w:p>
        </w:tc>
      </w:tr>
      <w:tr>
        <w:tc>
          <w:tcPr>
            <w:tcW w:type="dxa" w:w="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CB06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</w:t>
            </w:r>
          </w:p>
        </w:tc>
        <w:tc>
          <w:tcPr>
            <w:tcW w:type="dxa" w:w="3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서킷 브레이커 이벤트 · 영향받은 전체 주문 목록 · 재활성화 시점 기록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4. 기술 구현 명세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4.1 투자 특화 Action Record 데이터 구조</w:t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UC-001 ActionRecord를 상속하고 투자 전용 필드를 추가합니다. 규제 감사에 필요한 투자 판단 근거(strategyBasis)가 핵심 추가 필드입니다.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// InvestmentActionRecord — UC-001 ActionRecord 확장 (TypeScript)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interface InvestmentActionRecord extends ActionRecord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actionType: 'INVESTMENT';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payload: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ticker:       string;       // 'KODEX200' | 'TIGER_반도체' | ...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quantity:     number;       // 매수 수량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unitPrice:    number;       // 주문 단가 (KRW)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totalAmount:  number;       // 총 주문 금액 (KRW)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orderType:    'MARKET' | 'LIMIT';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};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// 투자 특화 필드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strategyBasis: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vixAtExecution:    number;  // 실행 시점 VIX 지수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portfolioLossRate: number;  // 현재 포트폴리오 손실률 (%)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sectorConcentration: number; // 해당 섹터 비중 (%)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strategyName:      string;  // 사용한 투자 전략명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dataSourceHash:    string;  // 판단 근거 데이터 해시 (변조 방지)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};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regulatoryFields: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investorRiskGrade:  1 | 2 | 3 | 4 | 5;  // 투자자 위험 등급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suitabilityCheck:   boolean;             // 적합성 원칙 통과 여부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retentionPeriodYr:  5;                   // 자본시장법 5년 보존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};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}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4.2 투자 특화 Policy Engine — Risk Score 확장</w:t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UC-001의 기본 Risk Score에 투자 전용 5개 요소를 추가합니다. 특히 VIX 지수와 손실 한도는 투자 영역에서 가장 중요한 제어 변수입니다.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# Investment Risk Evaluator — UC-001 RiskEvaluator 확장 (Python)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class InvestmentRiskEvaluator(RiskEvaluator):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def calculate(self, req: InvestmentActionRequest) -&gt; int: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score = super().calculate(req)   # UC-001 기본 점수 상속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투자 특화 요소 1: 시장 변동성 (VIX)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vix = market_data.get_vix()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  vix &lt; 15:  score += 0       # 안정 구간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elif vix &lt; 25:  score += 10      # 보통 변동성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elif vix &lt; 35:  score += 25      # 높은 변동성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else:           score += 50      # 시장 공포 구간 → 서킷 브레이커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투자 특화 요소 2: 포트폴리오 손실률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loss = portfolio.get_loss_rate(req.userId)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loss &gt;= req.userPolicy.lossLimit: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score += 60                  # 손실 한도 초과 → 강제 차단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투자 특화 요소 3: 섹터 집중도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conc = portfolio.sector_concentration(req.userId, req.sector)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  conc &lt; 0.30: score += 0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elif conc &lt; 0.40: score += 15    # 경고 구간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else:             score += 35    # 집중투자 위험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투자 특화 요소 4: 월 투자 한도 소진율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used = portfolio.monthly_used_rate(req.userId)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used &gt; 0.80: score += 20      # 한도 80% 이상 소진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투자 특화 요소 5: 투자자 위험 등급 vs 상품 위험도 불일치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req.productRiskGrade &gt; req.userRiskGrade: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score += 30                  # 적합성 원칙 위반 위험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서킷 브레이커 — VIX 35 이상 시 모든 투자 행동 DENY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vix &gt;= 35: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return Decision.DENY  # 점수와 무관하게 강제 차단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최종 결정 분기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score &lt; 35:  return Decision.AUTO_APPROVE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score &lt; 60:  return Decision.USER_CONFIRM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score &lt; 80:  return Decision.ADMIN_APPROVE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return          Decision.DENY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4.3 투자 Action Record — 감사 기록 생성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# 투자 감사 기록 생성 — 전략 근거 해시 포함 (Python)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def create_investment_record(action: InvestmentAction, prev_hash: str) -&gt; dict: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# 투자 판단 근거 데이터를 해시로 보존 (원본 데이터 크기 문제 해결)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strategy_data =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'vix':         action.vix_at_execution,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'prices':      action.market_prices_snapshot,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'portfolio':   action.portfolio_snapshot,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'strategy':    action.strategy_name,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}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strategy_hash = hashlib.sha256(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json.dumps(strategy_data, sort_keys=True).encode()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).hexdigest()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record =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**base_fields(action, prev_hash),  # UC-001 기본 필드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투자 특화 필드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'ticker':                action.ticker,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'quantity':              action.quantity,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'total_amount':          action.total_amount,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'vix_at_execution':      action.vix_at_execution,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'portfolio_loss_rate':   action.portfolio_loss_rate,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'sector_concentration':  action.sector_concentration,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'strategy_basis_hash':   strategy_hash,  # 근거 원본은 별도 저장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# 규제 필드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'investor_risk_grade':   action.investor_risk_grade,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'suitability_check':     action.suitability_check,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'retention_period_yr':   5,  # 자본시장법 의무 보존 기간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}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record['hash']      = sha256(record)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record['signature'] = terminal.sign(record['hash'])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return record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4.4 서킷 브레이커 — 시장 급락 자동 차단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334155" w:sz="1"/>
              <w:left w:val="single" w:color="334155" w:sz="1"/>
              <w:bottom w:val="single" w:color="334155" w:sz="1"/>
              <w:right w:val="single" w:color="334155" w:sz="1"/>
            </w:tcBorders>
            <w:shd w:fill="0F172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# Circuit Breaker — 시장 급락 감지 시 전체 투자 행동 차단 (Python)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class CircuitBreaker: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KOSPI_DROP_THRESHOLD = -0.05   # 코스피 -5%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VIX_THRESHOLD        = 30.0    # VIX 30 이상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def check(self) -&gt; bool: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kospi_change = market.get_daily_change('KOSPI')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vix          = market.get_vix()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triggered = (kospi_change &lt;= self.KOSPI_DROP_THRESHOLD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     or vix &gt;= self.VIX_THRESHOLD)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triggered: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self._activate()       # 전체 AI 투자 행동 HOLD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self._cancel_pending() # 진행 중 주문 취소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self._notify_all()     # 전체 사용자 알림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audit.record_event('CIRCUIT_BREAKER_TRIGGERED',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'kospi_change': kospi_change,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'vix': vix,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    'affected_users': self._get_active_users(),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})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return triggered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/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def deactivate(self, user_id: str, manual_confirm: bool):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if not manual_confirm: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raise PolicyViolation('서킷 브레이커 해제는 수동 확인 필수')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audit.record_event('CIRCUIT_BREAKER_DEACTIVATED', {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'user_id': user_id,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    'timestamp': now(),</w:t>
            </w:r>
          </w:p>
          <w:p>
            <w:pPr>
              <w:spacing w:before="0" w:after="36" w:line="276" w:lineRule="auto"/>
            </w:pPr>
            <w:r>
              <w:rPr>
                <w:rFonts w:ascii="Courier New" w:cs="Courier New" w:eastAsia="Courier New" w:hAnsi="Courier New"/>
                <w:color w:val="A5F3FC"/>
                <w:sz w:val="18"/>
                <w:szCs w:val="18"/>
              </w:rPr>
              <w:t xml:space="preserve">        })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5. UC-001 대비 Policy Engine 확장 비교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2200"/>
        <w:gridCol w:w="2800"/>
        <w:gridCol w:w="2560"/>
      </w:tblGrid>
      <w:tr>
        <w:tc>
          <w:tcPr>
            <w:tcW w:type="dxa" w:w="1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구분</w:t>
            </w:r>
          </w:p>
        </w:tc>
        <w:tc>
          <w:tcPr>
            <w:tcW w:type="dxa" w:w="2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UC-001 (자동 결제)</w:t>
            </w:r>
          </w:p>
        </w:tc>
        <w:tc>
          <w:tcPr>
            <w:tcW w:type="dxa" w:w="28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UC-002 (투자 자동화)</w:t>
            </w:r>
          </w:p>
        </w:tc>
        <w:tc>
          <w:tcPr>
            <w:tcW w:type="dxa" w:w="25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확장 포인트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기본 Risk Score 요소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금액 · 한도 · 이상패턴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금액 · 한도 · 이상패턴 + 투자 5종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투자 특화 요소 5개 추가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추가 Risk 요소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VIX · 손실한도 · 집중도 · 소진율 · 적합성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금융 규제 요건 반영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서킷 브레이커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없음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VIX 30 이상 또는 코스피 -5% 시 전체 차단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시장 위기 자동 대응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Action Record 추가 필드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기본 8개 필드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전략근거 해시 · 규제 필드 포함 총 15개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규제 감사 대응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 확인 기준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한도 초과 시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고위험 행동 + 적합성 위반 시 필수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투자자 보호 강화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보존 의무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자체 정책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자본시장법 5년 보존 필드 포함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규제 준수</w:t>
            </w:r>
          </w:p>
        </w:tc>
      </w:tr>
      <w:t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규제 환경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일반 결제 규정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자본시장법 · 금융위 샌드박스 필수</w:t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금융 당국 승인 필요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6. KPI 및 성공 기준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700"/>
        <w:gridCol w:w="2400"/>
        <w:gridCol w:w="2660"/>
      </w:tblGrid>
      <w:tr>
        <w:tc>
          <w:tcPr>
            <w:tcW w:type="dxa" w:w="2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 지표</w:t>
            </w:r>
          </w:p>
        </w:tc>
        <w:tc>
          <w:tcPr>
            <w:tcW w:type="dxa" w:w="17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목표치</w:t>
            </w:r>
          </w:p>
        </w:tc>
        <w:tc>
          <w:tcPr>
            <w:tcW w:type="dxa" w:w="24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측정 방법</w:t>
            </w:r>
          </w:p>
        </w:tc>
        <w:tc>
          <w:tcPr>
            <w:tcW w:type="dxa" w:w="26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비고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투자 주문 성공률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90% 이상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체결 결과 로그</w:t>
            </w:r>
          </w:p>
        </w:tc>
        <w:tc>
          <w:tcPr>
            <w:tcW w:type="dxa" w:w="2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가상 환경 기준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Policy 판단 정확도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98% 이상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오승인/오차단율</w:t>
            </w:r>
          </w:p>
        </w:tc>
        <w:tc>
          <w:tcPr>
            <w:tcW w:type="dxa" w:w="2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수동 검토 비교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손실 한도 차단율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100%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한도 초과 차단 횟수</w:t>
            </w:r>
          </w:p>
        </w:tc>
        <w:tc>
          <w:tcPr>
            <w:tcW w:type="dxa" w:w="2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단 1건도 누락 불허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서킷 브레이커 발동 정확도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100%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시나리오 테스트</w:t>
            </w:r>
          </w:p>
        </w:tc>
        <w:tc>
          <w:tcPr>
            <w:tcW w:type="dxa" w:w="2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임계값 도달 시 전수 발동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투자 감사 기록 무결성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100%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해시 체인 검증</w:t>
            </w:r>
          </w:p>
        </w:tc>
        <w:tc>
          <w:tcPr>
            <w:tcW w:type="dxa" w:w="2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변조 0건 목표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적합성 원칙 준수율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100%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등급 불일치 차단</w:t>
            </w:r>
          </w:p>
        </w:tc>
        <w:tc>
          <w:tcPr>
            <w:tcW w:type="dxa" w:w="2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규제 요건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평균 처리 시간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5초 이내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Timestamp 측정</w:t>
            </w:r>
          </w:p>
        </w:tc>
        <w:tc>
          <w:tcPr>
            <w:tcW w:type="dxa" w:w="2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결제보다 여유 허용</w:t>
            </w:r>
          </w:p>
        </w:tc>
      </w:tr>
      <w:t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 만족도</w:t>
            </w:r>
          </w:p>
        </w:tc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424242"/>
                <w:sz w:val="20"/>
                <w:szCs w:val="20"/>
              </w:rPr>
              <w:t xml:space="preserve">4.0 / 5.0 이상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설문 조사</w:t>
            </w:r>
          </w:p>
        </w:tc>
        <w:tc>
          <w:tcPr>
            <w:tcW w:type="dxa" w:w="26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20명 참가자 기준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45309" w:sz="6"/>
              <w:left w:val="single" w:color="B45309" w:sz="16"/>
              <w:bottom w:val="single" w:color="B45309" w:sz="6"/>
              <w:right w:val="single" w:color="B45309" w:sz="6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color w:val="92400E"/>
                <w:sz w:val="21"/>
                <w:szCs w:val="21"/>
              </w:rPr>
              <w:t xml:space="preserve">손실 한도 차단 · 서킷 브레이커 · 감사 기록 무결성 · 적합성 준수율 4개 항목은 100% 달성이 필수입니다. 단 1건이라도 미달 시 파일럿 실패로 간주하고 아키텍처를 재검토합니다.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7. 리스크 및 대응 방안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3960"/>
      </w:tblGrid>
      <w:tr>
        <w:tc>
          <w:tcPr>
            <w:tcW w:type="dxa" w:w="22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리스크 항목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발생 가능성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영향도</w:t>
            </w:r>
          </w:p>
        </w:tc>
        <w:tc>
          <w:tcPr>
            <w:tcW w:type="dxa" w:w="39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4F46E5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대응 방안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실제 금융 거래 혼용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낮음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매우 높음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가상 Sandbox 환경 완전 격리 · 실거래 API 연결 차단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규제 샌드박스 미승인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중간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파일럿 시작 전 금융위 사전 협의 필수 · 미승인 시 연기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VIX 데이터 지연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중간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다중 데이터 소스 · 지연 감지 시 보수적 Risk Score 적용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포트폴리오 계산 오류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낮음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실시간 이중 계산 검증 · 불일치 시 즉시 차단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전략 근거 해시 불일치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매우 낮음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F3C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B45309"/>
                <w:sz w:val="20"/>
                <w:szCs w:val="20"/>
              </w:rPr>
              <w:t xml:space="preserve">중간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 자동 무결성 재검증</w:t>
            </w:r>
          </w:p>
        </w:tc>
      </w:tr>
      <w:t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사용자 서킷 브레이커 우회 시도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DCFCE7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166534"/>
                <w:sz w:val="20"/>
                <w:szCs w:val="20"/>
              </w:rPr>
              <w:t xml:space="preserve">낮음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EE2E2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991B1B"/>
                <w:sz w:val="20"/>
                <w:szCs w:val="20"/>
              </w:rPr>
              <w:t xml:space="preserve">높음</w:t>
            </w:r>
          </w:p>
        </w:tc>
        <w:tc>
          <w:tcPr>
            <w:tcW w:type="dxa" w:w="3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F2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수동 재활성화 + 관리자 승인 이중 확인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8. 참여 주체 및 역할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900"/>
        <w:gridCol w:w="3000"/>
        <w:gridCol w:w="2760"/>
      </w:tblGrid>
      <w:tr>
        <w:tc>
          <w:tcPr>
            <w:tcW w:type="dxa" w:w="17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역할</w:t>
            </w:r>
          </w:p>
        </w:tc>
        <w:tc>
          <w:tcPr>
            <w:tcW w:type="dxa" w:w="19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참여 주체</w:t>
            </w:r>
          </w:p>
        </w:tc>
        <w:tc>
          <w:tcPr>
            <w:tcW w:type="dxa" w:w="3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담당 기능</w:t>
            </w:r>
          </w:p>
        </w:tc>
        <w:tc>
          <w:tcPr>
            <w:tcW w:type="dxa" w:w="27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F2044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협력 형태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아키텍처 설계자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KorPIX 팀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투자 특화 Policy Engine 설계 · 표준 정의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주관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증권 API 연동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증권사 / 핀테크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가상 투자 API 제공 · 체결 시뮬레이션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API 파트너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시장 데이터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금융 데이터 기업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VIX · 시장 가격 · 섹터 데이터 실시간 제공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데이터 파트너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보안 모듈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보안 기업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PQC 서명 · 감사 기록 무결성 검증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기술 협력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규제 샌드박스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금융위원회 / FSS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규제 적용 범위 확인 · 샌드박스 승인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제도 지원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클라우드 인프라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클라우드 기업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Audit Network 노드 · 투자 기록 5년 보존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4FD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인프라 제공</w:t>
            </w:r>
          </w:p>
        </w:tc>
      </w:tr>
      <w:tr>
        <w:tc>
          <w:tcPr>
            <w:tcW w:type="dxa" w:w="1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테스트 참가자</w:t>
            </w:r>
          </w:p>
        </w:tc>
        <w:tc>
          <w:tcPr>
            <w:tcW w:type="dxa" w:w="19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일반 사용자 20명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가상 투자 시나리오 테스트 · 설문 참여</w:t>
            </w:r>
          </w:p>
        </w:tc>
        <w:tc>
          <w:tcPr>
            <w:tcW w:type="dxa" w:w="27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파일럿 참여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9. 파일럿 추진 일정 (6주)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1600"/>
        <w:gridCol w:w="3700"/>
        <w:gridCol w:w="3060"/>
      </w:tblGrid>
      <w:tr>
        <w:tc>
          <w:tcPr>
            <w:tcW w:type="dxa" w:w="10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주차</w:t>
            </w:r>
          </w:p>
        </w:tc>
        <w:tc>
          <w:tcPr>
            <w:tcW w:type="dxa" w:w="16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기간</w:t>
            </w:r>
          </w:p>
        </w:tc>
        <w:tc>
          <w:tcPr>
            <w:tcW w:type="dxa" w:w="370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주요 작업</w:t>
            </w:r>
          </w:p>
        </w:tc>
        <w:tc>
          <w:tcPr>
            <w:tcW w:type="dxa" w:w="3060"/>
            <w:tcBorders>
              <w:top w:val="single" w:color="0E7490" w:sz="1"/>
              <w:left w:val="single" w:color="0E7490" w:sz="1"/>
              <w:bottom w:val="single" w:color="0E7490" w:sz="1"/>
              <w:right w:val="single" w:color="0E7490" w:sz="1"/>
            </w:tcBorders>
            <w:shd w:fill="0E7490" w:val="clear"/>
            <w:tcMar>
              <w:top w:type="dxa" w:w="80"/>
              <w:left w:type="dxa" w:w="120"/>
              <w:bottom w:type="dxa" w:w="80"/>
              <w:right w:type="dxa" w:w="8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산출물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1주차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환경 구성</w:t>
            </w:r>
          </w:p>
        </w:tc>
        <w:tc>
          <w:tcPr>
            <w:tcW w:type="dxa" w:w="3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가상 투자 Sandbox 구축 · 증권 API 연동 · 금융위 사전 협의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가상 거래 환경 구축 보고서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2주차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정책 구현</w:t>
            </w:r>
          </w:p>
        </w:tc>
        <w:tc>
          <w:tcPr>
            <w:tcW w:type="dxa" w:w="3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Investment Risk Evaluator 구현 · VIX 연동 · 서킷 브레이커 개발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투자 특화 Policy Engine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3주차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기록 시스템</w:t>
            </w:r>
          </w:p>
        </w:tc>
        <w:tc>
          <w:tcPr>
            <w:tcW w:type="dxa" w:w="3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InvestmentActionRecord 구현 · 전략 근거 해시 · 5년 보존 구조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투자 감사 기록 모듈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4주차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통합 테스트</w:t>
            </w:r>
          </w:p>
        </w:tc>
        <w:tc>
          <w:tcPr>
            <w:tcW w:type="dxa" w:w="3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4개 시나리오 전체 통합 · 손실한도 · 서킷 브레이커 검증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통합 테스트 결과 보고서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5주차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파일럿 운영</w:t>
            </w:r>
          </w:p>
        </w:tc>
        <w:tc>
          <w:tcPr>
            <w:tcW w:type="dxa" w:w="3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참가자 20명 실제 가상 투자 테스트 · KPI 실시간 측정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파일럿 운영 일지</w:t>
            </w:r>
          </w:p>
        </w:tc>
      </w:tr>
      <w:tr>
        <w:tc>
          <w:tcPr>
            <w:tcW w:type="dxa" w:w="1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6주차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결과 분석</w:t>
            </w:r>
          </w:p>
        </w:tc>
        <w:tc>
          <w:tcPr>
            <w:tcW w:type="dxa" w:w="3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KPI 달성 분석 · 규제 대응 보고서 · UC-003 계획 수립</w:t>
            </w:r>
          </w:p>
        </w:tc>
        <w:tc>
          <w:tcPr>
            <w:tcW w:type="dxa" w:w="30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0F7FA" w:val="clear"/>
            <w:tcMar>
              <w:top w:type="dxa" w:w="80"/>
              <w:left w:type="dxa" w:w="120"/>
              <w:bottom w:type="dxa" w:w="8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 w:val="false"/>
                <w:bCs w:val="false"/>
                <w:color w:val="424242"/>
                <w:sz w:val="20"/>
                <w:szCs w:val="20"/>
              </w:rPr>
              <w:t xml:space="preserve">파일럿 최종 결과 보고서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Style w:val="Heading1"/>
        <w:pBdr>
          <w:bottom w:val="single" w:color="0E7490" w:sz="8" w:space="4"/>
        </w:pBdr>
        <w:spacing w:before="360" w:after="180" w:line="276" w:lineRule="auto"/>
      </w:pPr>
      <w:r>
        <w:rPr>
          <w:rFonts w:ascii="Arial" w:cs="Arial" w:eastAsia="Arial" w:hAnsi="Arial"/>
          <w:b/>
          <w:bCs/>
          <w:color w:val="1E3A5F"/>
          <w:sz w:val="32"/>
          <w:szCs w:val="32"/>
        </w:rPr>
        <w:t xml:space="preserve">10. 파일럿 이후 다음 단계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0" w:after="11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UC-002 파일럿 성공을 기반으로 아래 두 방향으로 동시 진행합니다.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규제 및 사업화 방향</w:t>
      </w:r>
    </w:p>
    <w:p>
      <w:pPr>
        <w:pStyle w:val="ListParagraph"/>
        <w:numPr>
          <w:ilvl w:val="0"/>
          <w:numId w:val="3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금융위 규제 샌드박스 정식 신청 — 가상 환경 검증 결과를 근거로 실거래 환경 테스트 승인 요청</w:t>
      </w:r>
    </w:p>
    <w:p>
      <w:pPr>
        <w:pStyle w:val="ListParagraph"/>
        <w:numPr>
          <w:ilvl w:val="0"/>
          <w:numId w:val="3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증권사 · 자산운용사와 정식 파트너십 협약 체결 — Policy API 라이선스 계약 논의 시작</w:t>
      </w:r>
    </w:p>
    <w:p>
      <w:pPr>
        <w:pStyle w:val="ListParagraph"/>
        <w:numPr>
          <w:ilvl w:val="0"/>
          <w:numId w:val="3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투자자 보호 관련 법적 검토 — 자동 투자 위임 계약서 표준 초안 작성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spacing w:before="200" w:after="80" w:line="276" w:lineRule="auto"/>
      </w:pPr>
      <w:r>
        <w:rPr>
          <w:rFonts w:ascii="Arial" w:cs="Arial" w:eastAsia="Arial" w:hAnsi="Arial"/>
          <w:b/>
          <w:bCs/>
          <w:color w:val="0E7490"/>
          <w:sz w:val="22"/>
          <w:szCs w:val="22"/>
        </w:rPr>
        <w:t xml:space="preserve">기술 확장 방향</w:t>
      </w:r>
    </w:p>
    <w:p>
      <w:pPr>
        <w:pStyle w:val="ListParagraph"/>
        <w:numPr>
          <w:ilvl w:val="0"/>
          <w:numId w:val="3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UC-003 · AI 기업 구매 승인 자동화 파일럿 — ERP 연동 + 내부 승인 플로우 (투자보다 위험도 낮음)</w:t>
      </w:r>
    </w:p>
    <w:p>
      <w:pPr>
        <w:pStyle w:val="ListParagraph"/>
        <w:numPr>
          <w:ilvl w:val="0"/>
          <w:numId w:val="3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UC-004 · AI 행정 서비스 자동화 파일럿 — 공과금 · 공공 API 연동</w:t>
      </w:r>
    </w:p>
    <w:p>
      <w:pPr>
        <w:pStyle w:val="ListParagraph"/>
        <w:numPr>
          <w:ilvl w:val="0"/>
          <w:numId w:val="3"/>
        </w:numPr>
        <w:spacing w:before="0" w:after="10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>UC-005 · AI Node PC 하드웨어 Trust Terminal 전환 — 소프트 에뮬레이터 → 실제 TPM 탑재 단말</w:t>
      </w:r>
    </w:p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45309" w:sz="6"/>
              <w:left w:val="single" w:color="B45309" w:sz="16"/>
              <w:bottom w:val="single" w:color="B45309" w:sz="6"/>
              <w:right w:val="single" w:color="B45309" w:sz="6"/>
            </w:tcBorders>
            <w:shd w:fill="FFFBEB" w:val="clear"/>
            <w:tcMar>
              <w:top w:type="dxa" w:w="120"/>
              <w:left w:type="dxa" w:w="200"/>
              <w:bottom w:type="dxa" w:w="120"/>
              <w:right w:type="dxa" w:w="140"/>
            </w:tcMar>
          </w:tcPr>
          <w:p>
            <w:r>
              <w:rPr>
                <w:rFonts w:ascii="Arial" w:cs="Arial" w:eastAsia="Arial" w:hAnsi="Arial"/>
                <w:color w:val="92400E"/>
                <w:sz w:val="21"/>
                <w:szCs w:val="21"/>
              </w:rPr>
              <w:t xml:space="preserve">UC-002의 핵심 성과물인 '투자 특화 Policy Engine + 서킷 브레이커 + 규제 감사 기록 구조'는 UC-003 이후 모든 유스케이스에 재사용 가능한 고위험 행동 제어 표준 모듈로 발전합니다.</w:t>
            </w:r>
          </w:p>
        </w:tc>
      </w:tr>
    </w:tbl>
    <w:p>
      <w:pPr>
        <w:spacing w:before="0" w:after="0" w:line="276" w:lineRule="auto"/>
      </w:pPr>
      <w:r>
        <w:rPr>
          <w:rFonts w:ascii="Arial" w:cs="Arial" w:eastAsia="Arial" w:hAnsi="Arial"/>
          <w:color w:val="424242"/>
          <w:sz w:val="22"/>
          <w:szCs w:val="22"/>
        </w:rPr>
        <w:t xml:space="preserve"/>
      </w:r>
    </w:p>
    <w:p>
      <w:pPr>
        <w:pBdr>
          <w:bottom w:val="single" w:color="E0E0E0" w:sz="4"/>
        </w:pBdr>
        <w:spacing w:before="100" w:after="120" w:line="276" w:lineRule="auto"/>
      </w:pPr>
    </w:p>
    <w:p>
      <w:pPr>
        <w:pBdr>
          <w:top w:val="single" w:color="E0E0E0" w:sz="4"/>
        </w:pBdr>
        <w:spacing w:before="360" w:after="0" w:line="276" w:lineRule="auto"/>
        <w:jc w:val="center"/>
      </w:pPr>
      <w:r>
        <w:rPr>
          <w:rFonts w:ascii="Arial" w:cs="Arial" w:eastAsia="Arial" w:hAnsi="Arial"/>
          <w:color w:val="888888"/>
          <w:sz w:val="18"/>
          <w:szCs w:val="18"/>
        </w:rPr>
        <w:t xml:space="preserve">이 문서는 </w:t>
      </w:r>
      <w:r>
        <w:rPr>
          <w:rFonts w:ascii="Arial" w:cs="Arial" w:eastAsia="Arial" w:hAnsi="Arial"/>
          <w:color w:val="0E7490"/>
          <w:sz w:val="18"/>
          <w:szCs w:val="18"/>
        </w:rPr>
        <w:t xml:space="preserve">KorPIX UC-001 파일럿 성공을 전제로</w:t>
      </w:r>
      <w:r>
        <w:rPr>
          <w:rFonts w:ascii="Arial" w:cs="Arial" w:eastAsia="Arial" w:hAnsi="Arial"/>
          <w:color w:val="888888"/>
          <w:sz w:val="18"/>
          <w:szCs w:val="18"/>
        </w:rPr>
        <w:t xml:space="preserve"> 작성된 두 번째 파일럿 유스케이스 계획서입니다.</w:t>
      </w:r>
    </w:p>
    <w:sectPr>
      <w:pgSz w:w="11906" w:h="16838" w:orient="portrait"/>
      <w:pgMar w:top="1440" w:right="1260" w:bottom="144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60" w:after="180"/>
      <w:outlineLvl w:val="0"/>
    </w:pPr>
    <w:rPr>
      <w:rFonts w:ascii="Arial" w:cs="Arial" w:eastAsia="Arial" w:hAnsi="Arial"/>
      <w:b/>
      <w:bCs/>
      <w:color w:val="1E3A5F"/>
      <w:sz w:val="32"/>
      <w:szCs w:val="32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Arial" w:cs="Arial" w:eastAsia="Arial" w:hAnsi="Arial"/>
      <w:b/>
      <w:bCs/>
      <w:color w:val="1E3A5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2026-03-14T09:39:02.876Z</dcterms:created>
  <dcterms:modified xsi:type="dcterms:W3CDTF">2026-03-14T09:39:02.877Z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