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64D75"/>
          <w:spacing w:val="60"/>
          <w:sz w:val="20"/>
          <w:szCs w:val="20"/>
        </w:rPr>
        <w:t xml:space="preserve">COST ESTIMATE · POST-LAUNCH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A1B33"/>
          <w:sz w:val="44"/>
          <w:szCs w:val="44"/>
        </w:rPr>
        <w:t xml:space="preserve">Estimated Monthly Running Costs</w:t>
      </w:r>
    </w:p>
    <w:p>
      <w:pPr>
        <w:pBdr>
          <w:bottom w:val="single" w:color="B64D75" w:sz="12" w:space="6"/>
        </w:pBdr>
        <w:spacing w:after="160"/>
      </w:pPr>
      <w:r>
        <w:rPr>
          <w:rFonts w:ascii="Calibri" w:cs="Calibri" w:eastAsia="Calibri" w:hAnsi="Calibri"/>
          <w:color w:val="49313B"/>
          <w:sz w:val="24"/>
          <w:szCs w:val="24"/>
        </w:rPr>
        <w:t xml:space="preserve">GetReady – what it costs to keep the platform live</w:t>
      </w:r>
    </w:p>
    <w:p>
      <w:pPr>
        <w:spacing w:after="60"/>
      </w:pPr>
      <w:r>
        <w:rPr>
          <w:rFonts w:ascii="Calibri" w:cs="Calibri" w:eastAsia="Calibri" w:hAnsi="Calibri"/>
          <w:color w:val="896F7D"/>
          <w:sz w:val="20"/>
          <w:szCs w:val="20"/>
        </w:rPr>
        <w:t xml:space="preserve">Prepared for  </w:t>
      </w:r>
      <w:r>
        <w:rPr>
          <w:rFonts w:ascii="Calibri" w:cs="Calibri" w:eastAsia="Calibri" w:hAnsi="Calibri"/>
          <w:color w:val="49313B"/>
          <w:sz w:val="21"/>
          <w:szCs w:val="21"/>
        </w:rPr>
        <w:t xml:space="preserve">Yusuf Ismail, GetReady</w:t>
      </w:r>
    </w:p>
    <w:p>
      <w:pPr>
        <w:spacing w:after="60"/>
      </w:pPr>
      <w:r>
        <w:rPr>
          <w:rFonts w:ascii="Calibri" w:cs="Calibri" w:eastAsia="Calibri" w:hAnsi="Calibri"/>
          <w:color w:val="896F7D"/>
          <w:sz w:val="20"/>
          <w:szCs w:val="20"/>
        </w:rPr>
        <w:t xml:space="preserve">Prepared by  </w:t>
      </w:r>
      <w:r>
        <w:rPr>
          <w:rFonts w:ascii="Calibri" w:cs="Calibri" w:eastAsia="Calibri" w:hAnsi="Calibri"/>
          <w:color w:val="49313B"/>
          <w:sz w:val="21"/>
          <w:szCs w:val="21"/>
        </w:rPr>
        <w:t xml:space="preserve">Abdur Rehman &amp; Abdul Aziz</w:t>
      </w:r>
    </w:p>
    <w:p>
      <w:pPr>
        <w:spacing w:after="60"/>
      </w:pPr>
      <w:r>
        <w:rPr>
          <w:rFonts w:ascii="Calibri" w:cs="Calibri" w:eastAsia="Calibri" w:hAnsi="Calibri"/>
          <w:color w:val="896F7D"/>
          <w:sz w:val="20"/>
          <w:szCs w:val="20"/>
        </w:rPr>
        <w:t xml:space="preserve">Date  </w:t>
      </w:r>
      <w:r>
        <w:rPr>
          <w:rFonts w:ascii="Calibri" w:cs="Calibri" w:eastAsia="Calibri" w:hAnsi="Calibri"/>
          <w:color w:val="49313B"/>
          <w:sz w:val="21"/>
          <w:szCs w:val="21"/>
        </w:rPr>
        <w:t xml:space="preserve">22 October 2026 · Companion to Quotation GR-Q-2026-001</w:t>
      </w:r>
    </w:p>
    <w:p>
      <w:pPr>
        <w:spacing w:after="60"/>
      </w:pPr>
      <w:r>
        <w:rPr>
          <w:rFonts w:ascii="Calibri" w:cs="Calibri" w:eastAsia="Calibri" w:hAnsi="Calibri"/>
          <w:color w:val="896F7D"/>
          <w:sz w:val="20"/>
          <w:szCs w:val="20"/>
        </w:rPr>
        <w:t xml:space="preserve">Currency  </w:t>
      </w:r>
      <w:r>
        <w:rPr>
          <w:rFonts w:ascii="Calibri" w:cs="Calibri" w:eastAsia="Calibri" w:hAnsi="Calibri"/>
          <w:color w:val="49313B"/>
          <w:sz w:val="21"/>
          <w:szCs w:val="21"/>
        </w:rPr>
        <w:t xml:space="preserve">Shown in USD and INR at an assumed ₹95 per US$ (the rate moves; actual bills follow the day’s rate)</w:t>
      </w:r>
    </w:p>
    <w:p>
      <w:pPr>
        <w:keepNext/>
        <w:pBdr>
          <w:bottom w:val="single" w:color="B64D75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4A1B33"/>
          <w:sz w:val="28"/>
          <w:szCs w:val="28"/>
        </w:rPr>
        <w:t xml:space="preserve">1. Purpose</w:t>
      </w:r>
    </w:p>
    <w:p>
      <w:pPr>
        <w:spacing w:after="120" w:line="276"/>
      </w:pPr>
      <w:r>
        <w:rPr>
          <w:rFonts w:ascii="Calibri" w:cs="Calibri" w:eastAsia="Calibri" w:hAnsi="Calibri"/>
          <w:color w:val="49313B"/>
          <w:sz w:val="22"/>
          <w:szCs w:val="22"/>
        </w:rPr>
        <w:t xml:space="preserve">The development quotation covers building the platform. Once it is live, the client also pays third-party providers for hosting, SMS, storage and app-store accounts. These are billed directly to the client’s own accounts and are separate from our development fees and from the post-launch maintenance fee, which is still to be agreed. This page gives realistic monthly figures so there are no surprises.</w:t>
      </w:r>
    </w:p>
    <w:p>
      <w:pPr>
        <w:keepNext/>
        <w:pBdr>
          <w:bottom w:val="single" w:color="B64D75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4A1B33"/>
          <w:sz w:val="28"/>
          <w:szCs w:val="28"/>
        </w:rPr>
        <w:t xml:space="preserve">2. Estimated Total per Month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38"/>
        <w:gridCol w:w="1800"/>
        <w:gridCol w:w="2200"/>
      </w:tblGrid>
      <w:tr>
        <w:trPr>
          <w:tblHeader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Setup</w:t>
            </w:r>
          </w:p>
        </w:tc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  <w:tc>
          <w:tcPr>
            <w:tcW w:type="dxa" w:w="18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Cloud / month</w:t>
            </w:r>
          </w:p>
        </w:tc>
        <w:tc>
          <w:tcPr>
            <w:tcW w:type="dxa" w:w="22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Total / month (₹)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Lean launch (recommended to start)</w:t>
            </w:r>
          </w:p>
        </w:tc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One small server or serverless container with a small managed database. Suits the first few hundred to a few thousand users.</w:t>
            </w:r>
          </w:p>
        </w:tc>
        <w:tc>
          <w:tcPr>
            <w:tcW w:type="dxa" w:w="18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US$ 40–70 (₹3,800–6,650)</w:t>
            </w:r>
          </w:p>
        </w:tc>
        <w:tc>
          <w:tcPr>
            <w:tcW w:type="dxa" w:w="22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≈ ₹6,000–10,500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Standard production</w:t>
            </w:r>
          </w:p>
        </w:tc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Two app instances, a high-availability database and a proper load balancer. For when uptime matters more than cost.</w:t>
            </w:r>
          </w:p>
        </w:tc>
        <w:tc>
          <w:tcPr>
            <w:tcW w:type="dxa" w:w="18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US$ 150–230 (₹14,250–21,850)</w:t>
            </w:r>
          </w:p>
        </w:tc>
        <w:tc>
          <w:tcPr>
            <w:tcW w:type="dxa" w:w="22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≈ ₹16,000–26,000</w:t>
            </w:r>
          </w:p>
        </w:tc>
      </w:tr>
    </w:tbl>
    <w:p>
      <w:pPr>
        <w:spacing w:before="100"/>
      </w:pPr>
      <w:r>
        <w:rPr>
          <w:rFonts w:ascii="Calibri" w:cs="Calibri" w:eastAsia="Calibri" w:hAnsi="Calibri"/>
          <w:color w:val="896F7D"/>
          <w:sz w:val="20"/>
          <w:szCs w:val="20"/>
        </w:rPr>
        <w:t xml:space="preserve">Totals include cloud hosting plus SMS/OTP and other services (about ₹2,000–4,000 per month at launch volume). 18% GST is added to cloud and SMS bills in India.</w:t>
      </w:r>
    </w:p>
    <w:p>
      <w:pPr>
        <w:keepNext/>
        <w:pBdr>
          <w:bottom w:val="single" w:color="B64D75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4A1B33"/>
          <w:sz w:val="28"/>
          <w:szCs w:val="28"/>
        </w:rPr>
        <w:t xml:space="preserve">3. Cloud Hosting by Growth Stage</w:t>
      </w:r>
    </w:p>
    <w:p>
      <w:pPr>
        <w:spacing w:after="120" w:line="276"/>
      </w:pPr>
      <w:r>
        <w:rPr>
          <w:rFonts w:ascii="Calibri" w:cs="Calibri" w:eastAsia="Calibri" w:hAnsi="Calibri"/>
          <w:color w:val="49313B"/>
          <w:sz w:val="22"/>
          <w:szCs w:val="22"/>
        </w:rPr>
        <w:t xml:space="preserve">Mumbai region, on-demand prices, per month. AWS and GCP land in a similar range; GCP Cloud Run needs less day-to-day server management, while AWS has a cheaper smallest database.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3669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AWS (ap-south-1)</w:t>
            </w:r>
          </w:p>
        </w:tc>
        <w:tc>
          <w:tcPr>
            <w:tcW w:type="dxa" w:w="3669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GCP (asia-south1)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MVP, up to ~500 users</w:t>
            </w:r>
          </w:p>
        </w:tc>
        <w:tc>
          <w:tcPr>
            <w:tcW w:type="dxa" w:w="3669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US$ 30–40 (₹2,900–3,800)</w:t>
            </w:r>
          </w:p>
        </w:tc>
        <w:tc>
          <w:tcPr>
            <w:tcW w:type="dxa" w:w="3669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US$ 60–75 (₹5,700–7,100); under US$ 25 if it scales to zero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Proper launch, a few thousand users</w:t>
            </w:r>
          </w:p>
        </w:tc>
        <w:tc>
          <w:tcPr>
            <w:tcW w:type="dxa" w:w="3669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US$ 150–180 (₹14,250–17,100)</w:t>
            </w:r>
          </w:p>
        </w:tc>
        <w:tc>
          <w:tcPr>
            <w:tcW w:type="dxa" w:w="3669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US$ 130–230 (₹12,350–21,850)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Growth, 20–50K users</w:t>
            </w:r>
          </w:p>
        </w:tc>
        <w:tc>
          <w:tcPr>
            <w:tcW w:type="dxa" w:w="3669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US$ 500–800 (₹47,500–76,000)</w:t>
            </w:r>
          </w:p>
        </w:tc>
        <w:tc>
          <w:tcPr>
            <w:tcW w:type="dxa" w:w="3669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US$ 450–750 (₹42,800–71,300)</w:t>
            </w:r>
          </w:p>
        </w:tc>
      </w:tr>
    </w:tbl>
    <w:p>
      <w:pPr>
        <w:spacing w:before="100"/>
      </w:pPr>
      <w:r>
        <w:rPr>
          <w:rFonts w:ascii="Calibri" w:cs="Calibri" w:eastAsia="Calibri" w:hAnsi="Calibri"/>
          <w:color w:val="896F7D"/>
          <w:sz w:val="20"/>
          <w:szCs w:val="20"/>
        </w:rPr>
        <w:t xml:space="preserve">A single VM running the existing Docker setup (including a small database) is the cheapest path: about US$ 12–25 (₹1,100–2,400) per month, with less resilience.</w:t>
      </w:r>
    </w:p>
    <w:p>
      <w:pPr>
        <w:keepNext/>
        <w:pBdr>
          <w:bottom w:val="single" w:color="B64D75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4A1B33"/>
          <w:sz w:val="28"/>
          <w:szCs w:val="28"/>
        </w:rPr>
        <w:t xml:space="preserve">4. Other Services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38"/>
        <w:gridCol w:w="4000"/>
      </w:tblGrid>
      <w:tr>
        <w:trPr>
          <w:tblHeader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  <w:tc>
          <w:tcPr>
            <w:tcW w:type="dxa" w:w="40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Estimated cost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SMS / OTP (Fast2SMS)</w:t>
            </w:r>
          </w:p>
        </w:tc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Login OTPs and SMS notifications</w:t>
            </w:r>
          </w:p>
        </w:tc>
        <w:tc>
          <w:tcPr>
            <w:tcW w:type="dxa" w:w="40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About ₹0.15–0.20 per SMS. 10,000 OTPs ≈ ₹1,500–2,000 per month. This is usually the largest non-cloud cost.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Image storage (Cloudinary)</w:t>
            </w:r>
          </w:p>
        </w:tc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Artist portfolio photos</w:t>
            </w:r>
          </w:p>
        </w:tc>
        <w:tc>
          <w:tcPr>
            <w:tcW w:type="dxa" w:w="40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Free up to 25 GB storage and bandwidth. About US$ 89 per month (₹8,450) on the next paid plan once outgrown.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Push notifications (Expo)</w:t>
            </w:r>
          </w:p>
        </w:tc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In-app push alerts</w:t>
            </w:r>
          </w:p>
        </w:tc>
        <w:tc>
          <w:tcPr>
            <w:tcW w:type="dxa" w:w="40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Free. Expo build service is free at launch volume.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Error tracking (Sentry)</w:t>
            </w:r>
          </w:p>
        </w:tc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Crash and error visibility</w:t>
            </w:r>
          </w:p>
        </w:tc>
        <w:tc>
          <w:tcPr>
            <w:tcW w:type="dxa" w:w="40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Free tier (5,000 errors per month).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Payments (Razorpay), Phase 2</w:t>
            </w:r>
          </w:p>
        </w:tc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Online payments and deposits</w:t>
            </w:r>
          </w:p>
        </w:tc>
        <w:tc>
          <w:tcPr>
            <w:tcW w:type="dxa" w:w="40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About 2% per transaction, no fixed fee.</w:t>
            </w:r>
          </w:p>
        </w:tc>
      </w:tr>
    </w:tbl>
    <w:p>
      <w:pPr>
        <w:keepNext/>
        <w:pBdr>
          <w:bottom w:val="single" w:color="B64D75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4A1B33"/>
          <w:sz w:val="28"/>
          <w:szCs w:val="28"/>
        </w:rPr>
        <w:t xml:space="preserve">5. One-Time and Yearly Costs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8"/>
        <w:gridCol w:w="3300"/>
        <w:gridCol w:w="3000"/>
      </w:tblGrid>
      <w:tr>
        <w:trPr>
          <w:tblHeader/>
        </w:trPr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3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4A1B3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Google Play developer account</w:t>
            </w:r>
          </w:p>
        </w:tc>
        <w:tc>
          <w:tcPr>
            <w:tcW w:type="dxa" w:w="3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US$ 25 (≈ ₹2,400)</w:t>
            </w:r>
          </w:p>
        </w:tc>
        <w:tc>
          <w:tcPr>
            <w:tcW w:type="dxa" w:w="30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One time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Apple Developer Program (iOS)</w:t>
            </w:r>
          </w:p>
        </w:tc>
        <w:tc>
          <w:tcPr>
            <w:tcW w:type="dxa" w:w="3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US$ 99 (≈ ₹9,400)</w:t>
            </w:r>
          </w:p>
        </w:tc>
        <w:tc>
          <w:tcPr>
            <w:tcW w:type="dxa" w:w="30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shd w:fill="FF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Every year, only if iOS ships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Domain name (.in / .com)</w:t>
            </w:r>
          </w:p>
        </w:tc>
        <w:tc>
          <w:tcPr>
            <w:tcW w:type="dxa" w:w="33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₹800–1,300</w:t>
            </w:r>
          </w:p>
        </w:tc>
        <w:tc>
          <w:tcPr>
            <w:tcW w:type="dxa" w:w="3000"/>
            <w:tcBorders>
              <w:top w:val="single" w:color="F0DCE5" w:sz="4"/>
              <w:left w:val="single" w:color="F0DCE5" w:sz="4"/>
              <w:bottom w:val="single" w:color="F0DCE5" w:sz="4"/>
              <w:right w:val="single" w:color="F0DC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9313B"/>
                <w:sz w:val="21"/>
                <w:szCs w:val="21"/>
              </w:rPr>
              <w:t xml:space="preserve">Every year</w:t>
            </w:r>
          </w:p>
        </w:tc>
      </w:tr>
    </w:tbl>
    <w:p>
      <w:pPr>
        <w:keepNext/>
        <w:pBdr>
          <w:bottom w:val="single" w:color="B64D75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4A1B33"/>
          <w:sz w:val="28"/>
          <w:szCs w:val="28"/>
        </w:rPr>
        <w:t xml:space="preserve">6. What Drives the Bill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A1B33"/>
          <w:sz w:val="22"/>
          <w:szCs w:val="22"/>
        </w:rPr>
        <w:t xml:space="preserve">OTP volume: </w:t>
      </w:r>
      <w:r>
        <w:rPr>
          <w:rFonts w:ascii="Calibri" w:cs="Calibri" w:eastAsia="Calibri" w:hAnsi="Calibri"/>
          <w:color w:val="49313B"/>
          <w:sz w:val="22"/>
          <w:szCs w:val="22"/>
        </w:rPr>
        <w:t xml:space="preserve">every sign-in and notification SMS is billed per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A1B33"/>
          <w:sz w:val="22"/>
          <w:szCs w:val="22"/>
        </w:rPr>
        <w:t xml:space="preserve">Image bandwidth: </w:t>
      </w:r>
      <w:r>
        <w:rPr>
          <w:rFonts w:ascii="Calibri" w:cs="Calibri" w:eastAsia="Calibri" w:hAnsi="Calibri"/>
          <w:color w:val="49313B"/>
          <w:sz w:val="22"/>
          <w:szCs w:val="22"/>
        </w:rPr>
        <w:t xml:space="preserve">portfolio photos are the product, so viewing traffic grows storage and delivery costs.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A1B33"/>
          <w:sz w:val="22"/>
          <w:szCs w:val="22"/>
        </w:rPr>
        <w:t xml:space="preserve">Video (Phase 2): </w:t>
      </w:r>
      <w:r>
        <w:rPr>
          <w:rFonts w:ascii="Calibri" w:cs="Calibri" w:eastAsia="Calibri" w:hAnsi="Calibri"/>
          <w:color w:val="49313B"/>
          <w:sz w:val="22"/>
          <w:szCs w:val="22"/>
        </w:rPr>
        <w:t xml:space="preserve">storage and streaming are expensive, which is why duration and resolution caps are agreed at Phase 2 kick-off.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A1B33"/>
          <w:sz w:val="22"/>
          <w:szCs w:val="22"/>
        </w:rPr>
        <w:t xml:space="preserve">Uptime choices: </w:t>
      </w:r>
      <w:r>
        <w:rPr>
          <w:rFonts w:ascii="Calibri" w:cs="Calibri" w:eastAsia="Calibri" w:hAnsi="Calibri"/>
          <w:color w:val="49313B"/>
          <w:sz w:val="22"/>
          <w:szCs w:val="22"/>
        </w:rPr>
        <w:t xml:space="preserve">a high-availability database and a second app instance roughly triple the cloud bill.</w:t>
      </w:r>
    </w:p>
    <w:p>
      <w:pPr>
        <w:keepNext/>
        <w:pBdr>
          <w:bottom w:val="single" w:color="B64D75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4A1B33"/>
          <w:sz w:val="28"/>
          <w:szCs w:val="28"/>
        </w:rPr>
        <w:t xml:space="preserve">7. Notes &amp;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9313B"/>
          <w:sz w:val="22"/>
          <w:szCs w:val="22"/>
        </w:rPr>
        <w:t xml:space="preserve">These are planning estimates based on published list prices and typical early usage, not quotes. Real bills depend on traffic and the provider’s prices at the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9313B"/>
          <w:sz w:val="22"/>
          <w:szCs w:val="22"/>
        </w:rPr>
        <w:t xml:space="preserve">We recommend setting budget alerts on every account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9313B"/>
          <w:sz w:val="22"/>
          <w:szCs w:val="22"/>
        </w:rPr>
        <w:t xml:space="preserve">Not included: development fees (see the quotation), the post-launch maintenance fee (to be agreed), and GST on our own fees.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9313B"/>
          <w:sz w:val="22"/>
          <w:szCs w:val="22"/>
        </w:rPr>
        <w:t xml:space="preserve">Accounts (cloud, SMS, Cloudinary, app stores) are opened in the client’s name so that ownership and billing stay with the client.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96F7D"/>
        <w:sz w:val="17"/>
        <w:szCs w:val="17"/>
      </w:rPr>
      <w:t xml:space="preserve">GetReady · Estimated Monthly Running Costs · Page </w:t>
    </w:r>
    <w:r>
      <w:rPr>
        <w:rFonts w:ascii="Calibri" w:cs="Calibri" w:eastAsia="Calibri" w:hAnsi="Calibri"/>
        <w:color w:val="896F7D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96F7D"/>
        <w:sz w:val="17"/>
        <w:szCs w:val="17"/>
      </w:rPr>
      <w:t xml:space="preserve"> of </w:t>
    </w:r>
    <w:r>
      <w:rPr>
        <w:rFonts w:ascii="Calibri" w:cs="Calibri" w:eastAsia="Calibri" w:hAnsi="Calibri"/>
        <w:color w:val="896F7D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B64D7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GetReady – Estimated Monthly Running Costs</dc:title>
  <dc:creator>Abdur Rehman &amp; Abdul Aziz</dc:creator>
  <cp:lastModifiedBy>Un-named</cp:lastModifiedBy>
  <cp:revision>1</cp:revision>
  <dcterms:created xsi:type="dcterms:W3CDTF">2026-10-21T22:06:42.957Z</dcterms:created>
  <dcterms:modified xsi:type="dcterms:W3CDTF">2026-10-21T22:06:42.965Z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