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64D75"/>
          <w:spacing w:val="60"/>
          <w:sz w:val="20"/>
          <w:szCs w:val="20"/>
        </w:rPr>
        <w:t xml:space="preserve">QUOTATION &amp; AGREEMENT</w:t>
      </w:r>
    </w:p>
    <w:p>
      <w:pPr>
        <w:spacing w:after="80"/>
      </w:pPr>
      <w:r>
        <w:rPr>
          <w:rFonts w:ascii="Calibri" w:cs="Calibri" w:eastAsia="Calibri" w:hAnsi="Calibri"/>
          <w:b/>
          <w:bCs/>
          <w:color w:val="4A1B33"/>
          <w:sz w:val="44"/>
          <w:szCs w:val="44"/>
        </w:rPr>
        <w:t xml:space="preserve">GetReady – Application Development</w:t>
      </w:r>
    </w:p>
    <w:p>
      <w:pPr>
        <w:pBdr>
          <w:bottom w:val="single" w:color="B64D75" w:sz="12" w:space="6"/>
        </w:pBdr>
        <w:spacing w:after="200"/>
      </w:pPr>
      <w:r>
        <w:rPr>
          <w:rFonts w:ascii="Calibri" w:cs="Calibri" w:eastAsia="Calibri" w:hAnsi="Calibri"/>
          <w:color w:val="49313B"/>
          <w:sz w:val="24"/>
          <w:szCs w:val="24"/>
        </w:rPr>
        <w:t xml:space="preserve">Phase 1 &amp; Phase 2 · Milestone-based engagement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CEEF3" w:color="auto" w:val="clear"/>
            <w:tcMar>
              <w:top w:type="dxa" w:w="140"/>
              <w:left w:type="dxa" w:w="200"/>
              <w:bottom w:type="dxa" w:w="140"/>
              <w:right w:type="dxa" w:w="200"/>
            </w:tcMar>
          </w:tcPr>
          <w:p>
            <w:pPr>
              <w:spacing w:after="60"/>
            </w:pPr>
            <w:r>
              <w:rPr>
                <w:rFonts w:ascii="Calibri" w:cs="Calibri" w:eastAsia="Calibri" w:hAnsi="Calibri"/>
                <w:b/>
                <w:bCs/>
                <w:color w:val="B64D75"/>
                <w:spacing w:val="40"/>
                <w:sz w:val="18"/>
                <w:szCs w:val="18"/>
              </w:rPr>
              <w:t xml:space="preserve">PREPARED FOR</w:t>
            </w:r>
          </w:p>
          <w:p>
            <w:pPr>
              <w:spacing w:after="20"/>
            </w:pPr>
            <w:r>
              <w:rPr>
                <w:rFonts w:ascii="Calibri" w:cs="Calibri" w:eastAsia="Calibri" w:hAnsi="Calibri"/>
                <w:b/>
                <w:bCs/>
                <w:color w:val="4A1B33"/>
                <w:sz w:val="24"/>
                <w:szCs w:val="24"/>
              </w:rPr>
              <w:t xml:space="preserve">Yusuf Ismail</w:t>
            </w:r>
          </w:p>
          <w:p>
            <w:pPr>
              <w:spacing w:after="20"/>
            </w:pPr>
            <w:r>
              <w:rPr>
                <w:rFonts w:ascii="Calibri" w:cs="Calibri" w:eastAsia="Calibri" w:hAnsi="Calibri"/>
                <w:color w:val="49313B"/>
                <w:sz w:val="22"/>
                <w:szCs w:val="22"/>
              </w:rPr>
              <w:t xml:space="preserve">GetReady</w:t>
            </w:r>
          </w:p>
          <w:p>
            <w:pPr>
              <w:spacing w:after="0"/>
            </w:pPr>
            <w:r>
              <w:rPr>
                <w:rFonts w:ascii="Calibri" w:cs="Calibri" w:eastAsia="Calibri" w:hAnsi="Calibri"/>
                <w:color w:val="49313B"/>
                <w:sz w:val="22"/>
                <w:szCs w:val="22"/>
              </w:rPr>
              <w:t xml:space="preserve">+965 5062 1146</w:t>
            </w:r>
          </w:p>
        </w:tc>
        <w:tc>
          <w:tcPr>
            <w:tcW w:type="dxa" w:w="4819"/>
            <w:tcBorders>
              <w:top w:val="none" w:color="FFFFFF" w:sz="0"/>
              <w:left w:val="none" w:color="FFFFFF" w:sz="0"/>
              <w:bottom w:val="none" w:color="FFFFFF" w:sz="0"/>
              <w:right w:val="none" w:color="FFFFFF" w:sz="0"/>
            </w:tcBorders>
            <w:shd w:fill="FCEEF3" w:color="auto" w:val="clear"/>
            <w:tcMar>
              <w:top w:type="dxa" w:w="140"/>
              <w:left w:type="dxa" w:w="200"/>
              <w:bottom w:type="dxa" w:w="140"/>
              <w:right w:type="dxa" w:w="200"/>
            </w:tcMar>
          </w:tcPr>
          <w:p>
            <w:pPr>
              <w:spacing w:after="60"/>
            </w:pPr>
            <w:r>
              <w:rPr>
                <w:rFonts w:ascii="Calibri" w:cs="Calibri" w:eastAsia="Calibri" w:hAnsi="Calibri"/>
                <w:b/>
                <w:bCs/>
                <w:color w:val="B64D75"/>
                <w:spacing w:val="40"/>
                <w:sz w:val="18"/>
                <w:szCs w:val="18"/>
              </w:rPr>
              <w:t xml:space="preserve">PREPARED BY</w:t>
            </w:r>
          </w:p>
          <w:p>
            <w:pPr>
              <w:spacing w:after="20"/>
            </w:pPr>
            <w:r>
              <w:rPr>
                <w:rFonts w:ascii="Calibri" w:cs="Calibri" w:eastAsia="Calibri" w:hAnsi="Calibri"/>
                <w:b/>
                <w:bCs/>
                <w:color w:val="4A1B33"/>
                <w:sz w:val="24"/>
                <w:szCs w:val="24"/>
              </w:rPr>
              <w:t xml:space="preserve">Abdur Rehman &amp; Abdul Aziz</w:t>
            </w:r>
          </w:p>
          <w:p>
            <w:pPr>
              <w:spacing w:after="20"/>
            </w:pPr>
            <w:r>
              <w:rPr>
                <w:rFonts w:ascii="Calibri" w:cs="Calibri" w:eastAsia="Calibri" w:hAnsi="Calibri"/>
                <w:color w:val="49313B"/>
                <w:sz w:val="22"/>
                <w:szCs w:val="22"/>
              </w:rPr>
              <w:t xml:space="preserve">Freelance Development Team</w:t>
            </w:r>
          </w:p>
          <w:p>
            <w:pPr>
              <w:spacing w:after="0"/>
            </w:pPr>
            <w:r>
              <w:rPr>
                <w:rFonts w:ascii="Calibri" w:cs="Calibri" w:eastAsia="Calibri" w:hAnsi="Calibri"/>
                <w:color w:val="49313B"/>
                <w:sz w:val="22"/>
                <w:szCs w:val="22"/>
              </w:rPr>
              <w:t xml:space="preserve">+91 72049 77240 · +91 97408 74046</w:t>
            </w:r>
          </w:p>
        </w:tc>
      </w:tr>
    </w:tbl>
    <w:p>
      <w:pPr>
        <w:spacing w:after="60"/>
      </w:pPr>
    </w:p>
    <w:p>
      <w:pPr>
        <w:spacing w:after="60"/>
      </w:pPr>
      <w:r>
        <w:rPr>
          <w:rFonts w:ascii="Calibri" w:cs="Calibri" w:eastAsia="Calibri" w:hAnsi="Calibri"/>
          <w:color w:val="896F7D"/>
          <w:sz w:val="20"/>
          <w:szCs w:val="20"/>
        </w:rPr>
        <w:t xml:space="preserve">Quotation no.  </w:t>
      </w:r>
      <w:r>
        <w:rPr>
          <w:rFonts w:ascii="Calibri" w:cs="Calibri" w:eastAsia="Calibri" w:hAnsi="Calibri"/>
          <w:color w:val="49313B"/>
          <w:sz w:val="21"/>
          <w:szCs w:val="21"/>
        </w:rPr>
        <w:t xml:space="preserve">GR-Q-2026-001</w:t>
      </w:r>
    </w:p>
    <w:p>
      <w:pPr>
        <w:spacing w:after="60"/>
      </w:pPr>
      <w:r>
        <w:rPr>
          <w:rFonts w:ascii="Calibri" w:cs="Calibri" w:eastAsia="Calibri" w:hAnsi="Calibri"/>
          <w:color w:val="896F7D"/>
          <w:sz w:val="20"/>
          <w:szCs w:val="20"/>
        </w:rPr>
        <w:t xml:space="preserve">Date of issue  </w:t>
      </w:r>
      <w:r>
        <w:rPr>
          <w:rFonts w:ascii="Calibri" w:cs="Calibri" w:eastAsia="Calibri" w:hAnsi="Calibri"/>
          <w:color w:val="49313B"/>
          <w:sz w:val="21"/>
          <w:szCs w:val="21"/>
        </w:rPr>
        <w:t xml:space="preserve">22 October 2026</w:t>
      </w:r>
    </w:p>
    <w:p>
      <w:pPr>
        <w:spacing w:after="60"/>
      </w:pPr>
      <w:r>
        <w:rPr>
          <w:rFonts w:ascii="Calibri" w:cs="Calibri" w:eastAsia="Calibri" w:hAnsi="Calibri"/>
          <w:color w:val="896F7D"/>
          <w:sz w:val="20"/>
          <w:szCs w:val="20"/>
        </w:rPr>
        <w:t xml:space="preserve">Valid until  </w:t>
      </w:r>
      <w:r>
        <w:rPr>
          <w:rFonts w:ascii="Calibri" w:cs="Calibri" w:eastAsia="Calibri" w:hAnsi="Calibri"/>
          <w:color w:val="49313B"/>
          <w:sz w:val="21"/>
          <w:szCs w:val="21"/>
        </w:rPr>
        <w:t xml:space="preserve">6 November 2026 (15 days)</w:t>
      </w:r>
    </w:p>
    <w:p>
      <w:pPr>
        <w:spacing w:after="60"/>
      </w:pPr>
      <w:r>
        <w:rPr>
          <w:rFonts w:ascii="Calibri" w:cs="Calibri" w:eastAsia="Calibri" w:hAnsi="Calibri"/>
          <w:color w:val="896F7D"/>
          <w:sz w:val="20"/>
          <w:szCs w:val="20"/>
        </w:rPr>
        <w:t xml:space="preserve">Currency  </w:t>
      </w:r>
      <w:r>
        <w:rPr>
          <w:rFonts w:ascii="Calibri" w:cs="Calibri" w:eastAsia="Calibri" w:hAnsi="Calibri"/>
          <w:color w:val="49313B"/>
          <w:sz w:val="21"/>
          <w:szCs w:val="21"/>
        </w:rPr>
        <w:t xml:space="preserve">Indian Rupees (INR)</w:t>
      </w:r>
    </w:p>
    <w:p>
      <w:pPr>
        <w:keepNext/>
        <w:pBdr>
          <w:bottom w:val="single" w:color="B64D75" w:sz="8" w:space="4"/>
        </w:pBdr>
        <w:spacing w:after="140" w:before="320"/>
      </w:pPr>
      <w:r>
        <w:rPr>
          <w:rFonts w:ascii="Calibri" w:cs="Calibri" w:eastAsia="Calibri" w:hAnsi="Calibri"/>
          <w:b/>
          <w:bCs/>
          <w:color w:val="4A1B33"/>
          <w:sz w:val="28"/>
          <w:szCs w:val="28"/>
        </w:rPr>
        <w:t xml:space="preserve">1. Project Summary</w:t>
      </w:r>
    </w:p>
    <w:p>
      <w:pPr>
        <w:spacing w:after="120" w:line="276"/>
      </w:pPr>
      <w:r>
        <w:rPr>
          <w:rFonts w:ascii="Calibri" w:cs="Calibri" w:eastAsia="Calibri" w:hAnsi="Calibri"/>
          <w:color w:val="49313B"/>
          <w:sz w:val="22"/>
          <w:szCs w:val="22"/>
        </w:rPr>
        <w:t xml:space="preserve">This document sets out the quotation and working terms for the design and development of the GetReady platform, delivered by Abdur Rehman and Abdul Aziz in two phases. Payment is linked to milestones, so the client pays as visible, working progress is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09"/>
      </w:tblGrid>
      <w:tr>
        <w:trPr>
          <w:tblHeader/>
        </w:trPr>
        <w:tc>
          <w:tcPr>
            <w:tcW w:type="dxa" w:w="4819"/>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Component</w:t>
            </w:r>
          </w:p>
        </w:tc>
        <w:tc>
          <w:tcPr>
            <w:tcW w:type="dxa" w:w="241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Phase</w:t>
            </w:r>
          </w:p>
        </w:tc>
        <w:tc>
          <w:tcPr>
            <w:tcW w:type="dxa" w:w="2409"/>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right"/>
            </w:pPr>
            <w:r>
              <w:rPr>
                <w:rFonts w:ascii="Calibri" w:cs="Calibri" w:eastAsia="Calibri" w:hAnsi="Calibri"/>
                <w:b/>
                <w:bCs/>
                <w:color w:val="FFFFFF"/>
                <w:sz w:val="21"/>
                <w:szCs w:val="21"/>
              </w:rPr>
              <w:t xml:space="preserve">Amount (₹)</w:t>
            </w:r>
          </w:p>
        </w:tc>
      </w:tr>
      <w:tr>
        <w:trPr>
          <w:cantSplit/>
        </w:trPr>
        <w:tc>
          <w:tcPr>
            <w:tcW w:type="dxa" w:w="4819"/>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Core platform build and launch</w:t>
            </w:r>
          </w:p>
        </w:tc>
        <w:tc>
          <w:tcPr>
            <w:tcW w:type="dxa" w:w="241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w:t>
            </w:r>
          </w:p>
        </w:tc>
        <w:tc>
          <w:tcPr>
            <w:tcW w:type="dxa" w:w="2409"/>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80,000</w:t>
            </w:r>
          </w:p>
        </w:tc>
      </w:tr>
      <w:tr>
        <w:trPr>
          <w:cantSplit/>
        </w:trPr>
        <w:tc>
          <w:tcPr>
            <w:tcW w:type="dxa" w:w="4819"/>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Phase 2 – Enhancements</w:t>
            </w:r>
          </w:p>
        </w:tc>
        <w:tc>
          <w:tcPr>
            <w:tcW w:type="dxa" w:w="241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Phase 2</w:t>
            </w:r>
          </w:p>
        </w:tc>
        <w:tc>
          <w:tcPr>
            <w:tcW w:type="dxa" w:w="2409"/>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right"/>
            </w:pPr>
            <w:r>
              <w:rPr>
                <w:rFonts w:ascii="Calibri" w:cs="Calibri" w:eastAsia="Calibri" w:hAnsi="Calibri"/>
                <w:color w:val="49313B"/>
                <w:sz w:val="21"/>
                <w:szCs w:val="21"/>
              </w:rPr>
              <w:t xml:space="preserve">45,000</w:t>
            </w:r>
          </w:p>
        </w:tc>
      </w:tr>
      <w:tr>
        <w:tc>
          <w:tcPr>
            <w:tcW w:type="dxa" w:w="4819"/>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Total project cost</w:t>
            </w:r>
          </w:p>
        </w:tc>
        <w:tc>
          <w:tcPr>
            <w:tcW w:type="dxa" w:w="2410"/>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
            </w:r>
          </w:p>
        </w:tc>
        <w:tc>
          <w:tcPr>
            <w:tcW w:type="dxa" w:w="2409"/>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right"/>
            </w:pPr>
            <w:r>
              <w:rPr>
                <w:rFonts w:ascii="Calibri" w:cs="Calibri" w:eastAsia="Calibri" w:hAnsi="Calibri"/>
                <w:b/>
                <w:bCs/>
                <w:color w:val="4A1B33"/>
                <w:sz w:val="21"/>
                <w:szCs w:val="21"/>
              </w:rPr>
              <w:t xml:space="preserve">1,25,000</w:t>
            </w:r>
          </w:p>
        </w:tc>
      </w:tr>
    </w:tbl>
    <w:p>
      <w:pPr>
        <w:keepNext/>
        <w:pBdr>
          <w:bottom w:val="single" w:color="B64D75" w:sz="8" w:space="4"/>
        </w:pBdr>
        <w:spacing w:after="140" w:before="320"/>
      </w:pPr>
      <w:r>
        <w:rPr>
          <w:rFonts w:ascii="Calibri" w:cs="Calibri" w:eastAsia="Calibri" w:hAnsi="Calibri"/>
          <w:b/>
          <w:bCs/>
          <w:color w:val="4A1B33"/>
          <w:sz w:val="28"/>
          <w:szCs w:val="28"/>
        </w:rPr>
        <w:t xml:space="preserve">2. Timeline</w:t>
      </w:r>
    </w:p>
    <w:p>
      <w:pPr>
        <w:pStyle w:val="ListParagraph"/>
        <w:numPr>
          <w:ilvl w:val="0"/>
          <w:numId w:val="2"/>
        </w:numPr>
        <w:spacing w:after="80"/>
      </w:pPr>
      <w:r>
        <w:rPr>
          <w:rFonts w:ascii="Calibri" w:cs="Calibri" w:eastAsia="Calibri" w:hAnsi="Calibri"/>
          <w:b/>
          <w:bCs/>
          <w:color w:val="4A1B33"/>
          <w:sz w:val="22"/>
          <w:szCs w:val="22"/>
        </w:rPr>
        <w:t xml:space="preserve">Phase 1 go-live: </w:t>
      </w:r>
      <w:r>
        <w:rPr>
          <w:rFonts w:ascii="Calibri" w:cs="Calibri" w:eastAsia="Calibri" w:hAnsi="Calibri"/>
          <w:color w:val="49313B"/>
          <w:sz w:val="22"/>
          <w:szCs w:val="22"/>
        </w:rPr>
        <w:t xml:space="preserve">estimated near the end of December 2026.</w:t>
      </w:r>
    </w:p>
    <w:p>
      <w:pPr>
        <w:pStyle w:val="ListParagraph"/>
        <w:numPr>
          <w:ilvl w:val="0"/>
          <w:numId w:val="2"/>
        </w:numPr>
        <w:spacing w:after="80"/>
      </w:pPr>
      <w:r>
        <w:rPr>
          <w:rFonts w:ascii="Calibri" w:cs="Calibri" w:eastAsia="Calibri" w:hAnsi="Calibri"/>
          <w:b/>
          <w:bCs/>
          <w:color w:val="4A1B33"/>
          <w:sz w:val="22"/>
          <w:szCs w:val="22"/>
        </w:rPr>
        <w:t xml:space="preserve">Phase 2: </w:t>
      </w:r>
      <w:r>
        <w:rPr>
          <w:rFonts w:ascii="Calibri" w:cs="Calibri" w:eastAsia="Calibri" w:hAnsi="Calibri"/>
          <w:color w:val="49313B"/>
          <w:sz w:val="22"/>
          <w:szCs w:val="22"/>
        </w:rPr>
        <w:t xml:space="preserve">schedule to be agreed after Phase 1 go-live.</w:t>
      </w:r>
    </w:p>
    <w:p>
      <w:pPr>
        <w:pStyle w:val="ListParagraph"/>
        <w:numPr>
          <w:ilvl w:val="0"/>
          <w:numId w:val="2"/>
        </w:numPr>
        <w:spacing w:after="80"/>
      </w:pPr>
      <w:r>
        <w:rPr>
          <w:rFonts w:ascii="Calibri" w:cs="Calibri" w:eastAsia="Calibri" w:hAnsi="Calibri"/>
          <w:color w:val="49313B"/>
          <w:sz w:val="22"/>
          <w:szCs w:val="22"/>
        </w:rPr>
        <w:t xml:space="preserve">Dates depend on timely feedback, content, credentials and approvals from the client.</w:t>
      </w:r>
    </w:p>
    <w:p>
      <w:r>
        <w:br w:type="page"/>
      </w:r>
    </w:p>
    <w:p>
      <w:pPr>
        <w:keepNext/>
        <w:pBdr>
          <w:bottom w:val="single" w:color="B64D75" w:sz="8" w:space="4"/>
        </w:pBdr>
        <w:spacing w:after="140" w:before="320"/>
      </w:pPr>
      <w:r>
        <w:rPr>
          <w:rFonts w:ascii="Calibri" w:cs="Calibri" w:eastAsia="Calibri" w:hAnsi="Calibri"/>
          <w:b/>
          <w:bCs/>
          <w:color w:val="4A1B33"/>
          <w:sz w:val="28"/>
          <w:szCs w:val="28"/>
        </w:rPr>
        <w:t xml:space="preserve">3. Phase 1 – Payment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tblHeader/>
        </w:trPr>
        <w:tc>
          <w:tcPr>
            <w:tcW w:type="dxa" w:w="7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w:t>
            </w:r>
          </w:p>
        </w:tc>
        <w:tc>
          <w:tcPr>
            <w:tcW w:type="dxa" w:w="6538"/>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Milestone</w:t>
            </w:r>
          </w:p>
        </w:tc>
        <w:tc>
          <w:tcPr>
            <w:tcW w:type="dxa" w:w="24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right"/>
            </w:pPr>
            <w:r>
              <w:rPr>
                <w:rFonts w:ascii="Calibri" w:cs="Calibri" w:eastAsia="Calibri" w:hAnsi="Calibri"/>
                <w:b/>
                <w:bCs/>
                <w:color w:val="FFFFFF"/>
                <w:sz w:val="21"/>
                <w:szCs w:val="21"/>
              </w:rPr>
              <w:t xml:space="preserve">Amount (₹)</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1</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Project kick-off (advance)</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2</w:t>
            </w:r>
          </w:p>
        </w:tc>
        <w:tc>
          <w:tcPr>
            <w:tcW w:type="dxa" w:w="6538"/>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Milestone 1</w:t>
            </w:r>
          </w:p>
        </w:tc>
        <w:tc>
          <w:tcPr>
            <w:tcW w:type="dxa" w:w="24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3</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Milestone 2</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4</w:t>
            </w:r>
          </w:p>
        </w:tc>
        <w:tc>
          <w:tcPr>
            <w:tcW w:type="dxa" w:w="6538"/>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Milestone 3</w:t>
            </w:r>
          </w:p>
        </w:tc>
        <w:tc>
          <w:tcPr>
            <w:tcW w:type="dxa" w:w="24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5</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Milestone 4</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6</w:t>
            </w:r>
          </w:p>
        </w:tc>
        <w:tc>
          <w:tcPr>
            <w:tcW w:type="dxa" w:w="6538"/>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Milestone 5</w:t>
            </w:r>
          </w:p>
        </w:tc>
        <w:tc>
          <w:tcPr>
            <w:tcW w:type="dxa" w:w="24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7</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Final delivery – ready for deployment / go-live</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20,000</w:t>
            </w:r>
          </w:p>
        </w:tc>
      </w:tr>
      <w:tr>
        <w:tc>
          <w:tcPr>
            <w:tcW w:type="dxa" w:w="700"/>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
            </w:r>
          </w:p>
        </w:tc>
        <w:tc>
          <w:tcPr>
            <w:tcW w:type="dxa" w:w="6538"/>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Phase 1 total</w:t>
            </w:r>
          </w:p>
        </w:tc>
        <w:tc>
          <w:tcPr>
            <w:tcW w:type="dxa" w:w="2400"/>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right"/>
            </w:pPr>
            <w:r>
              <w:rPr>
                <w:rFonts w:ascii="Calibri" w:cs="Calibri" w:eastAsia="Calibri" w:hAnsi="Calibri"/>
                <w:b/>
                <w:bCs/>
                <w:color w:val="4A1B33"/>
                <w:sz w:val="21"/>
                <w:szCs w:val="21"/>
              </w:rPr>
              <w:t xml:space="preserve">80,000</w:t>
            </w:r>
          </w:p>
        </w:tc>
      </w:tr>
    </w:tbl>
    <w:p>
      <w:pPr>
        <w:spacing w:before="100"/>
      </w:pPr>
      <w:r>
        <w:rPr>
          <w:rFonts w:ascii="Calibri" w:cs="Calibri" w:eastAsia="Calibri" w:hAnsi="Calibri"/>
          <w:color w:val="896F7D"/>
          <w:sz w:val="20"/>
          <w:szCs w:val="20"/>
        </w:rPr>
        <w:t xml:space="preserve">The deliverables for each milestone are listed in Annexure A and agreed in writing before that milestone begins.</w:t>
      </w:r>
    </w:p>
    <w:p>
      <w:pPr>
        <w:keepNext/>
        <w:pBdr>
          <w:bottom w:val="single" w:color="B64D75" w:sz="8" w:space="4"/>
        </w:pBdr>
        <w:spacing w:after="140" w:before="320"/>
      </w:pPr>
      <w:r>
        <w:rPr>
          <w:rFonts w:ascii="Calibri" w:cs="Calibri" w:eastAsia="Calibri" w:hAnsi="Calibri"/>
          <w:b/>
          <w:bCs/>
          <w:color w:val="4A1B33"/>
          <w:sz w:val="28"/>
          <w:szCs w:val="28"/>
        </w:rPr>
        <w:t xml:space="preserve">4. Phase 2 – Payment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538"/>
        <w:gridCol w:w="2400"/>
      </w:tblGrid>
      <w:tr>
        <w:trPr>
          <w:tblHeader/>
        </w:trPr>
        <w:tc>
          <w:tcPr>
            <w:tcW w:type="dxa" w:w="7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w:t>
            </w:r>
          </w:p>
        </w:tc>
        <w:tc>
          <w:tcPr>
            <w:tcW w:type="dxa" w:w="6538"/>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Milestone</w:t>
            </w:r>
          </w:p>
        </w:tc>
        <w:tc>
          <w:tcPr>
            <w:tcW w:type="dxa" w:w="24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right"/>
            </w:pPr>
            <w:r>
              <w:rPr>
                <w:rFonts w:ascii="Calibri" w:cs="Calibri" w:eastAsia="Calibri" w:hAnsi="Calibri"/>
                <w:b/>
                <w:bCs/>
                <w:color w:val="FFFFFF"/>
                <w:sz w:val="21"/>
                <w:szCs w:val="21"/>
              </w:rPr>
              <w:t xml:space="preserve">Amount (₹)</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1</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2 kick-off (advance)</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10,000</w:t>
            </w:r>
          </w:p>
        </w:tc>
      </w:tr>
      <w:tr>
        <w:trPr>
          <w:cantSplit/>
        </w:trPr>
        <w:tc>
          <w:tcPr>
            <w:tcW w:type="dxa" w:w="7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2</w:t>
            </w:r>
          </w:p>
        </w:tc>
        <w:tc>
          <w:tcPr>
            <w:tcW w:type="dxa" w:w="6538"/>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left"/>
            </w:pPr>
            <w:r>
              <w:rPr>
                <w:rFonts w:ascii="Calibri" w:cs="Calibri" w:eastAsia="Calibri" w:hAnsi="Calibri"/>
                <w:color w:val="49313B"/>
                <w:sz w:val="21"/>
                <w:szCs w:val="21"/>
              </w:rPr>
              <w:t xml:space="preserve">Milestone 1</w:t>
            </w:r>
          </w:p>
        </w:tc>
        <w:tc>
          <w:tcPr>
            <w:tcW w:type="dxa" w:w="2400"/>
            <w:tcBorders>
              <w:top w:val="single" w:color="F0DCE5" w:sz="4"/>
              <w:left w:val="single" w:color="F0DCE5" w:sz="4"/>
              <w:bottom w:val="single" w:color="F0DCE5" w:sz="4"/>
              <w:right w:val="single" w:color="F0DCE5" w:sz="4"/>
            </w:tcBorders>
            <w:shd w:fill="FFF8FB" w:color="auto" w:val="clear"/>
            <w:tcMar>
              <w:top w:type="dxa" w:w="90"/>
              <w:left w:type="dxa" w:w="130"/>
              <w:bottom w:type="dxa" w:w="90"/>
              <w:right w:type="dxa" w:w="130"/>
            </w:tcMar>
          </w:tcPr>
          <w:p>
            <w:pPr>
              <w:jc w:val="right"/>
            </w:pPr>
            <w:r>
              <w:rPr>
                <w:rFonts w:ascii="Calibri" w:cs="Calibri" w:eastAsia="Calibri" w:hAnsi="Calibri"/>
                <w:color w:val="49313B"/>
                <w:sz w:val="21"/>
                <w:szCs w:val="21"/>
              </w:rPr>
              <w:t xml:space="preserve">15,000</w:t>
            </w:r>
          </w:p>
        </w:tc>
      </w:tr>
      <w:tr>
        <w:trPr>
          <w:cantSplit/>
        </w:trPr>
        <w:tc>
          <w:tcPr>
            <w:tcW w:type="dxa" w:w="7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3</w:t>
            </w:r>
          </w:p>
        </w:tc>
        <w:tc>
          <w:tcPr>
            <w:tcW w:type="dxa" w:w="65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Milestone 2</w:t>
            </w:r>
          </w:p>
        </w:tc>
        <w:tc>
          <w:tcPr>
            <w:tcW w:type="dxa" w:w="24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right"/>
            </w:pPr>
            <w:r>
              <w:rPr>
                <w:rFonts w:ascii="Calibri" w:cs="Calibri" w:eastAsia="Calibri" w:hAnsi="Calibri"/>
                <w:color w:val="49313B"/>
                <w:sz w:val="21"/>
                <w:szCs w:val="21"/>
              </w:rPr>
              <w:t xml:space="preserve">20,000</w:t>
            </w:r>
          </w:p>
        </w:tc>
      </w:tr>
      <w:tr>
        <w:tc>
          <w:tcPr>
            <w:tcW w:type="dxa" w:w="700"/>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
            </w:r>
          </w:p>
        </w:tc>
        <w:tc>
          <w:tcPr>
            <w:tcW w:type="dxa" w:w="6538"/>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left"/>
            </w:pPr>
            <w:r>
              <w:rPr>
                <w:rFonts w:ascii="Calibri" w:cs="Calibri" w:eastAsia="Calibri" w:hAnsi="Calibri"/>
                <w:b/>
                <w:bCs/>
                <w:color w:val="4A1B33"/>
                <w:sz w:val="21"/>
                <w:szCs w:val="21"/>
              </w:rPr>
              <w:t xml:space="preserve">Phase 2 total</w:t>
            </w:r>
          </w:p>
        </w:tc>
        <w:tc>
          <w:tcPr>
            <w:tcW w:type="dxa" w:w="2400"/>
            <w:tcBorders>
              <w:top w:val="single" w:color="F0DCE5" w:sz="4"/>
              <w:left w:val="single" w:color="F0DCE5" w:sz="4"/>
              <w:bottom w:val="single" w:color="F0DCE5" w:sz="4"/>
              <w:right w:val="single" w:color="F0DCE5" w:sz="4"/>
            </w:tcBorders>
            <w:shd w:fill="FCEEF3" w:color="auto" w:val="clear"/>
            <w:tcMar>
              <w:top w:type="dxa" w:w="90"/>
              <w:left w:type="dxa" w:w="130"/>
              <w:bottom w:type="dxa" w:w="90"/>
              <w:right w:type="dxa" w:w="130"/>
            </w:tcMar>
          </w:tcPr>
          <w:p>
            <w:pPr>
              <w:jc w:val="right"/>
            </w:pPr>
            <w:r>
              <w:rPr>
                <w:rFonts w:ascii="Calibri" w:cs="Calibri" w:eastAsia="Calibri" w:hAnsi="Calibri"/>
                <w:b/>
                <w:bCs/>
                <w:color w:val="4A1B33"/>
                <w:sz w:val="21"/>
                <w:szCs w:val="21"/>
              </w:rPr>
              <w:t xml:space="preserve">45,000</w:t>
            </w:r>
          </w:p>
        </w:tc>
      </w:tr>
    </w:tbl>
    <w:p>
      <w:pPr>
        <w:keepNext/>
        <w:pBdr>
          <w:bottom w:val="single" w:color="B64D75" w:sz="8" w:space="4"/>
        </w:pBdr>
        <w:spacing w:after="140" w:before="320"/>
      </w:pPr>
      <w:r>
        <w:rPr>
          <w:rFonts w:ascii="Calibri" w:cs="Calibri" w:eastAsia="Calibri" w:hAnsi="Calibri"/>
          <w:b/>
          <w:bCs/>
          <w:color w:val="4A1B33"/>
          <w:sz w:val="28"/>
          <w:szCs w:val="28"/>
        </w:rPr>
        <w:t xml:space="preserve">5. Payment Terms</w:t>
      </w:r>
    </w:p>
    <w:p>
      <w:pPr>
        <w:pStyle w:val="ListParagraph"/>
        <w:numPr>
          <w:ilvl w:val="0"/>
          <w:numId w:val="2"/>
        </w:numPr>
        <w:spacing w:after="80"/>
      </w:pPr>
      <w:r>
        <w:rPr>
          <w:rFonts w:ascii="Calibri" w:cs="Calibri" w:eastAsia="Calibri" w:hAnsi="Calibri"/>
          <w:color w:val="49313B"/>
          <w:sz w:val="22"/>
          <w:szCs w:val="22"/>
        </w:rPr>
        <w:t xml:space="preserve">A milestone is invoiced when it is delivered and demonstrated to the client.</w:t>
      </w:r>
    </w:p>
    <w:p>
      <w:pPr>
        <w:pStyle w:val="ListParagraph"/>
        <w:numPr>
          <w:ilvl w:val="0"/>
          <w:numId w:val="2"/>
        </w:numPr>
        <w:spacing w:after="80"/>
      </w:pPr>
      <w:r>
        <w:rPr>
          <w:rFonts w:ascii="Calibri" w:cs="Calibri" w:eastAsia="Calibri" w:hAnsi="Calibri"/>
          <w:color w:val="49313B"/>
          <w:sz w:val="22"/>
          <w:szCs w:val="22"/>
        </w:rPr>
        <w:t xml:space="preserve">Invoices are payable within 5 working days of issue.</w:t>
      </w:r>
    </w:p>
    <w:p>
      <w:pPr>
        <w:pStyle w:val="ListParagraph"/>
        <w:numPr>
          <w:ilvl w:val="0"/>
          <w:numId w:val="2"/>
        </w:numPr>
        <w:spacing w:after="80"/>
      </w:pPr>
      <w:r>
        <w:rPr>
          <w:rFonts w:ascii="Calibri" w:cs="Calibri" w:eastAsia="Calibri" w:hAnsi="Calibri"/>
          <w:color w:val="49313B"/>
          <w:sz w:val="22"/>
          <w:szCs w:val="22"/>
        </w:rPr>
        <w:t xml:space="preserve">A milestone is deemed accepted if the client gives no written feedback within 5 working days of the demonstration.</w:t>
      </w:r>
    </w:p>
    <w:p>
      <w:pPr>
        <w:pStyle w:val="ListParagraph"/>
        <w:numPr>
          <w:ilvl w:val="0"/>
          <w:numId w:val="2"/>
        </w:numPr>
        <w:spacing w:after="80"/>
      </w:pPr>
      <w:r>
        <w:rPr>
          <w:rFonts w:ascii="Calibri" w:cs="Calibri" w:eastAsia="Calibri" w:hAnsi="Calibri"/>
          <w:color w:val="49313B"/>
          <w:sz w:val="22"/>
          <w:szCs w:val="22"/>
        </w:rPr>
        <w:t xml:space="preserve">The final Phase 1 payment falls due on delivery of a deployment-ready build, or at go-live, whichever is earlier.</w:t>
      </w:r>
    </w:p>
    <w:p>
      <w:pPr>
        <w:pStyle w:val="ListParagraph"/>
        <w:numPr>
          <w:ilvl w:val="0"/>
          <w:numId w:val="2"/>
        </w:numPr>
        <w:spacing w:after="80"/>
      </w:pPr>
      <w:r>
        <w:rPr>
          <w:rFonts w:ascii="Calibri" w:cs="Calibri" w:eastAsia="Calibri" w:hAnsi="Calibri"/>
          <w:color w:val="49313B"/>
          <w:sz w:val="22"/>
          <w:szCs w:val="22"/>
        </w:rPr>
        <w:t xml:space="preserve">Applicable taxes and any bank or transfer charges are borne by the client.</w:t>
      </w:r>
    </w:p>
    <w:p>
      <w:pPr>
        <w:pStyle w:val="ListParagraph"/>
        <w:numPr>
          <w:ilvl w:val="0"/>
          <w:numId w:val="2"/>
        </w:numPr>
        <w:spacing w:after="80"/>
      </w:pPr>
      <w:r>
        <w:rPr>
          <w:rFonts w:ascii="Calibri" w:cs="Calibri" w:eastAsia="Calibri" w:hAnsi="Calibri"/>
          <w:color w:val="49313B"/>
          <w:sz w:val="22"/>
          <w:szCs w:val="22"/>
        </w:rPr>
        <w:t xml:space="preserve">Third-party costs (cloud hosting, SMS/OTP, storage, app-store fees) are paid by the client directly and are not included in this quotation.</w:t>
      </w:r>
    </w:p>
    <w:p>
      <w:pPr>
        <w:keepNext/>
        <w:pBdr>
          <w:bottom w:val="single" w:color="B64D75" w:sz="8" w:space="4"/>
        </w:pBdr>
        <w:spacing w:after="140" w:before="320"/>
      </w:pPr>
      <w:r>
        <w:rPr>
          <w:rFonts w:ascii="Calibri" w:cs="Calibri" w:eastAsia="Calibri" w:hAnsi="Calibri"/>
          <w:b/>
          <w:bCs/>
          <w:color w:val="4A1B33"/>
          <w:sz w:val="28"/>
          <w:szCs w:val="28"/>
        </w:rPr>
        <w:t xml:space="preserve">6. Working Model – Agile / Scrum</w:t>
      </w:r>
    </w:p>
    <w:p>
      <w:pPr>
        <w:spacing w:after="120" w:line="276"/>
      </w:pPr>
      <w:r>
        <w:rPr>
          <w:rFonts w:ascii="Calibri" w:cs="Calibri" w:eastAsia="Calibri" w:hAnsi="Calibri"/>
          <w:color w:val="49313B"/>
          <w:sz w:val="22"/>
          <w:szCs w:val="22"/>
        </w:rPr>
        <w:t xml:space="preserve">To keep the client and the developers aligned on needs and priorities, we recommend:</w:t>
      </w:r>
    </w:p>
    <w:p>
      <w:pPr>
        <w:pStyle w:val="ListParagraph"/>
        <w:numPr>
          <w:ilvl w:val="0"/>
          <w:numId w:val="2"/>
        </w:numPr>
        <w:spacing w:after="80"/>
      </w:pPr>
      <w:r>
        <w:rPr>
          <w:rFonts w:ascii="Calibri" w:cs="Calibri" w:eastAsia="Calibri" w:hAnsi="Calibri"/>
          <w:b/>
          <w:bCs/>
          <w:color w:val="4A1B33"/>
          <w:sz w:val="22"/>
          <w:szCs w:val="22"/>
        </w:rPr>
        <w:t xml:space="preserve">Two Google Meet sessions every week</w:t>
      </w:r>
      <w:r>
        <w:rPr>
          <w:rFonts w:ascii="Calibri" w:cs="Calibri" w:eastAsia="Calibri" w:hAnsi="Calibri"/>
          <w:color w:val="49313B"/>
          <w:sz w:val="22"/>
          <w:szCs w:val="22"/>
        </w:rPr>
        <w:t xml:space="preserve"> – one for planning and sync, one for review and demo.</w:t>
      </w:r>
    </w:p>
    <w:p>
      <w:pPr>
        <w:pStyle w:val="ListParagraph"/>
        <w:numPr>
          <w:ilvl w:val="0"/>
          <w:numId w:val="2"/>
        </w:numPr>
        <w:spacing w:after="80"/>
      </w:pPr>
      <w:r>
        <w:rPr>
          <w:rFonts w:ascii="Calibri" w:cs="Calibri" w:eastAsia="Calibri" w:hAnsi="Calibri"/>
          <w:color w:val="49313B"/>
          <w:sz w:val="22"/>
          <w:szCs w:val="22"/>
        </w:rPr>
        <w:t xml:space="preserve">Short, milestone-based sprints, each ending with a working demo.</w:t>
      </w:r>
    </w:p>
    <w:p>
      <w:pPr>
        <w:pStyle w:val="ListParagraph"/>
        <w:numPr>
          <w:ilvl w:val="0"/>
          <w:numId w:val="2"/>
        </w:numPr>
        <w:spacing w:after="80"/>
      </w:pPr>
      <w:r>
        <w:rPr>
          <w:rFonts w:ascii="Calibri" w:cs="Calibri" w:eastAsia="Calibri" w:hAnsi="Calibri"/>
          <w:color w:val="49313B"/>
          <w:sz w:val="22"/>
          <w:szCs w:val="22"/>
        </w:rPr>
        <w:t xml:space="preserve">Feedback and priorities recorded after every meeting.</w:t>
      </w:r>
    </w:p>
    <w:p>
      <w:pPr>
        <w:pStyle w:val="ListParagraph"/>
        <w:numPr>
          <w:ilvl w:val="0"/>
          <w:numId w:val="2"/>
        </w:numPr>
        <w:spacing w:after="80"/>
      </w:pPr>
      <w:r>
        <w:rPr>
          <w:rFonts w:ascii="Calibri" w:cs="Calibri" w:eastAsia="Calibri" w:hAnsi="Calibri"/>
          <w:color w:val="49313B"/>
          <w:sz w:val="22"/>
          <w:szCs w:val="22"/>
        </w:rPr>
        <w:t xml:space="preserve">A shared chat channel for quick questions between meetings.</w:t>
      </w:r>
    </w:p>
    <w:p>
      <w:pPr>
        <w:keepNext/>
        <w:pBdr>
          <w:bottom w:val="single" w:color="B64D75" w:sz="8" w:space="4"/>
        </w:pBdr>
        <w:spacing w:after="140" w:before="320"/>
      </w:pPr>
      <w:r>
        <w:rPr>
          <w:rFonts w:ascii="Calibri" w:cs="Calibri" w:eastAsia="Calibri" w:hAnsi="Calibri"/>
          <w:b/>
          <w:bCs/>
          <w:color w:val="4A1B33"/>
          <w:sz w:val="28"/>
          <w:szCs w:val="28"/>
        </w:rPr>
        <w:t xml:space="preserve">7. Post-Launch Support &amp; Maintenance</w:t>
      </w:r>
    </w:p>
    <w:p>
      <w:pPr>
        <w:pStyle w:val="ListParagraph"/>
        <w:numPr>
          <w:ilvl w:val="0"/>
          <w:numId w:val="2"/>
        </w:numPr>
        <w:spacing w:after="80"/>
      </w:pPr>
      <w:r>
        <w:rPr>
          <w:rFonts w:ascii="Calibri" w:cs="Calibri" w:eastAsia="Calibri" w:hAnsi="Calibri"/>
          <w:color w:val="49313B"/>
          <w:sz w:val="22"/>
          <w:szCs w:val="22"/>
        </w:rPr>
        <w:t xml:space="preserve">Bug fixes for defects in delivered scope are provided free for 30 days after Phase 1 go-live.</w:t>
      </w:r>
    </w:p>
    <w:p>
      <w:pPr>
        <w:pStyle w:val="ListParagraph"/>
        <w:numPr>
          <w:ilvl w:val="0"/>
          <w:numId w:val="2"/>
        </w:numPr>
        <w:spacing w:after="80"/>
      </w:pPr>
      <w:r>
        <w:rPr>
          <w:rFonts w:ascii="Calibri" w:cs="Calibri" w:eastAsia="Calibri" w:hAnsi="Calibri"/>
          <w:color w:val="49313B"/>
          <w:sz w:val="22"/>
          <w:szCs w:val="22"/>
        </w:rPr>
        <w:t xml:space="preserve">The ongoing maintenance fee (support, updates, hosting upkeep) is not fixed at this stage. It will be agreed jointly after the product’s market response is known.</w:t>
      </w:r>
    </w:p>
    <w:p>
      <w:pPr>
        <w:keepNext/>
        <w:pBdr>
          <w:bottom w:val="single" w:color="B64D75" w:sz="8" w:space="4"/>
        </w:pBdr>
        <w:spacing w:after="140" w:before="320"/>
      </w:pPr>
      <w:r>
        <w:rPr>
          <w:rFonts w:ascii="Calibri" w:cs="Calibri" w:eastAsia="Calibri" w:hAnsi="Calibri"/>
          <w:b/>
          <w:bCs/>
          <w:color w:val="4A1B33"/>
          <w:sz w:val="28"/>
          <w:szCs w:val="28"/>
        </w:rPr>
        <w:t xml:space="preserve">8. Terms &amp; Conditions</w:t>
      </w:r>
    </w:p>
    <w:p>
      <w:pPr>
        <w:pStyle w:val="ListParagraph"/>
        <w:numPr>
          <w:ilvl w:val="0"/>
          <w:numId w:val="3"/>
        </w:numPr>
        <w:spacing w:after="100" w:line="276"/>
      </w:pPr>
      <w:r>
        <w:rPr>
          <w:rFonts w:ascii="Calibri" w:cs="Calibri" w:eastAsia="Calibri" w:hAnsi="Calibri"/>
          <w:b/>
          <w:bCs/>
          <w:color w:val="4A1B33"/>
          <w:sz w:val="22"/>
          <w:szCs w:val="22"/>
        </w:rPr>
        <w:t xml:space="preserve">Developer exit. </w:t>
      </w:r>
      <w:r>
        <w:rPr>
          <w:rFonts w:ascii="Calibri" w:cs="Calibri" w:eastAsia="Calibri" w:hAnsi="Calibri"/>
          <w:color w:val="49313B"/>
          <w:sz w:val="22"/>
          <w:szCs w:val="22"/>
        </w:rPr>
        <w:t xml:space="preserve">If the development team discontinues the project, it will refund 70% of the amount received for the milestones completed up to that point, and will hand over all work completed so far.</w:t>
      </w:r>
    </w:p>
    <w:p>
      <w:pPr>
        <w:pStyle w:val="ListParagraph"/>
        <w:numPr>
          <w:ilvl w:val="0"/>
          <w:numId w:val="3"/>
        </w:numPr>
        <w:spacing w:after="100" w:line="276"/>
      </w:pPr>
      <w:r>
        <w:rPr>
          <w:rFonts w:ascii="Calibri" w:cs="Calibri" w:eastAsia="Calibri" w:hAnsi="Calibri"/>
          <w:b/>
          <w:bCs/>
          <w:color w:val="4A1B33"/>
          <w:sz w:val="22"/>
          <w:szCs w:val="22"/>
        </w:rPr>
        <w:t xml:space="preserve">Client exit. </w:t>
      </w:r>
      <w:r>
        <w:rPr>
          <w:rFonts w:ascii="Calibri" w:cs="Calibri" w:eastAsia="Calibri" w:hAnsi="Calibri"/>
          <w:color w:val="49313B"/>
          <w:sz w:val="22"/>
          <w:szCs w:val="22"/>
        </w:rPr>
        <w:t xml:space="preserve">If the client stops the project, or is not satisfied and wishes to exit, the development team owes no refund or compensation. Amounts already paid are non-refundable, and any completed or in-progress milestone is payable. On clearance of dues, a complete handover package (source files and documentation) will be given to the client.</w:t>
      </w:r>
    </w:p>
    <w:p>
      <w:pPr>
        <w:pStyle w:val="ListParagraph"/>
        <w:numPr>
          <w:ilvl w:val="0"/>
          <w:numId w:val="3"/>
        </w:numPr>
        <w:spacing w:after="100" w:line="276"/>
      </w:pPr>
      <w:r>
        <w:rPr>
          <w:rFonts w:ascii="Calibri" w:cs="Calibri" w:eastAsia="Calibri" w:hAnsi="Calibri"/>
          <w:b/>
          <w:bCs/>
          <w:color w:val="4A1B33"/>
          <w:sz w:val="22"/>
          <w:szCs w:val="22"/>
        </w:rPr>
        <w:t xml:space="preserve">Change requests. </w:t>
      </w:r>
      <w:r>
        <w:rPr>
          <w:rFonts w:ascii="Calibri" w:cs="Calibri" w:eastAsia="Calibri" w:hAnsi="Calibri"/>
          <w:color w:val="49313B"/>
          <w:sz w:val="22"/>
          <w:szCs w:val="22"/>
        </w:rPr>
        <w:t xml:space="preserve">Work outside the agreed scope is quoted separately and begins only after written approval.</w:t>
      </w:r>
    </w:p>
    <w:p>
      <w:pPr>
        <w:pStyle w:val="ListParagraph"/>
        <w:numPr>
          <w:ilvl w:val="0"/>
          <w:numId w:val="3"/>
        </w:numPr>
        <w:spacing w:after="100" w:line="276"/>
      </w:pPr>
      <w:r>
        <w:rPr>
          <w:rFonts w:ascii="Calibri" w:cs="Calibri" w:eastAsia="Calibri" w:hAnsi="Calibri"/>
          <w:b/>
          <w:bCs/>
          <w:color w:val="4A1B33"/>
          <w:sz w:val="22"/>
          <w:szCs w:val="22"/>
        </w:rPr>
        <w:t xml:space="preserve">Ownership. </w:t>
      </w:r>
      <w:r>
        <w:rPr>
          <w:rFonts w:ascii="Calibri" w:cs="Calibri" w:eastAsia="Calibri" w:hAnsi="Calibri"/>
          <w:color w:val="49313B"/>
          <w:sz w:val="22"/>
          <w:szCs w:val="22"/>
        </w:rPr>
        <w:t xml:space="preserve">On receipt of full payment for a phase, ownership of the deliverables of that phase passes to the client. The team may reference the project in its portfolio unless the client objects in writing.</w:t>
      </w:r>
    </w:p>
    <w:p>
      <w:pPr>
        <w:pStyle w:val="ListParagraph"/>
        <w:numPr>
          <w:ilvl w:val="0"/>
          <w:numId w:val="3"/>
        </w:numPr>
        <w:spacing w:after="100" w:line="276"/>
      </w:pPr>
      <w:r>
        <w:rPr>
          <w:rFonts w:ascii="Calibri" w:cs="Calibri" w:eastAsia="Calibri" w:hAnsi="Calibri"/>
          <w:b/>
          <w:bCs/>
          <w:color w:val="4A1B33"/>
          <w:sz w:val="22"/>
          <w:szCs w:val="22"/>
        </w:rPr>
        <w:t xml:space="preserve">Client responsibilities. </w:t>
      </w:r>
      <w:r>
        <w:rPr>
          <w:rFonts w:ascii="Calibri" w:cs="Calibri" w:eastAsia="Calibri" w:hAnsi="Calibri"/>
          <w:color w:val="49313B"/>
          <w:sz w:val="22"/>
          <w:szCs w:val="22"/>
        </w:rPr>
        <w:t xml:space="preserve">Timely feedback, content, credentials and approvals. Delays caused by the client extend the timeline accordingly.</w:t>
      </w:r>
    </w:p>
    <w:p>
      <w:pPr>
        <w:pStyle w:val="ListParagraph"/>
        <w:numPr>
          <w:ilvl w:val="0"/>
          <w:numId w:val="3"/>
        </w:numPr>
        <w:spacing w:after="100" w:line="276"/>
      </w:pPr>
      <w:r>
        <w:rPr>
          <w:rFonts w:ascii="Calibri" w:cs="Calibri" w:eastAsia="Calibri" w:hAnsi="Calibri"/>
          <w:b/>
          <w:bCs/>
          <w:color w:val="4A1B33"/>
          <w:sz w:val="22"/>
          <w:szCs w:val="22"/>
        </w:rPr>
        <w:t xml:space="preserve">Confidentiality. </w:t>
      </w:r>
      <w:r>
        <w:rPr>
          <w:rFonts w:ascii="Calibri" w:cs="Calibri" w:eastAsia="Calibri" w:hAnsi="Calibri"/>
          <w:color w:val="49313B"/>
          <w:sz w:val="22"/>
          <w:szCs w:val="22"/>
        </w:rPr>
        <w:t xml:space="preserve">Both parties will keep non-public project information confidential.</w:t>
      </w:r>
    </w:p>
    <w:p>
      <w:pPr>
        <w:pStyle w:val="ListParagraph"/>
        <w:numPr>
          <w:ilvl w:val="0"/>
          <w:numId w:val="3"/>
        </w:numPr>
        <w:spacing w:after="100" w:line="276"/>
      </w:pPr>
      <w:r>
        <w:rPr>
          <w:rFonts w:ascii="Calibri" w:cs="Calibri" w:eastAsia="Calibri" w:hAnsi="Calibri"/>
          <w:b/>
          <w:bCs/>
          <w:color w:val="4A1B33"/>
          <w:sz w:val="22"/>
          <w:szCs w:val="22"/>
        </w:rPr>
        <w:t xml:space="preserve">Governing law. </w:t>
      </w:r>
      <w:r>
        <w:rPr>
          <w:rFonts w:ascii="Calibri" w:cs="Calibri" w:eastAsia="Calibri" w:hAnsi="Calibri"/>
          <w:color w:val="49313B"/>
          <w:sz w:val="22"/>
          <w:szCs w:val="22"/>
        </w:rPr>
        <w:t xml:space="preserve">This agreement is governed by the laws of India. Disputes will first be resolved by mutual discussion, failing which the courts of Bengaluru, Karnataka will have jurisdiction.</w:t>
      </w:r>
    </w:p>
    <w:p>
      <w:pPr>
        <w:keepNext/>
        <w:pBdr>
          <w:bottom w:val="single" w:color="B64D75" w:sz="8" w:space="4"/>
        </w:pBdr>
        <w:spacing w:after="140" w:before="320"/>
      </w:pPr>
      <w:r>
        <w:rPr>
          <w:rFonts w:ascii="Calibri" w:cs="Calibri" w:eastAsia="Calibri" w:hAnsi="Calibri"/>
          <w:b/>
          <w:bCs/>
          <w:color w:val="4A1B33"/>
          <w:sz w:val="28"/>
          <w:szCs w:val="28"/>
        </w:rPr>
        <w:t xml:space="preserve">9. Acceptance</w:t>
      </w:r>
    </w:p>
    <w:p>
      <w:pPr>
        <w:spacing w:after="120" w:line="276"/>
      </w:pPr>
      <w:r>
        <w:rPr>
          <w:rFonts w:ascii="Calibri" w:cs="Calibri" w:eastAsia="Calibri" w:hAnsi="Calibri"/>
          <w:color w:val="49313B"/>
          <w:sz w:val="22"/>
          <w:szCs w:val="22"/>
        </w:rPr>
        <w:t xml:space="preserve">By signing below, the parties accept this quotation and its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100"/>
              <w:left w:type="dxa" w:w="0"/>
              <w:bottom w:type="dxa" w:w="100"/>
              <w:right w:type="dxa" w:w="240"/>
            </w:tcMar>
          </w:tcPr>
          <w:p>
            <w:pPr>
              <w:spacing w:after="360"/>
            </w:pPr>
            <w:r>
              <w:rPr>
                <w:rFonts w:ascii="Calibri" w:cs="Calibri" w:eastAsia="Calibri" w:hAnsi="Calibri"/>
                <w:b/>
                <w:bCs/>
                <w:color w:val="B64D75"/>
                <w:spacing w:val="40"/>
                <w:sz w:val="18"/>
                <w:szCs w:val="18"/>
              </w:rPr>
              <w:t xml:space="preserve">FOR THE CLIENT – GETREADY</w:t>
            </w:r>
          </w:p>
          <w:p>
            <w:pPr>
              <w:pBdr>
                <w:top w:val="single" w:color="49313B" w:sz="6" w:space="4"/>
              </w:pBdr>
              <w:spacing w:after="40"/>
            </w:pPr>
            <w:r>
              <w:rPr>
                <w:rFonts w:ascii="Calibri" w:cs="Calibri" w:eastAsia="Calibri" w:hAnsi="Calibri"/>
                <w:b/>
                <w:bCs/>
                <w:color w:val="4A1B33"/>
                <w:sz w:val="22"/>
                <w:szCs w:val="22"/>
              </w:rPr>
              <w:t xml:space="preserve">Yusuf Ismail</w:t>
            </w:r>
          </w:p>
          <w:p>
            <w:r>
              <w:rPr>
                <w:rFonts w:ascii="Calibri" w:cs="Calibri" w:eastAsia="Calibri" w:hAnsi="Calibri"/>
                <w:color w:val="896F7D"/>
                <w:sz w:val="20"/>
                <w:szCs w:val="20"/>
              </w:rPr>
              <w:t xml:space="preserve">Date: ____ / ____ / ________</w:t>
            </w:r>
          </w:p>
        </w:tc>
        <w:tc>
          <w:tcPr>
            <w:tcW w:type="dxa" w:w="4819"/>
            <w:tcBorders>
              <w:top w:val="none" w:color="FFFFFF" w:sz="0"/>
              <w:left w:val="none" w:color="FFFFFF" w:sz="0"/>
              <w:bottom w:val="none" w:color="FFFFFF" w:sz="0"/>
              <w:right w:val="none" w:color="FFFFFF" w:sz="0"/>
            </w:tcBorders>
            <w:tcMar>
              <w:top w:type="dxa" w:w="100"/>
              <w:left w:type="dxa" w:w="0"/>
              <w:bottom w:type="dxa" w:w="100"/>
              <w:right w:type="dxa" w:w="240"/>
            </w:tcMar>
          </w:tcPr>
          <w:p>
            <w:pPr>
              <w:spacing w:after="360"/>
            </w:pPr>
            <w:r>
              <w:rPr>
                <w:rFonts w:ascii="Calibri" w:cs="Calibri" w:eastAsia="Calibri" w:hAnsi="Calibri"/>
                <w:b/>
                <w:bCs/>
                <w:color w:val="B64D75"/>
                <w:spacing w:val="40"/>
                <w:sz w:val="18"/>
                <w:szCs w:val="18"/>
              </w:rPr>
              <w:t xml:space="preserve">FOR THE DEVELOPMENT TEAM</w:t>
            </w:r>
          </w:p>
          <w:p>
            <w:pPr>
              <w:pBdr>
                <w:top w:val="single" w:color="49313B" w:sz="6" w:space="4"/>
              </w:pBdr>
              <w:spacing w:after="40"/>
            </w:pPr>
            <w:r>
              <w:rPr>
                <w:rFonts w:ascii="Calibri" w:cs="Calibri" w:eastAsia="Calibri" w:hAnsi="Calibri"/>
                <w:b/>
                <w:bCs/>
                <w:color w:val="4A1B33"/>
                <w:sz w:val="22"/>
                <w:szCs w:val="22"/>
              </w:rPr>
              <w:t xml:space="preserve">Abdur Rehman</w:t>
            </w:r>
          </w:p>
          <w:p>
            <w:r>
              <w:rPr>
                <w:rFonts w:ascii="Calibri" w:cs="Calibri" w:eastAsia="Calibri" w:hAnsi="Calibri"/>
                <w:color w:val="896F7D"/>
                <w:sz w:val="20"/>
                <w:szCs w:val="20"/>
              </w:rPr>
              <w:t xml:space="preserve">Date: ____ / ____ / ________</w:t>
            </w:r>
          </w:p>
        </w:tc>
      </w:tr>
      <w:tr>
        <w:trPr>
          <w:cantSplit/>
        </w:trPr>
        <w:tc>
          <w:tcPr>
            <w:tcW w:type="dxa" w:w="4819"/>
            <w:tcBorders>
              <w:top w:val="none" w:color="FFFFFF" w:sz="0"/>
              <w:left w:val="none" w:color="FFFFFF" w:sz="0"/>
              <w:bottom w:val="none" w:color="FFFFFF" w:sz="0"/>
              <w:right w:val="none" w:color="FFFFFF" w:sz="0"/>
            </w:tcBorders>
            <w:tcMar>
              <w:top w:type="dxa" w:w="100"/>
              <w:left w:type="dxa" w:w="0"/>
              <w:bottom w:type="dxa" w:w="100"/>
              <w:right w:type="dxa" w:w="240"/>
            </w:tcMar>
          </w:tcPr>
          <w:p>
            <w:pPr>
              <w:spacing w:after="360"/>
            </w:pPr>
            <w:r>
              <w:rPr>
                <w:rFonts w:ascii="Calibri" w:cs="Calibri" w:eastAsia="Calibri" w:hAnsi="Calibri"/>
                <w:b/>
                <w:bCs/>
                <w:color w:val="B64D75"/>
                <w:spacing w:val="40"/>
                <w:sz w:val="18"/>
                <w:szCs w:val="18"/>
              </w:rPr>
              <w:t xml:space="preserve"> </w:t>
            </w:r>
          </w:p>
          <w:p>
            <w:pPr>
              <w:pBdr>
                <w:top w:val="single" w:color="49313B" w:sz="6" w:space="4"/>
              </w:pBdr>
              <w:spacing w:after="40"/>
            </w:pPr>
            <w:r>
              <w:rPr>
                <w:rFonts w:ascii="Calibri" w:cs="Calibri" w:eastAsia="Calibri" w:hAnsi="Calibri"/>
                <w:b/>
                <w:bCs/>
                <w:color w:val="4A1B33"/>
                <w:sz w:val="22"/>
                <w:szCs w:val="22"/>
              </w:rPr>
              <w:t xml:space="preserve"> </w:t>
            </w:r>
          </w:p>
          <w:p>
            <w:r>
              <w:rPr>
                <w:rFonts w:ascii="Calibri" w:cs="Calibri" w:eastAsia="Calibri" w:hAnsi="Calibri"/>
                <w:color w:val="896F7D"/>
                <w:sz w:val="20"/>
                <w:szCs w:val="20"/>
              </w:rPr>
              <w:t xml:space="preserve">Date: ____ / ____ / ________</w:t>
            </w:r>
          </w:p>
        </w:tc>
        <w:tc>
          <w:tcPr>
            <w:tcW w:type="dxa" w:w="4819"/>
            <w:tcBorders>
              <w:top w:val="none" w:color="FFFFFF" w:sz="0"/>
              <w:left w:val="none" w:color="FFFFFF" w:sz="0"/>
              <w:bottom w:val="none" w:color="FFFFFF" w:sz="0"/>
              <w:right w:val="none" w:color="FFFFFF" w:sz="0"/>
            </w:tcBorders>
            <w:tcMar>
              <w:top w:type="dxa" w:w="100"/>
              <w:left w:type="dxa" w:w="0"/>
              <w:bottom w:type="dxa" w:w="100"/>
              <w:right w:type="dxa" w:w="240"/>
            </w:tcMar>
          </w:tcPr>
          <w:p>
            <w:pPr>
              <w:spacing w:after="360"/>
            </w:pPr>
            <w:r>
              <w:rPr>
                <w:rFonts w:ascii="Calibri" w:cs="Calibri" w:eastAsia="Calibri" w:hAnsi="Calibri"/>
                <w:b/>
                <w:bCs/>
                <w:color w:val="B64D75"/>
                <w:spacing w:val="40"/>
                <w:sz w:val="18"/>
                <w:szCs w:val="18"/>
              </w:rPr>
              <w:t xml:space="preserve"> </w:t>
            </w:r>
          </w:p>
          <w:p>
            <w:pPr>
              <w:pBdr>
                <w:top w:val="single" w:color="49313B" w:sz="6" w:space="4"/>
              </w:pBdr>
              <w:spacing w:after="40"/>
            </w:pPr>
            <w:r>
              <w:rPr>
                <w:rFonts w:ascii="Calibri" w:cs="Calibri" w:eastAsia="Calibri" w:hAnsi="Calibri"/>
                <w:b/>
                <w:bCs/>
                <w:color w:val="4A1B33"/>
                <w:sz w:val="22"/>
                <w:szCs w:val="22"/>
              </w:rPr>
              <w:t xml:space="preserve">Abdul Aziz</w:t>
            </w:r>
          </w:p>
          <w:p>
            <w:r>
              <w:rPr>
                <w:rFonts w:ascii="Calibri" w:cs="Calibri" w:eastAsia="Calibri" w:hAnsi="Calibri"/>
                <w:color w:val="896F7D"/>
                <w:sz w:val="20"/>
                <w:szCs w:val="20"/>
              </w:rPr>
              <w:t xml:space="preserve">Date: ____ / ____ / ________</w:t>
            </w:r>
          </w:p>
        </w:tc>
      </w:tr>
    </w:tbl>
    <w:p>
      <w:r>
        <w:br w:type="page"/>
      </w:r>
    </w:p>
    <w:p>
      <w:pPr>
        <w:keepNext/>
        <w:pBdr>
          <w:bottom w:val="single" w:color="B64D75" w:sz="8" w:space="4"/>
        </w:pBdr>
        <w:spacing w:after="140" w:before="320"/>
      </w:pPr>
      <w:r>
        <w:rPr>
          <w:rFonts w:ascii="Calibri" w:cs="Calibri" w:eastAsia="Calibri" w:hAnsi="Calibri"/>
          <w:b/>
          <w:bCs/>
          <w:color w:val="4A1B33"/>
          <w:sz w:val="28"/>
          <w:szCs w:val="28"/>
        </w:rPr>
        <w:t xml:space="preserve">Annexure A – Milestone Deliverables</w:t>
      </w:r>
    </w:p>
    <w:p>
      <w:pPr>
        <w:spacing w:after="120" w:line="276"/>
      </w:pPr>
      <w:r>
        <w:rPr>
          <w:rFonts w:ascii="Calibri" w:cs="Calibri" w:eastAsia="Calibri" w:hAnsi="Calibri"/>
          <w:color w:val="49313B"/>
          <w:sz w:val="22"/>
          <w:szCs w:val="22"/>
        </w:rPr>
        <w:t xml:space="preserve">Deliverables for each milestone are filled in jointly and signed off before the milestone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tblHeader/>
        </w:trPr>
        <w:tc>
          <w:tcPr>
            <w:tcW w:type="dxa" w:w="26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Milestone</w:t>
            </w:r>
          </w:p>
        </w:tc>
        <w:tc>
          <w:tcPr>
            <w:tcW w:type="dxa" w:w="5238"/>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Deliverables</w:t>
            </w:r>
          </w:p>
        </w:tc>
        <w:tc>
          <w:tcPr>
            <w:tcW w:type="dxa" w:w="1800"/>
            <w:tcBorders>
              <w:top w:val="single" w:color="F0DCE5" w:sz="4"/>
              <w:left w:val="single" w:color="F0DCE5" w:sz="4"/>
              <w:bottom w:val="single" w:color="F0DCE5" w:sz="4"/>
              <w:right w:val="single" w:color="F0DCE5" w:sz="4"/>
            </w:tcBorders>
            <w:shd w:fill="4A1B33" w:color="auto" w:val="clear"/>
            <w:tcMar>
              <w:top w:type="dxa" w:w="90"/>
              <w:left w:type="dxa" w:w="130"/>
              <w:bottom w:type="dxa" w:w="90"/>
              <w:right w:type="dxa" w:w="130"/>
            </w:tcMar>
          </w:tcPr>
          <w:p>
            <w:pPr>
              <w:jc w:val="left"/>
            </w:pPr>
            <w:r>
              <w:rPr>
                <w:rFonts w:ascii="Calibri" w:cs="Calibri" w:eastAsia="Calibri" w:hAnsi="Calibri"/>
                <w:b/>
                <w:bCs/>
                <w:color w:val="FFFFFF"/>
                <w:sz w:val="21"/>
                <w:szCs w:val="21"/>
              </w:rPr>
              <w:t xml:space="preserve">Target date</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Kick-off</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Milestone 1</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Milestone 2</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Milestone 3</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Milestone 4</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Milestone 5</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1 – Final delivery</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2 – Kick-off</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2 – Milestone 1</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r>
        <w:trPr>
          <w:cantSplit/>
          <w:trHeight w:val="640" w:hRule="atLeast"/>
        </w:trPr>
        <w:tc>
          <w:tcPr>
            <w:tcW w:type="dxa" w:w="26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Phase 2 – Milestone 2</w:t>
            </w:r>
          </w:p>
        </w:tc>
        <w:tc>
          <w:tcPr>
            <w:tcW w:type="dxa" w:w="5238"/>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c>
          <w:tcPr>
            <w:tcW w:type="dxa" w:w="1800"/>
            <w:tcBorders>
              <w:top w:val="single" w:color="F0DCE5" w:sz="4"/>
              <w:left w:val="single" w:color="F0DCE5" w:sz="4"/>
              <w:bottom w:val="single" w:color="F0DCE5" w:sz="4"/>
              <w:right w:val="single" w:color="F0DCE5" w:sz="4"/>
            </w:tcBorders>
            <w:tcMar>
              <w:top w:type="dxa" w:w="90"/>
              <w:left w:type="dxa" w:w="130"/>
              <w:bottom w:type="dxa" w:w="90"/>
              <w:right w:type="dxa" w:w="130"/>
            </w:tcMar>
          </w:tcPr>
          <w:p>
            <w:pPr>
              <w:jc w:val="left"/>
            </w:pPr>
            <w:r>
              <w:rPr>
                <w:rFonts w:ascii="Calibri" w:cs="Calibri" w:eastAsia="Calibri" w:hAnsi="Calibri"/>
                <w:color w:val="49313B"/>
                <w:sz w:val="21"/>
                <w:szCs w:val="21"/>
              </w:rPr>
              <w:t xml:space="preserve">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96F7D"/>
        <w:sz w:val="17"/>
        <w:szCs w:val="17"/>
      </w:rPr>
      <w:t xml:space="preserve">GetReady · Quotation GR-Q-2026-001 · Page </w:t>
    </w:r>
    <w:r>
      <w:rPr>
        <w:rFonts w:ascii="Calibri" w:cs="Calibri" w:eastAsia="Calibri" w:hAnsi="Calibri"/>
        <w:color w:val="896F7D"/>
        <w:sz w:val="17"/>
        <w:szCs w:val="17"/>
      </w:rPr>
      <w:fldChar w:fldCharType="begin"/>
      <w:instrText xml:space="preserve">PAGE</w:instrText>
      <w:fldChar w:fldCharType="separate"/>
      <w:fldChar w:fldCharType="end"/>
    </w:r>
    <w:r>
      <w:rPr>
        <w:rFonts w:ascii="Calibri" w:cs="Calibri" w:eastAsia="Calibri" w:hAnsi="Calibri"/>
        <w:color w:val="896F7D"/>
        <w:sz w:val="17"/>
        <w:szCs w:val="17"/>
      </w:rPr>
      <w:t xml:space="preserve"> of </w:t>
    </w:r>
    <w:r>
      <w:rPr>
        <w:rFonts w:ascii="Calibri" w:cs="Calibri" w:eastAsia="Calibri" w:hAnsi="Calibri"/>
        <w:color w:val="896F7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B64D75"/>
      </w:rPr>
    </w:lvl>
  </w:abstractNum>
  <w:abstractNum w:abstractNumId="3" w15:restartNumberingAfterBreak="0">
    <w:multiLevelType w:val="hybridMultilevel"/>
    <w:lvl w:ilvl="0" w15:tentative="1">
      <w:start w:val="1"/>
      <w:numFmt w:val="decimal"/>
      <w:lvlText w:val="%1."/>
      <w:lvlJc w:val="left"/>
      <w:pPr>
        <w:ind w:left="500" w:hanging="360"/>
      </w:pPr>
      <w:rPr>
        <w:b/>
        <w:bCs/>
        <w:color w:val="4A1B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GetReady – Quotation &amp; Agreement</dc:title>
  <dc:creator>Abdur Rehman &amp; Abdul Aziz</dc:creator>
  <cp:lastModifiedBy>Un-named</cp:lastModifiedBy>
  <cp:revision>1</cp:revision>
  <dcterms:created xsi:type="dcterms:W3CDTF">2026-10-21T21:56:12.883Z</dcterms:created>
  <dcterms:modified xsi:type="dcterms:W3CDTF">2026-10-21T21:56:12.883Z</dcterms:modified>
</cp:coreProperties>
</file>

<file path=docProps/custom.xml><?xml version="1.0" encoding="utf-8"?>
<Properties xmlns="http://schemas.openxmlformats.org/officeDocument/2006/custom-properties" xmlns:vt="http://schemas.openxmlformats.org/officeDocument/2006/docPropsVTypes"/>
</file>