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00D4A4" w:sz="24"/>
              <w:bottom w:val="nil" w:color="FFFFFF" w:sz="0"/>
              <w:right w:val="nil" w:color="FFFFFF" w:sz="0"/>
            </w:tcBorders>
            <w:shd w:fill="0A0A0A" w:val="clear"/>
            <w:tcMar>
              <w:top w:type="dxa" w:w="600"/>
              <w:left w:type="dxa" w:w="400"/>
              <w:bottom w:type="dxa" w:w="500"/>
              <w:right w:type="dxa" w:w="400"/>
            </w:tcMar>
          </w:tcPr>
          <w:p>
            <w:pPr>
              <w:spacing w:after="80" w:before="0"/>
              <w:jc w:val="left"/>
            </w:pPr>
            <w:r>
              <w:rPr>
                <w:rFonts w:ascii="Inter" w:cs="Inter" w:eastAsia="Inter" w:hAnsi="Inter"/>
                <w:b/>
                <w:bCs/>
                <w:i w:val="false"/>
                <w:iCs w:val="false"/>
                <w:caps w:val="false"/>
                <w:color w:val="FFFFFF"/>
                <w:sz w:val="120"/>
                <w:szCs w:val="120"/>
              </w:rPr>
              <w:t xml:space="preserve">SAMAA</w:t>
            </w:r>
          </w:p>
          <w:p>
            <w:pPr>
              <w:spacing w:after="200" w:before="0"/>
              <w:jc w:val="left"/>
            </w:pPr>
            <w:r>
              <w:rPr>
                <w:rFonts w:ascii="Inter" w:cs="Inter" w:eastAsia="Inter" w:hAnsi="Inter"/>
                <w:b w:val="false"/>
                <w:bCs w:val="false"/>
                <w:i w:val="false"/>
                <w:iCs w:val="false"/>
                <w:caps w:val="false"/>
                <w:color w:val="00D4A4"/>
                <w:sz w:val="34"/>
                <w:szCs w:val="34"/>
              </w:rPr>
              <w:t xml:space="preserve">Retail Performance Intelligence Platform</w:t>
            </w:r>
          </w:p>
          <w:p>
            <w:pPr>
              <w:spacing w:after="60" w:before="0"/>
              <w:jc w:val="left"/>
            </w:pPr>
            <w:r>
              <w:rPr>
                <w:rFonts w:ascii="Inter" w:cs="Inter" w:eastAsia="Inter" w:hAnsi="Inter"/>
                <w:b w:val="false"/>
                <w:bCs w:val="false"/>
                <w:i w:val="false"/>
                <w:iCs w:val="false"/>
                <w:caps w:val="false"/>
                <w:color w:val="8A8A8A"/>
                <w:sz w:val="26"/>
                <w:szCs w:val="26"/>
              </w:rPr>
              <w:t xml:space="preserve">Executive Technical Brief</w:t>
            </w:r>
          </w:p>
          <w:p>
            <w:pPr>
              <w:spacing w:after="40" w:before="0"/>
              <w:jc w:val="left"/>
            </w:pPr>
            <w:r>
              <w:rPr>
                <w:rFonts w:ascii="Inter" w:cs="Inter" w:eastAsia="Inter" w:hAnsi="Inter"/>
                <w:b w:val="false"/>
                <w:bCs w:val="false"/>
                <w:i w:val="false"/>
                <w:iCs w:val="false"/>
                <w:caps w:val="false"/>
                <w:color w:val="888888"/>
                <w:sz w:val="24"/>
                <w:szCs w:val="24"/>
              </w:rPr>
              <w:t xml:space="preserve">Kingdom of Saudi Arabia  /  GCC</w:t>
            </w:r>
          </w:p>
          <w:p>
            <w:pPr>
              <w:spacing w:after="0" w:before="0"/>
              <w:jc w:val="left"/>
            </w:pPr>
            <w:r>
              <w:rPr>
                <w:rFonts w:ascii="Inter" w:cs="Inter" w:eastAsia="Inter" w:hAnsi="Inter"/>
                <w:b w:val="false"/>
                <w:bCs w:val="false"/>
                <w:i w:val="false"/>
                <w:iCs w:val="false"/>
                <w:caps w:val="false"/>
                <w:color w:val="888888"/>
                <w:sz w:val="22"/>
                <w:szCs w:val="22"/>
              </w:rPr>
              <w:t xml:space="preserve">Version 1.0  ·  2026</w:t>
            </w:r>
          </w:p>
        </w:tc>
      </w:tr>
    </w:tbl>
    <w:p>
      <w:pPr>
        <w:spacing w:after="0" w:before="0"/>
      </w:pPr>
      <w:r>
        <w:rPr>
          <w:sz w:val="80"/>
          <w:szCs w:val="80"/>
        </w:rPr>
        <w:t xml:space="preserve"> </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3120"/>
        <w:gridCol w:w="3120"/>
        <w:gridCol w:w="3120"/>
      </w:tblGrid>
      <w:tr>
        <w:tc>
          <w:tcPr>
            <w:tcW w:type="dxa" w:w="3120"/>
            <w:tcBorders>
              <w:top w:val="single" w:color="E5E5E5" w:sz="4"/>
              <w:left w:val="single" w:color="E5E5E5" w:sz="4"/>
              <w:bottom w:val="single" w:color="E5E5E5" w:sz="4"/>
              <w:right w:val="single" w:color="E5E5E5" w:sz="4"/>
            </w:tcBorders>
            <w:shd w:fill="F0FDF9" w:val="clear"/>
            <w:tcMar>
              <w:top w:type="dxa" w:w="160"/>
              <w:left w:type="dxa" w:w="200"/>
              <w:bottom w:type="dxa" w:w="160"/>
              <w:right w:type="dxa" w:w="200"/>
            </w:tcMar>
          </w:tcPr>
          <w:p>
            <w:pPr>
              <w:spacing w:after="60" w:before="120"/>
              <w:jc w:val="left"/>
            </w:pPr>
            <w:r>
              <w:rPr>
                <w:rFonts w:ascii="Inter" w:cs="Inter" w:eastAsia="Inter" w:hAnsi="Inter"/>
                <w:b/>
                <w:bCs/>
                <w:i w:val="false"/>
                <w:iCs w:val="false"/>
                <w:caps/>
                <w:color w:val="5A5A5C"/>
                <w:sz w:val="18"/>
                <w:szCs w:val="18"/>
              </w:rPr>
              <w:t xml:space="preserve">Classification</w:t>
            </w:r>
          </w:p>
          <w:p>
            <w:pPr>
              <w:spacing w:after="0" w:before="0"/>
              <w:jc w:val="left"/>
            </w:pPr>
            <w:r>
              <w:rPr>
                <w:rFonts w:ascii="Inter" w:cs="Inter" w:eastAsia="Inter" w:hAnsi="Inter"/>
                <w:b/>
                <w:bCs/>
                <w:i w:val="false"/>
                <w:iCs w:val="false"/>
                <w:caps w:val="false"/>
                <w:color w:val="0A0A0A"/>
                <w:sz w:val="26"/>
                <w:szCs w:val="26"/>
              </w:rPr>
              <w:t xml:space="preserve">CONFIDENTIAL</w:t>
            </w:r>
          </w:p>
        </w:tc>
        <w:tc>
          <w:tcPr>
            <w:tcW w:type="dxa" w:w="3120"/>
            <w:tcBorders>
              <w:top w:val="single" w:color="E5E5E5" w:sz="4"/>
              <w:left w:val="single" w:color="E5E5E5" w:sz="4"/>
              <w:bottom w:val="single" w:color="E5E5E5" w:sz="4"/>
              <w:right w:val="single" w:color="E5E5E5" w:sz="4"/>
            </w:tcBorders>
            <w:shd w:fill="FFFFFF" w:val="clear"/>
            <w:tcMar>
              <w:top w:type="dxa" w:w="160"/>
              <w:left w:type="dxa" w:w="200"/>
              <w:bottom w:type="dxa" w:w="160"/>
              <w:right w:type="dxa" w:w="200"/>
            </w:tcMar>
          </w:tcPr>
          <w:p>
            <w:pPr>
              <w:spacing w:after="60" w:before="120"/>
              <w:jc w:val="left"/>
            </w:pPr>
            <w:r>
              <w:rPr>
                <w:rFonts w:ascii="Inter" w:cs="Inter" w:eastAsia="Inter" w:hAnsi="Inter"/>
                <w:b/>
                <w:bCs/>
                <w:i w:val="false"/>
                <w:iCs w:val="false"/>
                <w:caps/>
                <w:color w:val="5A5A5C"/>
                <w:sz w:val="18"/>
                <w:szCs w:val="18"/>
              </w:rPr>
              <w:t xml:space="preserve">Audience</w:t>
            </w:r>
          </w:p>
          <w:p>
            <w:pPr>
              <w:spacing w:after="0" w:before="0"/>
              <w:jc w:val="left"/>
            </w:pPr>
            <w:r>
              <w:rPr>
                <w:rFonts w:ascii="Inter" w:cs="Inter" w:eastAsia="Inter" w:hAnsi="Inter"/>
                <w:b w:val="false"/>
                <w:bCs w:val="false"/>
                <w:i w:val="false"/>
                <w:iCs w:val="false"/>
                <w:caps w:val="false"/>
                <w:color w:val="1C1C1E"/>
                <w:sz w:val="24"/>
                <w:szCs w:val="24"/>
              </w:rPr>
              <w:t xml:space="preserve">Investors · Partners · Enterprise</w:t>
            </w:r>
          </w:p>
        </w:tc>
        <w:tc>
          <w:tcPr>
            <w:tcW w:type="dxa" w:w="3120"/>
            <w:tcBorders>
              <w:top w:val="single" w:color="E5E5E5" w:sz="4"/>
              <w:left w:val="single" w:color="E5E5E5" w:sz="4"/>
              <w:bottom w:val="single" w:color="E5E5E5" w:sz="4"/>
              <w:right w:val="single" w:color="E5E5E5" w:sz="4"/>
            </w:tcBorders>
            <w:shd w:fill="FFFFFF" w:val="clear"/>
            <w:tcMar>
              <w:top w:type="dxa" w:w="160"/>
              <w:left w:type="dxa" w:w="200"/>
              <w:bottom w:type="dxa" w:w="160"/>
              <w:right w:type="dxa" w:w="200"/>
            </w:tcMar>
          </w:tcPr>
          <w:p>
            <w:pPr>
              <w:spacing w:after="60" w:before="120"/>
              <w:jc w:val="left"/>
            </w:pPr>
            <w:r>
              <w:rPr>
                <w:rFonts w:ascii="Inter" w:cs="Inter" w:eastAsia="Inter" w:hAnsi="Inter"/>
                <w:b/>
                <w:bCs/>
                <w:i w:val="false"/>
                <w:iCs w:val="false"/>
                <w:caps/>
                <w:color w:val="5A5A5C"/>
                <w:sz w:val="18"/>
                <w:szCs w:val="18"/>
              </w:rPr>
              <w:t xml:space="preserve">Region</w:t>
            </w:r>
          </w:p>
          <w:p>
            <w:pPr>
              <w:spacing w:after="0" w:before="0"/>
              <w:jc w:val="left"/>
            </w:pPr>
            <w:r>
              <w:rPr>
                <w:rFonts w:ascii="Inter" w:cs="Inter" w:eastAsia="Inter" w:hAnsi="Inter"/>
                <w:b w:val="false"/>
                <w:bCs w:val="false"/>
                <w:i w:val="false"/>
                <w:iCs w:val="false"/>
                <w:caps w:val="false"/>
                <w:color w:val="1C1C1E"/>
                <w:sz w:val="24"/>
                <w:szCs w:val="24"/>
              </w:rPr>
              <w:t xml:space="preserve">GCC / Saudi Arabia</w:t>
            </w:r>
          </w:p>
        </w:tc>
      </w:tr>
    </w:tbl>
    <w:p>
      <w:r>
        <w:br w:type="page"/>
      </w:r>
    </w:p>
    <w:p>
      <w:pPr>
        <w:spacing w:after="200" w:before="0"/>
      </w:pPr>
      <w:r>
        <w:rPr>
          <w:rFonts w:ascii="Inter" w:cs="Inter" w:eastAsia="Inter" w:hAnsi="Inter"/>
          <w:b/>
          <w:bCs/>
          <w:i w:val="false"/>
          <w:iCs w:val="false"/>
          <w:caps w:val="false"/>
          <w:color w:val="0A0A0A"/>
          <w:sz w:val="40"/>
          <w:szCs w:val="40"/>
        </w:rPr>
        <w:t xml:space="preserve">Contents</w:t>
      </w:r>
    </w:p>
    <w:p>
      <w:pPr>
        <w:spacing w:after="0" w:before="0"/>
      </w:pPr>
      <w:r>
        <w:rPr>
          <w:sz w:val="40"/>
          <w:szCs w:val="40"/>
        </w:rPr>
        <w:t xml:space="preserve"> </w:t>
      </w:r>
    </w:p>
    <w:tbl>
      <w:tblPr>
        <w:tblW w:type="dxa" w:w="9360"/>
        <w:tblBorders>
          <w:top w:val="single" w:color="E5E5E5" w:sz="4"/>
          <w:left w:val="nil" w:color="FFFFFF" w:sz="0"/>
          <w:bottom w:val="nil" w:color="FFFFFF" w:sz="0"/>
          <w:right w:val="nil" w:color="FFFFFF" w:sz="0"/>
          <w:insideH w:val="single" w:color="auto" w:sz="4"/>
          <w:insideV w:val="single" w:color="auto" w:sz="4"/>
        </w:tblBorders>
      </w:tblPr>
      <w:tblGrid>
        <w:gridCol w:w="560"/>
        <w:gridCol w:w="8800"/>
      </w:tblGrid>
      <w:tr>
        <w:tc>
          <w:tcPr>
            <w:tcW w:type="dxa" w:w="560"/>
            <w:tcBorders>
              <w:top w:val="nil" w:color="FFFFFF" w:sz="0"/>
              <w:left w:val="nil" w:color="FFFFFF" w:sz="0"/>
              <w:bottom w:val="single" w:color="EDEDED" w:sz="2"/>
              <w:right w:val="nil" w:color="FFFFFF" w:sz="0"/>
            </w:tcBorders>
            <w:shd w:fill="FFFFFF" w:val="clear"/>
            <w:tcMar>
              <w:top w:type="dxa" w:w="110"/>
              <w:left w:type="dxa" w:w="60"/>
              <w:bottom w:type="dxa" w:w="110"/>
              <w:right w:type="dxa" w:w="60"/>
            </w:tcMar>
          </w:tcPr>
          <w:p>
            <w:pPr>
              <w:spacing w:after="0" w:before="0"/>
              <w:jc w:val="left"/>
            </w:pPr>
            <w:r>
              <w:rPr>
                <w:rFonts w:ascii="Inter" w:cs="Inter" w:eastAsia="Inter" w:hAnsi="Inter"/>
                <w:b/>
                <w:bCs/>
                <w:i w:val="false"/>
                <w:iCs w:val="false"/>
                <w:caps w:val="false"/>
                <w:color w:val="00D4A4"/>
                <w:sz w:val="22"/>
                <w:szCs w:val="22"/>
              </w:rPr>
              <w:t xml:space="preserve">01</w:t>
            </w:r>
          </w:p>
        </w:tc>
        <w:tc>
          <w:tcPr>
            <w:tcW w:type="dxa" w:w="8800"/>
            <w:tcBorders>
              <w:top w:val="nil" w:color="FFFFFF" w:sz="0"/>
              <w:left w:val="nil" w:color="FFFFFF" w:sz="0"/>
              <w:bottom w:val="single" w:color="EDEDED" w:sz="2"/>
              <w:right w:val="nil" w:color="FFFFFF" w:sz="0"/>
            </w:tcBorders>
            <w:shd w:fill="FFFFFF" w:val="clear"/>
            <w:tcMar>
              <w:top w:type="dxa" w:w="110"/>
              <w:left w:type="dxa" w:w="80"/>
              <w:bottom w:type="dxa" w:w="110"/>
              <w:right w:type="dxa" w:w="80"/>
            </w:tcMar>
          </w:tcPr>
          <w:p>
            <w:pPr>
              <w:spacing w:after="0" w:before="0"/>
              <w:jc w:val="left"/>
            </w:pPr>
            <w:r>
              <w:rPr>
                <w:rFonts w:ascii="Inter" w:cs="Inter" w:eastAsia="Inter" w:hAnsi="Inter"/>
                <w:b w:val="false"/>
                <w:bCs w:val="false"/>
                <w:i w:val="false"/>
                <w:iCs w:val="false"/>
                <w:caps w:val="false"/>
                <w:color w:val="1C1C1E"/>
                <w:sz w:val="24"/>
                <w:szCs w:val="24"/>
              </w:rPr>
              <w:t xml:space="preserve">Executive Summary</w:t>
            </w:r>
          </w:p>
        </w:tc>
      </w:tr>
      <w:tr>
        <w:tc>
          <w:tcPr>
            <w:tcW w:type="dxa" w:w="560"/>
            <w:tcBorders>
              <w:top w:val="nil" w:color="FFFFFF" w:sz="0"/>
              <w:left w:val="nil" w:color="FFFFFF" w:sz="0"/>
              <w:bottom w:val="single" w:color="EDEDED" w:sz="2"/>
              <w:right w:val="nil" w:color="FFFFFF" w:sz="0"/>
            </w:tcBorders>
            <w:shd w:fill="FFFFFF" w:val="clear"/>
            <w:tcMar>
              <w:top w:type="dxa" w:w="110"/>
              <w:left w:type="dxa" w:w="60"/>
              <w:bottom w:type="dxa" w:w="110"/>
              <w:right w:type="dxa" w:w="60"/>
            </w:tcMar>
          </w:tcPr>
          <w:p>
            <w:pPr>
              <w:spacing w:after="0" w:before="0"/>
              <w:jc w:val="left"/>
            </w:pPr>
            <w:r>
              <w:rPr>
                <w:rFonts w:ascii="Inter" w:cs="Inter" w:eastAsia="Inter" w:hAnsi="Inter"/>
                <w:b/>
                <w:bCs/>
                <w:i w:val="false"/>
                <w:iCs w:val="false"/>
                <w:caps w:val="false"/>
                <w:color w:val="00D4A4"/>
                <w:sz w:val="22"/>
                <w:szCs w:val="22"/>
              </w:rPr>
              <w:t xml:space="preserve">02</w:t>
            </w:r>
          </w:p>
        </w:tc>
        <w:tc>
          <w:tcPr>
            <w:tcW w:type="dxa" w:w="8800"/>
            <w:tcBorders>
              <w:top w:val="nil" w:color="FFFFFF" w:sz="0"/>
              <w:left w:val="nil" w:color="FFFFFF" w:sz="0"/>
              <w:bottom w:val="single" w:color="EDEDED" w:sz="2"/>
              <w:right w:val="nil" w:color="FFFFFF" w:sz="0"/>
            </w:tcBorders>
            <w:shd w:fill="FFFFFF" w:val="clear"/>
            <w:tcMar>
              <w:top w:type="dxa" w:w="110"/>
              <w:left w:type="dxa" w:w="80"/>
              <w:bottom w:type="dxa" w:w="110"/>
              <w:right w:type="dxa" w:w="80"/>
            </w:tcMar>
          </w:tcPr>
          <w:p>
            <w:pPr>
              <w:spacing w:after="0" w:before="0"/>
              <w:jc w:val="left"/>
            </w:pPr>
            <w:r>
              <w:rPr>
                <w:rFonts w:ascii="Inter" w:cs="Inter" w:eastAsia="Inter" w:hAnsi="Inter"/>
                <w:b w:val="false"/>
                <w:bCs w:val="false"/>
                <w:i w:val="false"/>
                <w:iCs w:val="false"/>
                <w:caps w:val="false"/>
                <w:color w:val="1C1C1E"/>
                <w:sz w:val="24"/>
                <w:szCs w:val="24"/>
              </w:rPr>
              <w:t xml:space="preserve">Product Overview</w:t>
            </w:r>
          </w:p>
        </w:tc>
      </w:tr>
      <w:tr>
        <w:tc>
          <w:tcPr>
            <w:tcW w:type="dxa" w:w="560"/>
            <w:tcBorders>
              <w:top w:val="nil" w:color="FFFFFF" w:sz="0"/>
              <w:left w:val="nil" w:color="FFFFFF" w:sz="0"/>
              <w:bottom w:val="single" w:color="EDEDED" w:sz="2"/>
              <w:right w:val="nil" w:color="FFFFFF" w:sz="0"/>
            </w:tcBorders>
            <w:shd w:fill="FFFFFF" w:val="clear"/>
            <w:tcMar>
              <w:top w:type="dxa" w:w="110"/>
              <w:left w:type="dxa" w:w="60"/>
              <w:bottom w:type="dxa" w:w="110"/>
              <w:right w:type="dxa" w:w="60"/>
            </w:tcMar>
          </w:tcPr>
          <w:p>
            <w:pPr>
              <w:spacing w:after="0" w:before="0"/>
              <w:jc w:val="left"/>
            </w:pPr>
            <w:r>
              <w:rPr>
                <w:rFonts w:ascii="Inter" w:cs="Inter" w:eastAsia="Inter" w:hAnsi="Inter"/>
                <w:b/>
                <w:bCs/>
                <w:i w:val="false"/>
                <w:iCs w:val="false"/>
                <w:caps w:val="false"/>
                <w:color w:val="00D4A4"/>
                <w:sz w:val="22"/>
                <w:szCs w:val="22"/>
              </w:rPr>
              <w:t xml:space="preserve">03</w:t>
            </w:r>
          </w:p>
        </w:tc>
        <w:tc>
          <w:tcPr>
            <w:tcW w:type="dxa" w:w="8800"/>
            <w:tcBorders>
              <w:top w:val="nil" w:color="FFFFFF" w:sz="0"/>
              <w:left w:val="nil" w:color="FFFFFF" w:sz="0"/>
              <w:bottom w:val="single" w:color="EDEDED" w:sz="2"/>
              <w:right w:val="nil" w:color="FFFFFF" w:sz="0"/>
            </w:tcBorders>
            <w:shd w:fill="FFFFFF" w:val="clear"/>
            <w:tcMar>
              <w:top w:type="dxa" w:w="110"/>
              <w:left w:type="dxa" w:w="80"/>
              <w:bottom w:type="dxa" w:w="110"/>
              <w:right w:type="dxa" w:w="80"/>
            </w:tcMar>
          </w:tcPr>
          <w:p>
            <w:pPr>
              <w:spacing w:after="0" w:before="0"/>
              <w:jc w:val="left"/>
            </w:pPr>
            <w:r>
              <w:rPr>
                <w:rFonts w:ascii="Inter" w:cs="Inter" w:eastAsia="Inter" w:hAnsi="Inter"/>
                <w:b w:val="false"/>
                <w:bCs w:val="false"/>
                <w:i w:val="false"/>
                <w:iCs w:val="false"/>
                <w:caps w:val="false"/>
                <w:color w:val="1C1C1E"/>
                <w:sz w:val="24"/>
                <w:szCs w:val="24"/>
              </w:rPr>
              <w:t xml:space="preserve">System Architecture</w:t>
            </w:r>
          </w:p>
        </w:tc>
      </w:tr>
      <w:tr>
        <w:tc>
          <w:tcPr>
            <w:tcW w:type="dxa" w:w="560"/>
            <w:tcBorders>
              <w:top w:val="nil" w:color="FFFFFF" w:sz="0"/>
              <w:left w:val="nil" w:color="FFFFFF" w:sz="0"/>
              <w:bottom w:val="single" w:color="EDEDED" w:sz="2"/>
              <w:right w:val="nil" w:color="FFFFFF" w:sz="0"/>
            </w:tcBorders>
            <w:shd w:fill="FFFFFF" w:val="clear"/>
            <w:tcMar>
              <w:top w:type="dxa" w:w="110"/>
              <w:left w:type="dxa" w:w="60"/>
              <w:bottom w:type="dxa" w:w="110"/>
              <w:right w:type="dxa" w:w="60"/>
            </w:tcMar>
          </w:tcPr>
          <w:p>
            <w:pPr>
              <w:spacing w:after="0" w:before="0"/>
              <w:jc w:val="left"/>
            </w:pPr>
            <w:r>
              <w:rPr>
                <w:rFonts w:ascii="Inter" w:cs="Inter" w:eastAsia="Inter" w:hAnsi="Inter"/>
                <w:b/>
                <w:bCs/>
                <w:i w:val="false"/>
                <w:iCs w:val="false"/>
                <w:caps w:val="false"/>
                <w:color w:val="00D4A4"/>
                <w:sz w:val="22"/>
                <w:szCs w:val="22"/>
              </w:rPr>
              <w:t xml:space="preserve">04</w:t>
            </w:r>
          </w:p>
        </w:tc>
        <w:tc>
          <w:tcPr>
            <w:tcW w:type="dxa" w:w="8800"/>
            <w:tcBorders>
              <w:top w:val="nil" w:color="FFFFFF" w:sz="0"/>
              <w:left w:val="nil" w:color="FFFFFF" w:sz="0"/>
              <w:bottom w:val="single" w:color="EDEDED" w:sz="2"/>
              <w:right w:val="nil" w:color="FFFFFF" w:sz="0"/>
            </w:tcBorders>
            <w:shd w:fill="FFFFFF" w:val="clear"/>
            <w:tcMar>
              <w:top w:type="dxa" w:w="110"/>
              <w:left w:type="dxa" w:w="80"/>
              <w:bottom w:type="dxa" w:w="110"/>
              <w:right w:type="dxa" w:w="80"/>
            </w:tcMar>
          </w:tcPr>
          <w:p>
            <w:pPr>
              <w:spacing w:after="0" w:before="0"/>
              <w:jc w:val="left"/>
            </w:pPr>
            <w:r>
              <w:rPr>
                <w:rFonts w:ascii="Inter" w:cs="Inter" w:eastAsia="Inter" w:hAnsi="Inter"/>
                <w:b w:val="false"/>
                <w:bCs w:val="false"/>
                <w:i w:val="false"/>
                <w:iCs w:val="false"/>
                <w:caps w:val="false"/>
                <w:color w:val="1C1C1E"/>
                <w:sz w:val="24"/>
                <w:szCs w:val="24"/>
              </w:rPr>
              <w:t xml:space="preserve">Audio Collection Architecture</w:t>
            </w:r>
          </w:p>
        </w:tc>
      </w:tr>
      <w:tr>
        <w:tc>
          <w:tcPr>
            <w:tcW w:type="dxa" w:w="560"/>
            <w:tcBorders>
              <w:top w:val="nil" w:color="FFFFFF" w:sz="0"/>
              <w:left w:val="nil" w:color="FFFFFF" w:sz="0"/>
              <w:bottom w:val="single" w:color="EDEDED" w:sz="2"/>
              <w:right w:val="nil" w:color="FFFFFF" w:sz="0"/>
            </w:tcBorders>
            <w:shd w:fill="FFFFFF" w:val="clear"/>
            <w:tcMar>
              <w:top w:type="dxa" w:w="110"/>
              <w:left w:type="dxa" w:w="60"/>
              <w:bottom w:type="dxa" w:w="110"/>
              <w:right w:type="dxa" w:w="60"/>
            </w:tcMar>
          </w:tcPr>
          <w:p>
            <w:pPr>
              <w:spacing w:after="0" w:before="0"/>
              <w:jc w:val="left"/>
            </w:pPr>
            <w:r>
              <w:rPr>
                <w:rFonts w:ascii="Inter" w:cs="Inter" w:eastAsia="Inter" w:hAnsi="Inter"/>
                <w:b/>
                <w:bCs/>
                <w:i w:val="false"/>
                <w:iCs w:val="false"/>
                <w:caps w:val="false"/>
                <w:color w:val="00D4A4"/>
                <w:sz w:val="22"/>
                <w:szCs w:val="22"/>
              </w:rPr>
              <w:t xml:space="preserve">05</w:t>
            </w:r>
          </w:p>
        </w:tc>
        <w:tc>
          <w:tcPr>
            <w:tcW w:type="dxa" w:w="8800"/>
            <w:tcBorders>
              <w:top w:val="nil" w:color="FFFFFF" w:sz="0"/>
              <w:left w:val="nil" w:color="FFFFFF" w:sz="0"/>
              <w:bottom w:val="single" w:color="EDEDED" w:sz="2"/>
              <w:right w:val="nil" w:color="FFFFFF" w:sz="0"/>
            </w:tcBorders>
            <w:shd w:fill="FFFFFF" w:val="clear"/>
            <w:tcMar>
              <w:top w:type="dxa" w:w="110"/>
              <w:left w:type="dxa" w:w="80"/>
              <w:bottom w:type="dxa" w:w="110"/>
              <w:right w:type="dxa" w:w="80"/>
            </w:tcMar>
          </w:tcPr>
          <w:p>
            <w:pPr>
              <w:spacing w:after="0" w:before="0"/>
              <w:jc w:val="left"/>
            </w:pPr>
            <w:r>
              <w:rPr>
                <w:rFonts w:ascii="Inter" w:cs="Inter" w:eastAsia="Inter" w:hAnsi="Inter"/>
                <w:b w:val="false"/>
                <w:bCs w:val="false"/>
                <w:i w:val="false"/>
                <w:iCs w:val="false"/>
                <w:caps w:val="false"/>
                <w:color w:val="1C1C1E"/>
                <w:sz w:val="24"/>
                <w:szCs w:val="24"/>
              </w:rPr>
              <w:t xml:space="preserve">Core Platform Capabilities</w:t>
            </w:r>
          </w:p>
        </w:tc>
      </w:tr>
      <w:tr>
        <w:tc>
          <w:tcPr>
            <w:tcW w:type="dxa" w:w="560"/>
            <w:tcBorders>
              <w:top w:val="nil" w:color="FFFFFF" w:sz="0"/>
              <w:left w:val="nil" w:color="FFFFFF" w:sz="0"/>
              <w:bottom w:val="single" w:color="EDEDED" w:sz="2"/>
              <w:right w:val="nil" w:color="FFFFFF" w:sz="0"/>
            </w:tcBorders>
            <w:shd w:fill="FFFFFF" w:val="clear"/>
            <w:tcMar>
              <w:top w:type="dxa" w:w="110"/>
              <w:left w:type="dxa" w:w="60"/>
              <w:bottom w:type="dxa" w:w="110"/>
              <w:right w:type="dxa" w:w="60"/>
            </w:tcMar>
          </w:tcPr>
          <w:p>
            <w:pPr>
              <w:spacing w:after="0" w:before="0"/>
              <w:jc w:val="left"/>
            </w:pPr>
            <w:r>
              <w:rPr>
                <w:rFonts w:ascii="Inter" w:cs="Inter" w:eastAsia="Inter" w:hAnsi="Inter"/>
                <w:b/>
                <w:bCs/>
                <w:i w:val="false"/>
                <w:iCs w:val="false"/>
                <w:caps w:val="false"/>
                <w:color w:val="00D4A4"/>
                <w:sz w:val="22"/>
                <w:szCs w:val="22"/>
              </w:rPr>
              <w:t xml:space="preserve">06</w:t>
            </w:r>
          </w:p>
        </w:tc>
        <w:tc>
          <w:tcPr>
            <w:tcW w:type="dxa" w:w="8800"/>
            <w:tcBorders>
              <w:top w:val="nil" w:color="FFFFFF" w:sz="0"/>
              <w:left w:val="nil" w:color="FFFFFF" w:sz="0"/>
              <w:bottom w:val="single" w:color="EDEDED" w:sz="2"/>
              <w:right w:val="nil" w:color="FFFFFF" w:sz="0"/>
            </w:tcBorders>
            <w:shd w:fill="FFFFFF" w:val="clear"/>
            <w:tcMar>
              <w:top w:type="dxa" w:w="110"/>
              <w:left w:type="dxa" w:w="80"/>
              <w:bottom w:type="dxa" w:w="110"/>
              <w:right w:type="dxa" w:w="80"/>
            </w:tcMar>
          </w:tcPr>
          <w:p>
            <w:pPr>
              <w:spacing w:after="0" w:before="0"/>
              <w:jc w:val="left"/>
            </w:pPr>
            <w:r>
              <w:rPr>
                <w:rFonts w:ascii="Inter" w:cs="Inter" w:eastAsia="Inter" w:hAnsi="Inter"/>
                <w:b w:val="false"/>
                <w:bCs w:val="false"/>
                <w:i w:val="false"/>
                <w:iCs w:val="false"/>
                <w:caps w:val="false"/>
                <w:color w:val="1C1C1E"/>
                <w:sz w:val="24"/>
                <w:szCs w:val="24"/>
              </w:rPr>
              <w:t xml:space="preserve">Multi-Tenant Organization Model</w:t>
            </w:r>
          </w:p>
        </w:tc>
      </w:tr>
      <w:tr>
        <w:tc>
          <w:tcPr>
            <w:tcW w:type="dxa" w:w="560"/>
            <w:tcBorders>
              <w:top w:val="nil" w:color="FFFFFF" w:sz="0"/>
              <w:left w:val="nil" w:color="FFFFFF" w:sz="0"/>
              <w:bottom w:val="single" w:color="EDEDED" w:sz="2"/>
              <w:right w:val="nil" w:color="FFFFFF" w:sz="0"/>
            </w:tcBorders>
            <w:shd w:fill="FFFFFF" w:val="clear"/>
            <w:tcMar>
              <w:top w:type="dxa" w:w="110"/>
              <w:left w:type="dxa" w:w="60"/>
              <w:bottom w:type="dxa" w:w="110"/>
              <w:right w:type="dxa" w:w="60"/>
            </w:tcMar>
          </w:tcPr>
          <w:p>
            <w:pPr>
              <w:spacing w:after="0" w:before="0"/>
              <w:jc w:val="left"/>
            </w:pPr>
            <w:r>
              <w:rPr>
                <w:rFonts w:ascii="Inter" w:cs="Inter" w:eastAsia="Inter" w:hAnsi="Inter"/>
                <w:b/>
                <w:bCs/>
                <w:i w:val="false"/>
                <w:iCs w:val="false"/>
                <w:caps w:val="false"/>
                <w:color w:val="00D4A4"/>
                <w:sz w:val="22"/>
                <w:szCs w:val="22"/>
              </w:rPr>
              <w:t xml:space="preserve">07</w:t>
            </w:r>
          </w:p>
        </w:tc>
        <w:tc>
          <w:tcPr>
            <w:tcW w:type="dxa" w:w="8800"/>
            <w:tcBorders>
              <w:top w:val="nil" w:color="FFFFFF" w:sz="0"/>
              <w:left w:val="nil" w:color="FFFFFF" w:sz="0"/>
              <w:bottom w:val="single" w:color="EDEDED" w:sz="2"/>
              <w:right w:val="nil" w:color="FFFFFF" w:sz="0"/>
            </w:tcBorders>
            <w:shd w:fill="FFFFFF" w:val="clear"/>
            <w:tcMar>
              <w:top w:type="dxa" w:w="110"/>
              <w:left w:type="dxa" w:w="80"/>
              <w:bottom w:type="dxa" w:w="110"/>
              <w:right w:type="dxa" w:w="80"/>
            </w:tcMar>
          </w:tcPr>
          <w:p>
            <w:pPr>
              <w:spacing w:after="0" w:before="0"/>
              <w:jc w:val="left"/>
            </w:pPr>
            <w:r>
              <w:rPr>
                <w:rFonts w:ascii="Inter" w:cs="Inter" w:eastAsia="Inter" w:hAnsi="Inter"/>
                <w:b w:val="false"/>
                <w:bCs w:val="false"/>
                <w:i w:val="false"/>
                <w:iCs w:val="false"/>
                <w:caps w:val="false"/>
                <w:color w:val="1C1C1E"/>
                <w:sz w:val="24"/>
                <w:szCs w:val="24"/>
              </w:rPr>
              <w:t xml:space="preserve">Identity, Roles &amp; Access Control</w:t>
            </w:r>
          </w:p>
        </w:tc>
      </w:tr>
      <w:tr>
        <w:tc>
          <w:tcPr>
            <w:tcW w:type="dxa" w:w="560"/>
            <w:tcBorders>
              <w:top w:val="nil" w:color="FFFFFF" w:sz="0"/>
              <w:left w:val="nil" w:color="FFFFFF" w:sz="0"/>
              <w:bottom w:val="single" w:color="EDEDED" w:sz="2"/>
              <w:right w:val="nil" w:color="FFFFFF" w:sz="0"/>
            </w:tcBorders>
            <w:shd w:fill="FFFFFF" w:val="clear"/>
            <w:tcMar>
              <w:top w:type="dxa" w:w="110"/>
              <w:left w:type="dxa" w:w="60"/>
              <w:bottom w:type="dxa" w:w="110"/>
              <w:right w:type="dxa" w:w="60"/>
            </w:tcMar>
          </w:tcPr>
          <w:p>
            <w:pPr>
              <w:spacing w:after="0" w:before="0"/>
              <w:jc w:val="left"/>
            </w:pPr>
            <w:r>
              <w:rPr>
                <w:rFonts w:ascii="Inter" w:cs="Inter" w:eastAsia="Inter" w:hAnsi="Inter"/>
                <w:b/>
                <w:bCs/>
                <w:i w:val="false"/>
                <w:iCs w:val="false"/>
                <w:caps w:val="false"/>
                <w:color w:val="00D4A4"/>
                <w:sz w:val="22"/>
                <w:szCs w:val="22"/>
              </w:rPr>
              <w:t xml:space="preserve">08</w:t>
            </w:r>
          </w:p>
        </w:tc>
        <w:tc>
          <w:tcPr>
            <w:tcW w:type="dxa" w:w="8800"/>
            <w:tcBorders>
              <w:top w:val="nil" w:color="FFFFFF" w:sz="0"/>
              <w:left w:val="nil" w:color="FFFFFF" w:sz="0"/>
              <w:bottom w:val="single" w:color="EDEDED" w:sz="2"/>
              <w:right w:val="nil" w:color="FFFFFF" w:sz="0"/>
            </w:tcBorders>
            <w:shd w:fill="FFFFFF" w:val="clear"/>
            <w:tcMar>
              <w:top w:type="dxa" w:w="110"/>
              <w:left w:type="dxa" w:w="80"/>
              <w:bottom w:type="dxa" w:w="110"/>
              <w:right w:type="dxa" w:w="80"/>
            </w:tcMar>
          </w:tcPr>
          <w:p>
            <w:pPr>
              <w:spacing w:after="0" w:before="0"/>
              <w:jc w:val="left"/>
            </w:pPr>
            <w:r>
              <w:rPr>
                <w:rFonts w:ascii="Inter" w:cs="Inter" w:eastAsia="Inter" w:hAnsi="Inter"/>
                <w:b w:val="false"/>
                <w:bCs w:val="false"/>
                <w:i w:val="false"/>
                <w:iCs w:val="false"/>
                <w:caps w:val="false"/>
                <w:color w:val="1C1C1E"/>
                <w:sz w:val="24"/>
                <w:szCs w:val="24"/>
              </w:rPr>
              <w:t xml:space="preserve">AI Intelligence Layer</w:t>
            </w:r>
          </w:p>
        </w:tc>
      </w:tr>
      <w:tr>
        <w:tc>
          <w:tcPr>
            <w:tcW w:type="dxa" w:w="560"/>
            <w:tcBorders>
              <w:top w:val="nil" w:color="FFFFFF" w:sz="0"/>
              <w:left w:val="nil" w:color="FFFFFF" w:sz="0"/>
              <w:bottom w:val="single" w:color="EDEDED" w:sz="2"/>
              <w:right w:val="nil" w:color="FFFFFF" w:sz="0"/>
            </w:tcBorders>
            <w:shd w:fill="FFFFFF" w:val="clear"/>
            <w:tcMar>
              <w:top w:type="dxa" w:w="110"/>
              <w:left w:type="dxa" w:w="60"/>
              <w:bottom w:type="dxa" w:w="110"/>
              <w:right w:type="dxa" w:w="60"/>
            </w:tcMar>
          </w:tcPr>
          <w:p>
            <w:pPr>
              <w:spacing w:after="0" w:before="0"/>
              <w:jc w:val="left"/>
            </w:pPr>
            <w:r>
              <w:rPr>
                <w:rFonts w:ascii="Inter" w:cs="Inter" w:eastAsia="Inter" w:hAnsi="Inter"/>
                <w:b/>
                <w:bCs/>
                <w:i w:val="false"/>
                <w:iCs w:val="false"/>
                <w:caps w:val="false"/>
                <w:color w:val="00D4A4"/>
                <w:sz w:val="22"/>
                <w:szCs w:val="22"/>
              </w:rPr>
              <w:t xml:space="preserve">09</w:t>
            </w:r>
          </w:p>
        </w:tc>
        <w:tc>
          <w:tcPr>
            <w:tcW w:type="dxa" w:w="8800"/>
            <w:tcBorders>
              <w:top w:val="nil" w:color="FFFFFF" w:sz="0"/>
              <w:left w:val="nil" w:color="FFFFFF" w:sz="0"/>
              <w:bottom w:val="single" w:color="EDEDED" w:sz="2"/>
              <w:right w:val="nil" w:color="FFFFFF" w:sz="0"/>
            </w:tcBorders>
            <w:shd w:fill="FFFFFF" w:val="clear"/>
            <w:tcMar>
              <w:top w:type="dxa" w:w="110"/>
              <w:left w:type="dxa" w:w="80"/>
              <w:bottom w:type="dxa" w:w="110"/>
              <w:right w:type="dxa" w:w="80"/>
            </w:tcMar>
          </w:tcPr>
          <w:p>
            <w:pPr>
              <w:spacing w:after="0" w:before="0"/>
              <w:jc w:val="left"/>
            </w:pPr>
            <w:r>
              <w:rPr>
                <w:rFonts w:ascii="Inter" w:cs="Inter" w:eastAsia="Inter" w:hAnsi="Inter"/>
                <w:b w:val="false"/>
                <w:bCs w:val="false"/>
                <w:i w:val="false"/>
                <w:iCs w:val="false"/>
                <w:caps w:val="false"/>
                <w:color w:val="1C1C1E"/>
                <w:sz w:val="24"/>
                <w:szCs w:val="24"/>
              </w:rPr>
              <w:t xml:space="preserve">Security &amp; Privacy</w:t>
            </w:r>
          </w:p>
        </w:tc>
      </w:tr>
      <w:tr>
        <w:tc>
          <w:tcPr>
            <w:tcW w:type="dxa" w:w="560"/>
            <w:tcBorders>
              <w:top w:val="nil" w:color="FFFFFF" w:sz="0"/>
              <w:left w:val="nil" w:color="FFFFFF" w:sz="0"/>
              <w:bottom w:val="single" w:color="EDEDED" w:sz="2"/>
              <w:right w:val="nil" w:color="FFFFFF" w:sz="0"/>
            </w:tcBorders>
            <w:shd w:fill="FFFFFF" w:val="clear"/>
            <w:tcMar>
              <w:top w:type="dxa" w:w="110"/>
              <w:left w:type="dxa" w:w="60"/>
              <w:bottom w:type="dxa" w:w="110"/>
              <w:right w:type="dxa" w:w="60"/>
            </w:tcMar>
          </w:tcPr>
          <w:p>
            <w:pPr>
              <w:spacing w:after="0" w:before="0"/>
              <w:jc w:val="left"/>
            </w:pPr>
            <w:r>
              <w:rPr>
                <w:rFonts w:ascii="Inter" w:cs="Inter" w:eastAsia="Inter" w:hAnsi="Inter"/>
                <w:b/>
                <w:bCs/>
                <w:i w:val="false"/>
                <w:iCs w:val="false"/>
                <w:caps w:val="false"/>
                <w:color w:val="00D4A4"/>
                <w:sz w:val="22"/>
                <w:szCs w:val="22"/>
              </w:rPr>
              <w:t xml:space="preserve">10</w:t>
            </w:r>
          </w:p>
        </w:tc>
        <w:tc>
          <w:tcPr>
            <w:tcW w:type="dxa" w:w="8800"/>
            <w:tcBorders>
              <w:top w:val="nil" w:color="FFFFFF" w:sz="0"/>
              <w:left w:val="nil" w:color="FFFFFF" w:sz="0"/>
              <w:bottom w:val="single" w:color="EDEDED" w:sz="2"/>
              <w:right w:val="nil" w:color="FFFFFF" w:sz="0"/>
            </w:tcBorders>
            <w:shd w:fill="FFFFFF" w:val="clear"/>
            <w:tcMar>
              <w:top w:type="dxa" w:w="110"/>
              <w:left w:type="dxa" w:w="80"/>
              <w:bottom w:type="dxa" w:w="110"/>
              <w:right w:type="dxa" w:w="80"/>
            </w:tcMar>
          </w:tcPr>
          <w:p>
            <w:pPr>
              <w:spacing w:after="0" w:before="0"/>
              <w:jc w:val="left"/>
            </w:pPr>
            <w:r>
              <w:rPr>
                <w:rFonts w:ascii="Inter" w:cs="Inter" w:eastAsia="Inter" w:hAnsi="Inter"/>
                <w:b w:val="false"/>
                <w:bCs w:val="false"/>
                <w:i w:val="false"/>
                <w:iCs w:val="false"/>
                <w:caps w:val="false"/>
                <w:color w:val="1C1C1E"/>
                <w:sz w:val="24"/>
                <w:szCs w:val="24"/>
              </w:rPr>
              <w:t xml:space="preserve">Scalability &amp; Reliability</w:t>
            </w:r>
          </w:p>
        </w:tc>
      </w:tr>
      <w:tr>
        <w:tc>
          <w:tcPr>
            <w:tcW w:type="dxa" w:w="560"/>
            <w:tcBorders>
              <w:top w:val="nil" w:color="FFFFFF" w:sz="0"/>
              <w:left w:val="nil" w:color="FFFFFF" w:sz="0"/>
              <w:bottom w:val="single" w:color="EDEDED" w:sz="2"/>
              <w:right w:val="nil" w:color="FFFFFF" w:sz="0"/>
            </w:tcBorders>
            <w:shd w:fill="FFFFFF" w:val="clear"/>
            <w:tcMar>
              <w:top w:type="dxa" w:w="110"/>
              <w:left w:type="dxa" w:w="60"/>
              <w:bottom w:type="dxa" w:w="110"/>
              <w:right w:type="dxa" w:w="60"/>
            </w:tcMar>
          </w:tcPr>
          <w:p>
            <w:pPr>
              <w:spacing w:after="0" w:before="0"/>
              <w:jc w:val="left"/>
            </w:pPr>
            <w:r>
              <w:rPr>
                <w:rFonts w:ascii="Inter" w:cs="Inter" w:eastAsia="Inter" w:hAnsi="Inter"/>
                <w:b/>
                <w:bCs/>
                <w:i w:val="false"/>
                <w:iCs w:val="false"/>
                <w:caps w:val="false"/>
                <w:color w:val="00D4A4"/>
                <w:sz w:val="22"/>
                <w:szCs w:val="22"/>
              </w:rPr>
              <w:t xml:space="preserve">11</w:t>
            </w:r>
          </w:p>
        </w:tc>
        <w:tc>
          <w:tcPr>
            <w:tcW w:type="dxa" w:w="8800"/>
            <w:tcBorders>
              <w:top w:val="nil" w:color="FFFFFF" w:sz="0"/>
              <w:left w:val="nil" w:color="FFFFFF" w:sz="0"/>
              <w:bottom w:val="single" w:color="EDEDED" w:sz="2"/>
              <w:right w:val="nil" w:color="FFFFFF" w:sz="0"/>
            </w:tcBorders>
            <w:shd w:fill="FFFFFF" w:val="clear"/>
            <w:tcMar>
              <w:top w:type="dxa" w:w="110"/>
              <w:left w:type="dxa" w:w="80"/>
              <w:bottom w:type="dxa" w:w="110"/>
              <w:right w:type="dxa" w:w="80"/>
            </w:tcMar>
          </w:tcPr>
          <w:p>
            <w:pPr>
              <w:spacing w:after="0" w:before="0"/>
              <w:jc w:val="left"/>
            </w:pPr>
            <w:r>
              <w:rPr>
                <w:rFonts w:ascii="Inter" w:cs="Inter" w:eastAsia="Inter" w:hAnsi="Inter"/>
                <w:b w:val="false"/>
                <w:bCs w:val="false"/>
                <w:i w:val="false"/>
                <w:iCs w:val="false"/>
                <w:caps w:val="false"/>
                <w:color w:val="1C1C1E"/>
                <w:sz w:val="24"/>
                <w:szCs w:val="24"/>
              </w:rPr>
              <w:t xml:space="preserve">Technical Roadmap</w:t>
            </w:r>
          </w:p>
        </w:tc>
      </w:tr>
      <w:tr>
        <w:tc>
          <w:tcPr>
            <w:tcW w:type="dxa" w:w="560"/>
            <w:tcBorders>
              <w:top w:val="nil" w:color="FFFFFF" w:sz="0"/>
              <w:left w:val="nil" w:color="FFFFFF" w:sz="0"/>
              <w:bottom w:val="single" w:color="E5E5E5" w:sz="4"/>
              <w:right w:val="nil" w:color="FFFFFF" w:sz="0"/>
            </w:tcBorders>
            <w:shd w:fill="FFFFFF" w:val="clear"/>
            <w:tcMar>
              <w:top w:type="dxa" w:w="110"/>
              <w:left w:type="dxa" w:w="60"/>
              <w:bottom w:type="dxa" w:w="110"/>
              <w:right w:type="dxa" w:w="60"/>
            </w:tcMar>
          </w:tcPr>
          <w:p>
            <w:pPr>
              <w:spacing w:after="0" w:before="0"/>
              <w:jc w:val="left"/>
            </w:pPr>
            <w:r>
              <w:rPr>
                <w:rFonts w:ascii="Inter" w:cs="Inter" w:eastAsia="Inter" w:hAnsi="Inter"/>
                <w:b/>
                <w:bCs/>
                <w:i w:val="false"/>
                <w:iCs w:val="false"/>
                <w:caps w:val="false"/>
                <w:color w:val="00D4A4"/>
                <w:sz w:val="22"/>
                <w:szCs w:val="22"/>
              </w:rPr>
              <w:t xml:space="preserve">12</w:t>
            </w:r>
          </w:p>
        </w:tc>
        <w:tc>
          <w:tcPr>
            <w:tcW w:type="dxa" w:w="8800"/>
            <w:tcBorders>
              <w:top w:val="nil" w:color="FFFFFF" w:sz="0"/>
              <w:left w:val="nil" w:color="FFFFFF" w:sz="0"/>
              <w:bottom w:val="single" w:color="E5E5E5" w:sz="4"/>
              <w:right w:val="nil" w:color="FFFFFF" w:sz="0"/>
            </w:tcBorders>
            <w:shd w:fill="FFFFFF" w:val="clear"/>
            <w:tcMar>
              <w:top w:type="dxa" w:w="110"/>
              <w:left w:type="dxa" w:w="80"/>
              <w:bottom w:type="dxa" w:w="110"/>
              <w:right w:type="dxa" w:w="80"/>
            </w:tcMar>
          </w:tcPr>
          <w:p>
            <w:pPr>
              <w:spacing w:after="0" w:before="0"/>
              <w:jc w:val="left"/>
            </w:pPr>
            <w:r>
              <w:rPr>
                <w:rFonts w:ascii="Inter" w:cs="Inter" w:eastAsia="Inter" w:hAnsi="Inter"/>
                <w:b w:val="false"/>
                <w:bCs w:val="false"/>
                <w:i w:val="false"/>
                <w:iCs w:val="false"/>
                <w:caps w:val="false"/>
                <w:color w:val="1C1C1E"/>
                <w:sz w:val="24"/>
                <w:szCs w:val="24"/>
              </w:rPr>
              <w:t xml:space="preserve">Risks &amp; Mitigations</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80"/>
        <w:gridCol w:w="8680"/>
      </w:tblGrid>
      <w:tr>
        <w:tc>
          <w:tcPr>
            <w:tcW w:type="dxa" w:w="680"/>
            <w:tcBorders>
              <w:top w:val="single" w:color="00D4A4" w:sz="0"/>
              <w:left w:val="single" w:color="00D4A4" w:sz="0"/>
              <w:bottom w:val="single" w:color="00D4A4" w:sz="0"/>
              <w:right w:val="single" w:color="00D4A4" w:sz="0"/>
            </w:tcBorders>
            <w:shd w:fill="00D4A4" w:val="clear"/>
            <w:tcMar>
              <w:top w:type="dxa" w:w="160"/>
              <w:left w:type="dxa" w:w="160"/>
              <w:bottom w:type="dxa" w:w="160"/>
              <w:right w:type="dxa" w:w="160"/>
            </w:tcMar>
            <w:vAlign w:val="center"/>
          </w:tcPr>
          <w:p>
            <w:pPr>
              <w:spacing w:after="0" w:before="0"/>
              <w:jc w:val="center"/>
            </w:pPr>
            <w:r>
              <w:rPr>
                <w:rFonts w:ascii="Inter" w:cs="Inter" w:eastAsia="Inter" w:hAnsi="Inter"/>
                <w:b/>
                <w:bCs/>
                <w:i w:val="false"/>
                <w:iCs w:val="false"/>
                <w:caps w:val="false"/>
                <w:color w:val="0A0A0A"/>
                <w:sz w:val="30"/>
                <w:szCs w:val="30"/>
              </w:rPr>
              <w:t xml:space="preserve">01</w:t>
            </w:r>
          </w:p>
        </w:tc>
        <w:tc>
          <w:tcPr>
            <w:tcW w:type="dxa" w:w="8680"/>
            <w:tcBorders>
              <w:top w:val="single" w:color="0A0A0A" w:sz="0"/>
              <w:left w:val="single" w:color="0A0A0A" w:sz="0"/>
              <w:bottom w:val="single" w:color="0A0A0A" w:sz="0"/>
              <w:right w:val="single" w:color="0A0A0A" w:sz="0"/>
            </w:tcBorders>
            <w:shd w:fill="0A0A0A" w:val="clear"/>
            <w:tcMar>
              <w:top w:type="dxa" w:w="160"/>
              <w:left w:type="dxa" w:w="240"/>
              <w:bottom w:type="dxa" w:w="160"/>
              <w:right w:type="dxa" w:w="240"/>
            </w:tcMar>
            <w:vAlign w:val="center"/>
          </w:tcPr>
          <w:p>
            <w:pPr>
              <w:spacing w:after="0" w:before="0"/>
              <w:jc w:val="left"/>
            </w:pPr>
            <w:r>
              <w:rPr>
                <w:rFonts w:ascii="Inter" w:cs="Inter" w:eastAsia="Inter" w:hAnsi="Inter"/>
                <w:b/>
                <w:bCs/>
                <w:i w:val="false"/>
                <w:iCs w:val="false"/>
                <w:caps w:val="false"/>
                <w:color w:val="FFFFFF"/>
                <w:sz w:val="30"/>
                <w:szCs w:val="30"/>
              </w:rPr>
              <w:t xml:space="preserve">Executive Summary</w:t>
            </w:r>
          </w:p>
        </w:tc>
      </w:tr>
    </w:tbl>
    <w:p>
      <w:pPr>
        <w:spacing w:after="0" w:before="0"/>
      </w:pPr>
      <w:r>
        <w:rPr>
          <w:sz w:val="60"/>
          <w:szCs w:val="60"/>
        </w:rPr>
        <w:t xml:space="preserve"> </w:t>
      </w:r>
    </w:p>
    <w:p>
      <w:pPr>
        <w:spacing w:after="140" w:before="0"/>
        <w:jc w:val="left"/>
      </w:pPr>
      <w:r>
        <w:rPr>
          <w:rFonts w:ascii="Inter" w:cs="Inter" w:eastAsia="Inter" w:hAnsi="Inter"/>
          <w:b w:val="false"/>
          <w:bCs w:val="false"/>
          <w:i w:val="false"/>
          <w:iCs w:val="false"/>
          <w:caps w:val="false"/>
          <w:color w:val="1C1C1E"/>
          <w:sz w:val="26"/>
          <w:szCs w:val="26"/>
        </w:rPr>
        <w:t xml:space="preserve">SAMAA is an AI-powered Retail Performance Intelligence Platform that transforms offline retail conversations into actionable business intelligence.</w:t>
      </w:r>
    </w:p>
    <w:p>
      <w:pPr>
        <w:spacing w:after="140" w:before="0"/>
        <w:jc w:val="left"/>
      </w:pPr>
      <w:r>
        <w:rPr>
          <w:rFonts w:ascii="Inter" w:cs="Inter" w:eastAsia="Inter" w:hAnsi="Inter"/>
          <w:b w:val="false"/>
          <w:bCs w:val="false"/>
          <w:i w:val="false"/>
          <w:iCs w:val="false"/>
          <w:caps w:val="false"/>
          <w:color w:val="1C1C1E"/>
          <w:sz w:val="26"/>
          <w:szCs w:val="26"/>
        </w:rPr>
        <w:t xml:space="preserve">Retail organizations invest heavily in ERP systems, CRM platforms, POS systems, inventory systems, workforce management solutions, and footfall analytics. However, the most critical component of retail performance—the interaction between customers and salespeople—remains largely invisible.</w:t>
      </w:r>
    </w:p>
    <w:p>
      <w:pPr>
        <w:spacing w:after="0" w:before="0"/>
      </w:pPr>
      <w:r>
        <w:rPr>
          <w:sz w:val="40"/>
          <w:szCs w:val="40"/>
        </w:rPr>
        <w:t xml:space="preserve"> </w:t>
      </w:r>
    </w:p>
    <w:tbl>
      <w:tblPr>
        <w:tblW w:type="dxa" w:w="9360"/>
        <w:tblBorders>
          <w:top w:val="single" w:color="0A0A0A" w:sz="4"/>
          <w:left w:val="single" w:color="0A0A0A" w:sz="4"/>
          <w:bottom w:val="single" w:color="0A0A0A" w:sz="4"/>
          <w:right w:val="single" w:color="0A0A0A" w:sz="4"/>
          <w:insideH w:val="single" w:color="auto" w:sz="4"/>
          <w:insideV w:val="single" w:color="auto" w:sz="4"/>
        </w:tblBorders>
      </w:tblPr>
      <w:tblGrid>
        <w:gridCol w:w="9360"/>
      </w:tblGrid>
      <w:tr>
        <w:tc>
          <w:tcPr>
            <w:tcW w:type="dxa" w:w="9360"/>
            <w:tcBorders>
              <w:top w:val="single" w:color="0A0A0A" w:sz="4"/>
              <w:left w:val="single" w:color="0A0A0A" w:sz="4"/>
              <w:bottom w:val="single" w:color="0A0A0A" w:sz="4"/>
              <w:right w:val="single" w:color="0A0A0A" w:sz="4"/>
            </w:tcBorders>
            <w:shd w:fill="0A0A0A" w:val="clear"/>
            <w:tcMar>
              <w:top w:type="dxa" w:w="160"/>
              <w:left w:type="dxa" w:w="240"/>
              <w:bottom w:type="dxa" w:w="160"/>
              <w:right w:type="dxa" w:w="240"/>
            </w:tcMar>
          </w:tcPr>
          <w:p>
            <w:pPr>
              <w:spacing w:after="60" w:before="120"/>
              <w:jc w:val="left"/>
            </w:pPr>
            <w:r>
              <w:rPr>
                <w:rFonts w:ascii="Inter" w:cs="Inter" w:eastAsia="Inter" w:hAnsi="Inter"/>
                <w:b/>
                <w:bCs/>
                <w:i w:val="false"/>
                <w:iCs w:val="false"/>
                <w:caps/>
                <w:color w:val="5A5A5C"/>
                <w:sz w:val="18"/>
                <w:szCs w:val="18"/>
              </w:rPr>
              <w:t xml:space="preserve">The Gap SAMAA Closes</w:t>
            </w:r>
          </w:p>
          <w:p>
            <w:pPr>
              <w:spacing w:after="140" w:before="0"/>
              <w:jc w:val="left"/>
            </w:pPr>
            <w:r>
              <w:rPr>
                <w:rFonts w:ascii="Inter" w:cs="Inter" w:eastAsia="Inter" w:hAnsi="Inter"/>
                <w:b w:val="false"/>
                <w:bCs w:val="false"/>
                <w:i w:val="false"/>
                <w:iCs w:val="false"/>
                <w:caps w:val="false"/>
                <w:color w:val="FFFFFF"/>
                <w:sz w:val="26"/>
                <w:szCs w:val="26"/>
              </w:rPr>
              <w:t xml:space="preserve">SAMAA captures in-store customer conversations through wearable voice devices, processes them through proprietary AI models, and converts them into measurable insights across stores, teams, and individual employees.</w:t>
            </w:r>
          </w:p>
        </w:tc>
      </w:tr>
    </w:tbl>
    <w:p>
      <w:pPr>
        <w:spacing w:after="0" w:before="0"/>
      </w:pPr>
      <w:r>
        <w:rPr>
          <w:sz w:val="60"/>
          <w:szCs w:val="60"/>
        </w:rPr>
        <w:t xml:space="preserve"> </w:t>
      </w:r>
    </w:p>
    <w:p>
      <w:pPr>
        <w:spacing w:after="140" w:before="0"/>
        <w:jc w:val="left"/>
      </w:pPr>
      <w:r>
        <w:rPr>
          <w:rFonts w:ascii="Inter" w:cs="Inter" w:eastAsia="Inter" w:hAnsi="Inter"/>
          <w:b w:val="false"/>
          <w:bCs w:val="false"/>
          <w:i w:val="false"/>
          <w:iCs w:val="false"/>
          <w:caps w:val="false"/>
          <w:color w:val="1C1C1E"/>
          <w:sz w:val="26"/>
          <w:szCs w:val="26"/>
        </w:rPr>
        <w:t xml:space="preserve">The platform enables retail organizations to answer:</w:t>
      </w:r>
    </w:p>
    <w:p>
      <w:pPr>
        <w:spacing w:after="0" w:before="0"/>
      </w:pPr>
      <w:r>
        <w:rPr>
          <w:sz w:val="40"/>
          <w:szCs w:val="40"/>
        </w:rPr>
        <w:t xml:space="preserve"> </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2340"/>
        <w:gridCol w:w="2340"/>
        <w:gridCol w:w="2340"/>
        <w:gridCol w:w="2340"/>
      </w:tblGrid>
      <w:tr>
        <w:tc>
          <w:tcPr>
            <w:tcW w:type="dxa" w:w="2340"/>
            <w:tcBorders>
              <w:top w:val="single" w:color="E5E5E5" w:sz="4"/>
              <w:left w:val="single" w:color="E5E5E5" w:sz="4"/>
              <w:bottom w:val="single" w:color="E5E5E5" w:sz="4"/>
              <w:right w:val="nil" w:color="FFFFFF" w:sz="0"/>
            </w:tcBorders>
            <w:shd w:fill="FFFFFF" w:val="clear"/>
            <w:tcMar>
              <w:top w:type="dxa" w:w="200"/>
              <w:left w:type="dxa" w:w="120"/>
              <w:bottom w:type="dxa" w:w="200"/>
              <w:right w:type="dxa" w:w="120"/>
            </w:tcMar>
            <w:vAlign w:val="center"/>
          </w:tcPr>
          <w:p>
            <w:pPr>
              <w:spacing w:after="60" w:before="0"/>
              <w:jc w:val="center"/>
            </w:pPr>
            <w:r>
              <w:rPr>
                <w:rFonts w:ascii="Inter" w:cs="Inter" w:eastAsia="Inter" w:hAnsi="Inter"/>
                <w:b/>
                <w:bCs/>
                <w:i w:val="false"/>
                <w:iCs w:val="false"/>
                <w:caps w:val="false"/>
                <w:color w:val="00D4A4"/>
                <w:sz w:val="44"/>
                <w:szCs w:val="44"/>
              </w:rPr>
              <w:t xml:space="preserve">Why</w:t>
            </w:r>
          </w:p>
          <w:p>
            <w:pPr>
              <w:spacing w:after="0" w:before="0"/>
              <w:jc w:val="center"/>
            </w:pPr>
            <w:r>
              <w:rPr>
                <w:rFonts w:ascii="Inter" w:cs="Inter" w:eastAsia="Inter" w:hAnsi="Inter"/>
                <w:b w:val="false"/>
                <w:bCs w:val="false"/>
                <w:i w:val="false"/>
                <w:iCs w:val="false"/>
                <w:caps w:val="false"/>
                <w:color w:val="5A5A5C"/>
                <w:sz w:val="20"/>
                <w:szCs w:val="20"/>
              </w:rPr>
              <w:t xml:space="preserve">one store outperforms another</w:t>
            </w:r>
          </w:p>
        </w:tc>
        <w:tc>
          <w:tcPr>
            <w:tcW w:type="dxa" w:w="2340"/>
            <w:tcBorders>
              <w:top w:val="single" w:color="E5E5E5" w:sz="4"/>
              <w:left w:val="nil" w:color="FFFFFF" w:sz="0"/>
              <w:bottom w:val="single" w:color="E5E5E5" w:sz="4"/>
              <w:right w:val="nil" w:color="FFFFFF" w:sz="0"/>
            </w:tcBorders>
            <w:shd w:fill="F0FDF9" w:val="clear"/>
            <w:tcMar>
              <w:top w:type="dxa" w:w="200"/>
              <w:left w:type="dxa" w:w="120"/>
              <w:bottom w:type="dxa" w:w="200"/>
              <w:right w:type="dxa" w:w="120"/>
            </w:tcMar>
            <w:vAlign w:val="center"/>
          </w:tcPr>
          <w:p>
            <w:pPr>
              <w:spacing w:after="60" w:before="0"/>
              <w:jc w:val="center"/>
            </w:pPr>
            <w:r>
              <w:rPr>
                <w:rFonts w:ascii="Inter" w:cs="Inter" w:eastAsia="Inter" w:hAnsi="Inter"/>
                <w:b/>
                <w:bCs/>
                <w:i w:val="false"/>
                <w:iCs w:val="false"/>
                <w:caps w:val="false"/>
                <w:color w:val="00D4A4"/>
                <w:sz w:val="44"/>
                <w:szCs w:val="44"/>
              </w:rPr>
              <w:t xml:space="preserve">How</w:t>
            </w:r>
          </w:p>
          <w:p>
            <w:pPr>
              <w:spacing w:after="0" w:before="0"/>
              <w:jc w:val="center"/>
            </w:pPr>
            <w:r>
              <w:rPr>
                <w:rFonts w:ascii="Inter" w:cs="Inter" w:eastAsia="Inter" w:hAnsi="Inter"/>
                <w:b w:val="false"/>
                <w:bCs w:val="false"/>
                <w:i w:val="false"/>
                <w:iCs w:val="false"/>
                <w:caps w:val="false"/>
                <w:color w:val="5A5A5C"/>
                <w:sz w:val="20"/>
                <w:szCs w:val="20"/>
              </w:rPr>
              <w:t xml:space="preserve">sales are won or lost</w:t>
            </w:r>
          </w:p>
        </w:tc>
        <w:tc>
          <w:tcPr>
            <w:tcW w:type="dxa" w:w="2340"/>
            <w:tcBorders>
              <w:top w:val="single" w:color="E5E5E5" w:sz="4"/>
              <w:left w:val="nil" w:color="FFFFFF" w:sz="0"/>
              <w:bottom w:val="single" w:color="E5E5E5" w:sz="4"/>
              <w:right w:val="nil" w:color="FFFFFF" w:sz="0"/>
            </w:tcBorders>
            <w:shd w:fill="FFFFFF" w:val="clear"/>
            <w:tcMar>
              <w:top w:type="dxa" w:w="200"/>
              <w:left w:type="dxa" w:w="120"/>
              <w:bottom w:type="dxa" w:w="200"/>
              <w:right w:type="dxa" w:w="120"/>
            </w:tcMar>
            <w:vAlign w:val="center"/>
          </w:tcPr>
          <w:p>
            <w:pPr>
              <w:spacing w:after="60" w:before="0"/>
              <w:jc w:val="center"/>
            </w:pPr>
            <w:r>
              <w:rPr>
                <w:rFonts w:ascii="Inter" w:cs="Inter" w:eastAsia="Inter" w:hAnsi="Inter"/>
                <w:b/>
                <w:bCs/>
                <w:i w:val="false"/>
                <w:iCs w:val="false"/>
                <w:caps w:val="false"/>
                <w:color w:val="00D4A4"/>
                <w:sz w:val="44"/>
                <w:szCs w:val="44"/>
              </w:rPr>
              <w:t xml:space="preserve">Who</w:t>
            </w:r>
          </w:p>
          <w:p>
            <w:pPr>
              <w:spacing w:after="0" w:before="0"/>
              <w:jc w:val="center"/>
            </w:pPr>
            <w:r>
              <w:rPr>
                <w:rFonts w:ascii="Inter" w:cs="Inter" w:eastAsia="Inter" w:hAnsi="Inter"/>
                <w:b w:val="false"/>
                <w:bCs w:val="false"/>
                <w:i w:val="false"/>
                <w:iCs w:val="false"/>
                <w:caps w:val="false"/>
                <w:color w:val="5A5A5C"/>
                <w:sz w:val="20"/>
                <w:szCs w:val="20"/>
              </w:rPr>
              <w:t xml:space="preserve">requires coaching</w:t>
            </w:r>
          </w:p>
        </w:tc>
        <w:tc>
          <w:tcPr>
            <w:tcW w:type="dxa" w:w="2340"/>
            <w:tcBorders>
              <w:top w:val="single" w:color="E5E5E5" w:sz="4"/>
              <w:left w:val="nil" w:color="FFFFFF" w:sz="0"/>
              <w:bottom w:val="single" w:color="E5E5E5" w:sz="4"/>
              <w:right w:val="single" w:color="E5E5E5" w:sz="4"/>
            </w:tcBorders>
            <w:shd w:fill="F0FDF9" w:val="clear"/>
            <w:tcMar>
              <w:top w:type="dxa" w:w="200"/>
              <w:left w:type="dxa" w:w="120"/>
              <w:bottom w:type="dxa" w:w="200"/>
              <w:right w:type="dxa" w:w="120"/>
            </w:tcMar>
            <w:vAlign w:val="center"/>
          </w:tcPr>
          <w:p>
            <w:pPr>
              <w:spacing w:after="60" w:before="0"/>
              <w:jc w:val="center"/>
            </w:pPr>
            <w:r>
              <w:rPr>
                <w:rFonts w:ascii="Inter" w:cs="Inter" w:eastAsia="Inter" w:hAnsi="Inter"/>
                <w:b/>
                <w:bCs/>
                <w:i w:val="false"/>
                <w:iCs w:val="false"/>
                <w:caps w:val="false"/>
                <w:color w:val="00D4A4"/>
                <w:sz w:val="44"/>
                <w:szCs w:val="44"/>
              </w:rPr>
              <w:t xml:space="preserve">What</w:t>
            </w:r>
          </w:p>
          <w:p>
            <w:pPr>
              <w:spacing w:after="0" w:before="0"/>
              <w:jc w:val="center"/>
            </w:pPr>
            <w:r>
              <w:rPr>
                <w:rFonts w:ascii="Inter" w:cs="Inter" w:eastAsia="Inter" w:hAnsi="Inter"/>
                <w:b w:val="false"/>
                <w:bCs w:val="false"/>
                <w:i w:val="false"/>
                <w:iCs w:val="false"/>
                <w:caps w:val="false"/>
                <w:color w:val="5A5A5C"/>
                <w:sz w:val="20"/>
                <w:szCs w:val="20"/>
              </w:rPr>
              <w:t xml:space="preserve">behaviors drive revenue</w:t>
            </w:r>
          </w:p>
        </w:tc>
      </w:tr>
    </w:tbl>
    <w:p>
      <w:pPr>
        <w:spacing w:after="0" w:before="0"/>
      </w:pPr>
      <w:r>
        <w:rPr>
          <w:sz w:val="80"/>
          <w:szCs w:val="80"/>
        </w:rPr>
        <w:t xml:space="preserve"> </w:t>
      </w:r>
    </w:p>
    <w:tbl>
      <w:tblPr>
        <w:tblW w:type="dxa" w:w="9360"/>
        <w:tblBorders>
          <w:top w:val="single" w:color="0A0A0A" w:sz="4"/>
          <w:left w:val="single" w:color="0A0A0A" w:sz="4"/>
          <w:bottom w:val="single" w:color="0A0A0A" w:sz="4"/>
          <w:right w:val="single" w:color="0A0A0A" w:sz="4"/>
          <w:insideH w:val="single" w:color="auto" w:sz="4"/>
          <w:insideV w:val="single" w:color="auto" w:sz="4"/>
        </w:tblBorders>
      </w:tblPr>
      <w:tblGrid>
        <w:gridCol w:w="9360"/>
      </w:tblGrid>
      <w:tr>
        <w:tc>
          <w:tcPr>
            <w:tcW w:type="dxa" w:w="9360"/>
            <w:tcBorders>
              <w:top w:val="single" w:color="0A0A0A" w:sz="4"/>
              <w:left w:val="single" w:color="0A0A0A" w:sz="4"/>
              <w:bottom w:val="single" w:color="0A0A0A" w:sz="4"/>
              <w:right w:val="single" w:color="0A0A0A" w:sz="4"/>
            </w:tcBorders>
            <w:shd w:fill="0A0A0A" w:val="clear"/>
            <w:tcMar>
              <w:top w:type="dxa" w:w="160"/>
              <w:left w:type="dxa" w:w="240"/>
              <w:bottom w:type="dxa" w:w="160"/>
              <w:right w:type="dxa" w:w="240"/>
            </w:tcMar>
          </w:tcPr>
          <w:p>
            <w:pPr>
              <w:spacing w:after="60" w:before="120"/>
              <w:jc w:val="left"/>
            </w:pPr>
            <w:r>
              <w:rPr>
                <w:rFonts w:ascii="Inter" w:cs="Inter" w:eastAsia="Inter" w:hAnsi="Inter"/>
                <w:b/>
                <w:bCs/>
                <w:i w:val="false"/>
                <w:iCs w:val="false"/>
                <w:caps/>
                <w:color w:val="5A5A5C"/>
                <w:sz w:val="18"/>
                <w:szCs w:val="18"/>
              </w:rPr>
              <w:t xml:space="preserve">Competitive Moat</w:t>
            </w:r>
          </w:p>
          <w:p>
            <w:pPr>
              <w:spacing w:after="0" w:before="60"/>
            </w:pPr>
            <w:r>
              <w:rPr>
                <w:rFonts w:ascii="Inter" w:cs="Inter" w:eastAsia="Inter" w:hAnsi="Inter"/>
                <w:b w:val="false"/>
                <w:bCs w:val="false"/>
                <w:i w:val="false"/>
                <w:iCs w:val="false"/>
                <w:caps w:val="false"/>
                <w:color w:val="FFFFFF"/>
                <w:sz w:val="26"/>
                <w:szCs w:val="26"/>
              </w:rPr>
              <w:t xml:space="preserve">SAMAA's defensibility is built on a </w:t>
            </w:r>
            <w:r>
              <w:rPr>
                <w:rFonts w:ascii="Inter" w:cs="Inter" w:eastAsia="Inter" w:hAnsi="Inter"/>
                <w:b/>
                <w:bCs/>
                <w:i w:val="false"/>
                <w:iCs w:val="false"/>
                <w:caps w:val="false"/>
                <w:color w:val="00D4A4"/>
                <w:sz w:val="26"/>
                <w:szCs w:val="26"/>
              </w:rPr>
              <w:t xml:space="preserve">proprietary retail conversation dataset and behavioral intelligence graph</w:t>
            </w:r>
            <w:r>
              <w:rPr>
                <w:rFonts w:ascii="Inter" w:cs="Inter" w:eastAsia="Inter" w:hAnsi="Inter"/>
                <w:b w:val="false"/>
                <w:bCs w:val="false"/>
                <w:i w:val="false"/>
                <w:iCs w:val="false"/>
                <w:caps w:val="false"/>
                <w:color w:val="FFFFFF"/>
                <w:sz w:val="26"/>
                <w:szCs w:val="26"/>
              </w:rPr>
              <w:t xml:space="preserve"> built from millions of real-world customer interactions across GCC retail environments. The platform becomes more valuable as more stores use it.</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80"/>
        <w:gridCol w:w="8680"/>
      </w:tblGrid>
      <w:tr>
        <w:tc>
          <w:tcPr>
            <w:tcW w:type="dxa" w:w="680"/>
            <w:tcBorders>
              <w:top w:val="single" w:color="00D4A4" w:sz="0"/>
              <w:left w:val="single" w:color="00D4A4" w:sz="0"/>
              <w:bottom w:val="single" w:color="00D4A4" w:sz="0"/>
              <w:right w:val="single" w:color="00D4A4" w:sz="0"/>
            </w:tcBorders>
            <w:shd w:fill="00D4A4" w:val="clear"/>
            <w:tcMar>
              <w:top w:type="dxa" w:w="160"/>
              <w:left w:type="dxa" w:w="160"/>
              <w:bottom w:type="dxa" w:w="160"/>
              <w:right w:type="dxa" w:w="160"/>
            </w:tcMar>
            <w:vAlign w:val="center"/>
          </w:tcPr>
          <w:p>
            <w:pPr>
              <w:spacing w:after="0" w:before="0"/>
              <w:jc w:val="center"/>
            </w:pPr>
            <w:r>
              <w:rPr>
                <w:rFonts w:ascii="Inter" w:cs="Inter" w:eastAsia="Inter" w:hAnsi="Inter"/>
                <w:b/>
                <w:bCs/>
                <w:i w:val="false"/>
                <w:iCs w:val="false"/>
                <w:caps w:val="false"/>
                <w:color w:val="0A0A0A"/>
                <w:sz w:val="30"/>
                <w:szCs w:val="30"/>
              </w:rPr>
              <w:t xml:space="preserve">02</w:t>
            </w:r>
          </w:p>
        </w:tc>
        <w:tc>
          <w:tcPr>
            <w:tcW w:type="dxa" w:w="8680"/>
            <w:tcBorders>
              <w:top w:val="single" w:color="0A0A0A" w:sz="0"/>
              <w:left w:val="single" w:color="0A0A0A" w:sz="0"/>
              <w:bottom w:val="single" w:color="0A0A0A" w:sz="0"/>
              <w:right w:val="single" w:color="0A0A0A" w:sz="0"/>
            </w:tcBorders>
            <w:shd w:fill="0A0A0A" w:val="clear"/>
            <w:tcMar>
              <w:top w:type="dxa" w:w="160"/>
              <w:left w:type="dxa" w:w="240"/>
              <w:bottom w:type="dxa" w:w="160"/>
              <w:right w:type="dxa" w:w="240"/>
            </w:tcMar>
            <w:vAlign w:val="center"/>
          </w:tcPr>
          <w:p>
            <w:pPr>
              <w:spacing w:after="0" w:before="0"/>
              <w:jc w:val="left"/>
            </w:pPr>
            <w:r>
              <w:rPr>
                <w:rFonts w:ascii="Inter" w:cs="Inter" w:eastAsia="Inter" w:hAnsi="Inter"/>
                <w:b/>
                <w:bCs/>
                <w:i w:val="false"/>
                <w:iCs w:val="false"/>
                <w:caps w:val="false"/>
                <w:color w:val="FFFFFF"/>
                <w:sz w:val="30"/>
                <w:szCs w:val="30"/>
              </w:rPr>
              <w:t xml:space="preserve">Product Overview</w:t>
            </w:r>
          </w:p>
        </w:tc>
      </w:tr>
    </w:tbl>
    <w:p>
      <w:pPr>
        <w:spacing w:after="0" w:before="0"/>
      </w:pPr>
      <w:r>
        <w:rPr>
          <w:sz w:val="60"/>
          <w:szCs w:val="60"/>
        </w:rPr>
        <w:t xml:space="preserve"> </w:t>
      </w:r>
    </w:p>
    <w:p>
      <w:pPr>
        <w:spacing w:after="140" w:before="0"/>
        <w:jc w:val="left"/>
      </w:pPr>
      <w:r>
        <w:rPr>
          <w:rFonts w:ascii="Inter" w:cs="Inter" w:eastAsia="Inter" w:hAnsi="Inter"/>
          <w:b w:val="false"/>
          <w:bCs w:val="false"/>
          <w:i w:val="false"/>
          <w:iCs w:val="false"/>
          <w:caps w:val="false"/>
          <w:color w:val="1C1C1E"/>
          <w:sz w:val="26"/>
          <w:szCs w:val="26"/>
        </w:rPr>
        <w:t xml:space="preserve">SAMAA is a multi-tenant SaaS platform built for enterprise retail brands. Each tenant operates within a fully isolated environment containing stores, branches, regions, employees, performance data, conversation data, and AI-generated insights.</w:t>
      </w:r>
    </w:p>
    <w:p>
      <w:pPr>
        <w:spacing w:after="0" w:before="0"/>
      </w:pPr>
      <w:r>
        <w:rPr>
          <w:sz w:val="60"/>
          <w:szCs w:val="60"/>
        </w:rPr>
        <w:t xml:space="preserve"> </w:t>
      </w:r>
    </w:p>
    <w:p>
      <w:pPr>
        <w:pStyle w:val="Heading2"/>
        <w:spacing w:after="160" w:before="320"/>
      </w:pPr>
      <w:r>
        <w:rPr>
          <w:rFonts w:ascii="Inter" w:cs="Inter" w:eastAsia="Inter" w:hAnsi="Inter"/>
          <w:b/>
          <w:bCs/>
          <w:i w:val="false"/>
          <w:iCs w:val="false"/>
          <w:caps w:val="false"/>
          <w:color w:val="0A0A0A"/>
          <w:sz w:val="32"/>
          <w:szCs w:val="32"/>
        </w:rPr>
        <w:t xml:space="preserve">User Tiers &amp; Role Intelligence</w:t>
      </w:r>
    </w:p>
    <w:p>
      <w:pPr>
        <w:spacing w:after="0" w:before="0"/>
      </w:pPr>
      <w:r>
        <w:rPr>
          <w:sz w:val="40"/>
          <w:szCs w:val="4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E5E5E5" w:sz="4"/>
              <w:left w:val="single" w:color="E5E5E5" w:sz="4"/>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Role</w:t>
            </w:r>
          </w:p>
        </w:tc>
        <w:tc>
          <w:tcPr>
            <w:tcW w:type="dxa" w:w="2600"/>
            <w:tcBorders>
              <w:top w:val="single" w:color="E5E5E5" w:sz="4"/>
              <w:left w:val="nil" w:color="FFFFFF" w:sz="0"/>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Primary Intelligence</w:t>
            </w:r>
          </w:p>
        </w:tc>
        <w:tc>
          <w:tcPr>
            <w:tcW w:type="dxa" w:w="4560"/>
            <w:tcBorders>
              <w:top w:val="single" w:color="E5E5E5" w:sz="4"/>
              <w:left w:val="nil" w:color="FFFFFF" w:sz="0"/>
              <w:bottom w:val="single" w:color="00D4A4" w:sz="8"/>
              <w:right w:val="single" w:color="E5E5E5" w:sz="4"/>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Key Capabilities</w:t>
            </w:r>
          </w:p>
        </w:tc>
      </w:tr>
      <w:tr>
        <w:tc>
          <w:tcPr>
            <w:tcW w:type="dxa" w:w="22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Salesperson</w:t>
            </w:r>
          </w:p>
        </w:tc>
        <w:tc>
          <w:tcPr>
            <w:tcW w:type="dxa" w:w="26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Personal performance</w:t>
            </w:r>
          </w:p>
        </w:tc>
        <w:tc>
          <w:tcPr>
            <w:tcW w:type="dxa" w:w="45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Individual score · Coaching recommendations · Conversation quality · SOP compliance</w:t>
            </w:r>
          </w:p>
        </w:tc>
      </w:tr>
      <w:tr>
        <w:tc>
          <w:tcPr>
            <w:tcW w:type="dxa" w:w="22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Store Manager</w:t>
            </w:r>
          </w:p>
        </w:tc>
        <w:tc>
          <w:tcPr>
            <w:tcW w:type="dxa" w:w="26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Team performance</w:t>
            </w:r>
          </w:p>
        </w:tc>
        <w:tc>
          <w:tcPr>
            <w:tcW w:type="dxa" w:w="45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Daily coaching alerts · Conversion insights · SOP scoring · Team benchmarking</w:t>
            </w:r>
          </w:p>
        </w:tc>
      </w:tr>
      <w:tr>
        <w:tc>
          <w:tcPr>
            <w:tcW w:type="dxa" w:w="22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Area Manager</w:t>
            </w:r>
          </w:p>
        </w:tc>
        <w:tc>
          <w:tcPr>
            <w:tcW w:type="dxa" w:w="26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Multi-store comparison</w:t>
            </w:r>
          </w:p>
        </w:tc>
        <w:tc>
          <w:tcPr>
            <w:tcW w:type="dxa" w:w="45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Regional benchmarking · Coaching effectiveness · Store ranking</w:t>
            </w:r>
          </w:p>
        </w:tc>
      </w:tr>
      <w:tr>
        <w:tc>
          <w:tcPr>
            <w:tcW w:type="dxa" w:w="22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Regional Manager</w:t>
            </w:r>
          </w:p>
        </w:tc>
        <w:tc>
          <w:tcPr>
            <w:tcW w:type="dxa" w:w="26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Region-wide analytics</w:t>
            </w:r>
          </w:p>
        </w:tc>
        <w:tc>
          <w:tcPr>
            <w:tcW w:type="dxa" w:w="45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Trend identification · Store benchmarking · Performance attribution</w:t>
            </w:r>
          </w:p>
        </w:tc>
      </w:tr>
      <w:tr>
        <w:tc>
          <w:tcPr>
            <w:tcW w:type="dxa" w:w="2200"/>
            <w:tcBorders>
              <w:top w:val="nil" w:color="FFFFFF" w:sz="0"/>
              <w:left w:val="single" w:color="E5E5E5" w:sz="4"/>
              <w:bottom w:val="single" w:color="E5E5E5"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Sales Head / Retail Head</w:t>
            </w:r>
          </w:p>
        </w:tc>
        <w:tc>
          <w:tcPr>
            <w:tcW w:type="dxa" w:w="2600"/>
            <w:tcBorders>
              <w:top w:val="nil" w:color="FFFFFF" w:sz="0"/>
              <w:left w:val="nil" w:color="FFFFFF" w:sz="0"/>
              <w:bottom w:val="single" w:color="E5E5E5"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Enterprise intelligence</w:t>
            </w:r>
          </w:p>
        </w:tc>
        <w:tc>
          <w:tcPr>
            <w:tcW w:type="dxa" w:w="4560"/>
            <w:tcBorders>
              <w:top w:val="nil" w:color="FFFFFF" w:sz="0"/>
              <w:left w:val="nil" w:color="FFFFFF" w:sz="0"/>
              <w:bottom w:val="single" w:color="E5E5E5"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Strategic reporting · Revenue drivers · Workforce effectiveness · Resource allocation</w:t>
            </w:r>
          </w:p>
        </w:tc>
      </w:tr>
    </w:tbl>
    <w:p>
      <w:pPr>
        <w:spacing w:after="0" w:before="0"/>
      </w:pPr>
      <w:r>
        <w:rPr>
          <w:sz w:val="80"/>
          <w:szCs w:val="80"/>
        </w:rPr>
        <w:t xml:space="preserve"> </w:t>
      </w:r>
    </w:p>
    <w:tbl>
      <w:tblPr>
        <w:tblW w:type="dxa" w:w="9360"/>
        <w:tblBorders>
          <w:top w:val="single" w:color="0A0A0A" w:sz="4"/>
          <w:left w:val="single" w:color="0A0A0A" w:sz="4"/>
          <w:bottom w:val="single" w:color="0A0A0A" w:sz="4"/>
          <w:right w:val="single" w:color="0A0A0A" w:sz="4"/>
          <w:insideH w:val="single" w:color="auto" w:sz="4"/>
          <w:insideV w:val="single" w:color="auto" w:sz="4"/>
        </w:tblBorders>
      </w:tblPr>
      <w:tblGrid>
        <w:gridCol w:w="9360"/>
      </w:tblGrid>
      <w:tr>
        <w:tc>
          <w:tcPr>
            <w:tcW w:type="dxa" w:w="9360"/>
            <w:tcBorders>
              <w:top w:val="single" w:color="0A0A0A" w:sz="4"/>
              <w:left w:val="single" w:color="0A0A0A" w:sz="4"/>
              <w:bottom w:val="single" w:color="0A0A0A" w:sz="4"/>
              <w:right w:val="single" w:color="0A0A0A" w:sz="4"/>
            </w:tcBorders>
            <w:shd w:fill="0A0A0A" w:val="clear"/>
            <w:tcMar>
              <w:top w:type="dxa" w:w="160"/>
              <w:left w:type="dxa" w:w="240"/>
              <w:bottom w:type="dxa" w:w="160"/>
              <w:right w:type="dxa" w:w="240"/>
            </w:tcMar>
          </w:tcPr>
          <w:p>
            <w:pPr>
              <w:spacing w:after="60" w:before="120"/>
              <w:jc w:val="left"/>
            </w:pPr>
            <w:r>
              <w:rPr>
                <w:rFonts w:ascii="Inter" w:cs="Inter" w:eastAsia="Inter" w:hAnsi="Inter"/>
                <w:b/>
                <w:bCs/>
                <w:i w:val="false"/>
                <w:iCs w:val="false"/>
                <w:caps/>
                <w:color w:val="5A5A5C"/>
                <w:sz w:val="18"/>
                <w:szCs w:val="18"/>
              </w:rPr>
              <w:t xml:space="preserve">Key Differentiator</w:t>
            </w:r>
          </w:p>
          <w:p>
            <w:pPr>
              <w:spacing w:after="140" w:before="0"/>
              <w:jc w:val="left"/>
            </w:pPr>
            <w:r>
              <w:rPr>
                <w:rFonts w:ascii="Inter" w:cs="Inter" w:eastAsia="Inter" w:hAnsi="Inter"/>
                <w:b w:val="false"/>
                <w:bCs w:val="false"/>
                <w:i w:val="false"/>
                <w:iCs w:val="false"/>
                <w:caps w:val="false"/>
                <w:color w:val="FFFFFF"/>
                <w:sz w:val="26"/>
                <w:szCs w:val="26"/>
              </w:rPr>
              <w:t xml:space="preserve">Unlike traditional retail analytics systems that focus on transactions, SAMAA focuses on the behaviors and conversations that create those transactions.</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80"/>
        <w:gridCol w:w="8680"/>
      </w:tblGrid>
      <w:tr>
        <w:tc>
          <w:tcPr>
            <w:tcW w:type="dxa" w:w="680"/>
            <w:tcBorders>
              <w:top w:val="single" w:color="00D4A4" w:sz="0"/>
              <w:left w:val="single" w:color="00D4A4" w:sz="0"/>
              <w:bottom w:val="single" w:color="00D4A4" w:sz="0"/>
              <w:right w:val="single" w:color="00D4A4" w:sz="0"/>
            </w:tcBorders>
            <w:shd w:fill="00D4A4" w:val="clear"/>
            <w:tcMar>
              <w:top w:type="dxa" w:w="160"/>
              <w:left w:type="dxa" w:w="160"/>
              <w:bottom w:type="dxa" w:w="160"/>
              <w:right w:type="dxa" w:w="160"/>
            </w:tcMar>
            <w:vAlign w:val="center"/>
          </w:tcPr>
          <w:p>
            <w:pPr>
              <w:spacing w:after="0" w:before="0"/>
              <w:jc w:val="center"/>
            </w:pPr>
            <w:r>
              <w:rPr>
                <w:rFonts w:ascii="Inter" w:cs="Inter" w:eastAsia="Inter" w:hAnsi="Inter"/>
                <w:b/>
                <w:bCs/>
                <w:i w:val="false"/>
                <w:iCs w:val="false"/>
                <w:caps w:val="false"/>
                <w:color w:val="0A0A0A"/>
                <w:sz w:val="30"/>
                <w:szCs w:val="30"/>
              </w:rPr>
              <w:t xml:space="preserve">03</w:t>
            </w:r>
          </w:p>
        </w:tc>
        <w:tc>
          <w:tcPr>
            <w:tcW w:type="dxa" w:w="8680"/>
            <w:tcBorders>
              <w:top w:val="single" w:color="0A0A0A" w:sz="0"/>
              <w:left w:val="single" w:color="0A0A0A" w:sz="0"/>
              <w:bottom w:val="single" w:color="0A0A0A" w:sz="0"/>
              <w:right w:val="single" w:color="0A0A0A" w:sz="0"/>
            </w:tcBorders>
            <w:shd w:fill="0A0A0A" w:val="clear"/>
            <w:tcMar>
              <w:top w:type="dxa" w:w="160"/>
              <w:left w:type="dxa" w:w="240"/>
              <w:bottom w:type="dxa" w:w="160"/>
              <w:right w:type="dxa" w:w="240"/>
            </w:tcMar>
            <w:vAlign w:val="center"/>
          </w:tcPr>
          <w:p>
            <w:pPr>
              <w:spacing w:after="0" w:before="0"/>
              <w:jc w:val="left"/>
            </w:pPr>
            <w:r>
              <w:rPr>
                <w:rFonts w:ascii="Inter" w:cs="Inter" w:eastAsia="Inter" w:hAnsi="Inter"/>
                <w:b/>
                <w:bCs/>
                <w:i w:val="false"/>
                <w:iCs w:val="false"/>
                <w:caps w:val="false"/>
                <w:color w:val="FFFFFF"/>
                <w:sz w:val="30"/>
                <w:szCs w:val="30"/>
              </w:rPr>
              <w:t xml:space="preserve">System Architecture</w:t>
            </w:r>
          </w:p>
        </w:tc>
      </w:tr>
    </w:tbl>
    <w:p>
      <w:pPr>
        <w:spacing w:after="0" w:before="0"/>
      </w:pPr>
      <w:r>
        <w:rPr>
          <w:sz w:val="60"/>
          <w:szCs w:val="60"/>
        </w:rPr>
        <w:t xml:space="preserve"> </w:t>
      </w:r>
    </w:p>
    <w:p>
      <w:pPr>
        <w:spacing w:after="140" w:before="0"/>
        <w:jc w:val="left"/>
      </w:pPr>
      <w:r>
        <w:rPr>
          <w:rFonts w:ascii="Inter" w:cs="Inter" w:eastAsia="Inter" w:hAnsi="Inter"/>
          <w:b w:val="false"/>
          <w:bCs w:val="false"/>
          <w:i w:val="false"/>
          <w:iCs w:val="false"/>
          <w:caps w:val="false"/>
          <w:color w:val="1C1C1E"/>
          <w:sz w:val="26"/>
          <w:szCs w:val="26"/>
        </w:rPr>
        <w:t xml:space="preserve">SAMAA is built as a cloud-native, event-driven pipeline. Every layer is independently scalable and purpose-optimized for retail-grade audio workloads.</w:t>
      </w:r>
    </w:p>
    <w:p>
      <w:pPr>
        <w:spacing w:after="0" w:before="0"/>
      </w:pPr>
      <w:r>
        <w:rPr>
          <w:sz w:val="60"/>
          <w:szCs w:val="60"/>
        </w:rPr>
        <w:t xml:space="preserve"> </w:t>
      </w:r>
    </w:p>
    <w:tbl>
      <w:tblPr>
        <w:tblW w:type="dxa" w:w="9360"/>
        <w:tblBorders>
          <w:top w:val="single" w:color="E5E5E5" w:sz="4"/>
          <w:left w:val="nil" w:color="FFFFFF" w:sz="0"/>
          <w:bottom w:val="single" w:color="E5E5E5" w:sz="4"/>
          <w:right w:val="nil" w:color="FFFFFF" w:sz="0"/>
          <w:insideH w:val="single" w:color="auto" w:sz="4"/>
          <w:insideV w:val="single" w:color="auto" w:sz="4"/>
        </w:tblBorders>
      </w:tblPr>
      <w:tblGrid>
        <w:gridCol w:w="520"/>
        <w:gridCol w:w="8840"/>
      </w:tblGrid>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01</w:t>
            </w:r>
          </w:p>
        </w:tc>
        <w:tc>
          <w:tcPr>
            <w:tcW w:type="dxa" w:w="8840"/>
            <w:tcBorders>
              <w:top w:val="nil" w:color="FFFFFF" w:sz="0"/>
              <w:left w:val="single" w:color="00D4A4" w:sz="8"/>
              <w:bottom w:val="single" w:color="EDEDED" w:sz="2"/>
              <w:right w:val="nil" w:color="FFFFFF" w:sz="0"/>
            </w:tcBorders>
            <w:shd w:fill="FFFFFF"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Wearable Recorder</w:t>
            </w:r>
          </w:p>
          <w:p>
            <w:pPr>
              <w:spacing w:after="0" w:before="0"/>
              <w:jc w:val="left"/>
            </w:pPr>
            <w:r>
              <w:rPr>
                <w:rFonts w:ascii="Inter" w:cs="Inter" w:eastAsia="Inter" w:hAnsi="Inter"/>
                <w:b w:val="false"/>
                <w:bCs w:val="false"/>
                <w:i w:val="false"/>
                <w:iCs w:val="false"/>
                <w:caps w:val="false"/>
                <w:color w:val="5A5A5C"/>
                <w:sz w:val="22"/>
                <w:szCs w:val="22"/>
              </w:rPr>
              <w:t xml:space="preserve">Per-salesperson voice capture device. Continuous recording, on-device storage, retail noise-optimized microphone.</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02</w:t>
            </w:r>
          </w:p>
        </w:tc>
        <w:tc>
          <w:tcPr>
            <w:tcW w:type="dxa" w:w="8840"/>
            <w:tcBorders>
              <w:top w:val="nil" w:color="FFFFFF" w:sz="0"/>
              <w:left w:val="single" w:color="00D4A4" w:sz="8"/>
              <w:bottom w:val="single" w:color="EDEDED" w:sz="2"/>
              <w:right w:val="nil" w:color="FFFFFF" w:sz="0"/>
            </w:tcBorders>
            <w:shd w:fill="FAFAFA"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Store Collection Hub</w:t>
            </w:r>
          </w:p>
          <w:p>
            <w:pPr>
              <w:spacing w:after="0" w:before="0"/>
              <w:jc w:val="left"/>
            </w:pPr>
            <w:r>
              <w:rPr>
                <w:rFonts w:ascii="Inter" w:cs="Inter" w:eastAsia="Inter" w:hAnsi="Inter"/>
                <w:b w:val="false"/>
                <w:bCs w:val="false"/>
                <w:i w:val="false"/>
                <w:iCs w:val="false"/>
                <w:caps w:val="false"/>
                <w:color w:val="5A5A5C"/>
                <w:sz w:val="22"/>
                <w:szCs w:val="22"/>
              </w:rPr>
              <w:t xml:space="preserve">Raspberry Pi 5 or Mini PC per store. Powered USB docking hub, local SSD cache, automatic device detection.</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03</w:t>
            </w:r>
          </w:p>
        </w:tc>
        <w:tc>
          <w:tcPr>
            <w:tcW w:type="dxa" w:w="8840"/>
            <w:tcBorders>
              <w:top w:val="nil" w:color="FFFFFF" w:sz="0"/>
              <w:left w:val="single" w:color="00D4A4" w:sz="8"/>
              <w:bottom w:val="single" w:color="EDEDED" w:sz="2"/>
              <w:right w:val="nil" w:color="FFFFFF" w:sz="0"/>
            </w:tcBorders>
            <w:shd w:fill="FFFFFF"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Cloud Storage</w:t>
            </w:r>
          </w:p>
          <w:p>
            <w:pPr>
              <w:spacing w:after="0" w:before="0"/>
              <w:jc w:val="left"/>
            </w:pPr>
            <w:r>
              <w:rPr>
                <w:rFonts w:ascii="Inter" w:cs="Inter" w:eastAsia="Inter" w:hAnsi="Inter"/>
                <w:b w:val="false"/>
                <w:bCs w:val="false"/>
                <w:i w:val="false"/>
                <w:iCs w:val="false"/>
                <w:caps w:val="false"/>
                <w:color w:val="5A5A5C"/>
                <w:sz w:val="22"/>
                <w:szCs w:val="22"/>
              </w:rPr>
              <w:t xml:space="preserve">AES-256 encrypted object storage. Regional data residency options for GCC compliance.</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04</w:t>
            </w:r>
          </w:p>
        </w:tc>
        <w:tc>
          <w:tcPr>
            <w:tcW w:type="dxa" w:w="8840"/>
            <w:tcBorders>
              <w:top w:val="nil" w:color="FFFFFF" w:sz="0"/>
              <w:left w:val="single" w:color="00D4A4" w:sz="8"/>
              <w:bottom w:val="single" w:color="EDEDED" w:sz="2"/>
              <w:right w:val="nil" w:color="FFFFFF" w:sz="0"/>
            </w:tcBorders>
            <w:shd w:fill="FAFAFA"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Audio Processing Pipeline</w:t>
            </w:r>
          </w:p>
          <w:p>
            <w:pPr>
              <w:spacing w:after="0" w:before="0"/>
              <w:jc w:val="left"/>
            </w:pPr>
            <w:r>
              <w:rPr>
                <w:rFonts w:ascii="Inter" w:cs="Inter" w:eastAsia="Inter" w:hAnsi="Inter"/>
                <w:b w:val="false"/>
                <w:bCs w:val="false"/>
                <w:i w:val="false"/>
                <w:iCs w:val="false"/>
                <w:caps w:val="false"/>
                <w:color w:val="5A5A5C"/>
                <w:sz w:val="22"/>
                <w:szCs w:val="22"/>
              </w:rPr>
              <w:t xml:space="preserve">Validation, quality scoring, and normalization before AI ingestion.</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05</w:t>
            </w:r>
          </w:p>
        </w:tc>
        <w:tc>
          <w:tcPr>
            <w:tcW w:type="dxa" w:w="8840"/>
            <w:tcBorders>
              <w:top w:val="nil" w:color="FFFFFF" w:sz="0"/>
              <w:left w:val="single" w:color="00D4A4" w:sz="8"/>
              <w:bottom w:val="single" w:color="EDEDED" w:sz="2"/>
              <w:right w:val="nil" w:color="FFFFFF" w:sz="0"/>
            </w:tcBorders>
            <w:shd w:fill="FFFFFF"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Speech-to-Text Engine</w:t>
            </w:r>
          </w:p>
          <w:p>
            <w:pPr>
              <w:spacing w:after="0" w:before="0"/>
              <w:jc w:val="left"/>
            </w:pPr>
            <w:r>
              <w:rPr>
                <w:rFonts w:ascii="Inter" w:cs="Inter" w:eastAsia="Inter" w:hAnsi="Inter"/>
                <w:b w:val="false"/>
                <w:bCs w:val="false"/>
                <w:i w:val="false"/>
                <w:iCs w:val="false"/>
                <w:caps w:val="false"/>
                <w:color w:val="5A5A5C"/>
                <w:sz w:val="22"/>
                <w:szCs w:val="22"/>
              </w:rPr>
              <w:t xml:space="preserve">Multi-language ASR with speaker diarization. Arabic, English, Hindi, Urdu.</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06</w:t>
            </w:r>
          </w:p>
        </w:tc>
        <w:tc>
          <w:tcPr>
            <w:tcW w:type="dxa" w:w="8840"/>
            <w:tcBorders>
              <w:top w:val="nil" w:color="FFFFFF" w:sz="0"/>
              <w:left w:val="single" w:color="00D4A4" w:sz="8"/>
              <w:bottom w:val="single" w:color="EDEDED" w:sz="2"/>
              <w:right w:val="nil" w:color="FFFFFF" w:sz="0"/>
            </w:tcBorders>
            <w:shd w:fill="FAFAFA"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AI Analysis Engine</w:t>
            </w:r>
          </w:p>
          <w:p>
            <w:pPr>
              <w:spacing w:after="0" w:before="0"/>
              <w:jc w:val="left"/>
            </w:pPr>
            <w:r>
              <w:rPr>
                <w:rFonts w:ascii="Inter" w:cs="Inter" w:eastAsia="Inter" w:hAnsi="Inter"/>
                <w:b w:val="false"/>
                <w:bCs w:val="false"/>
                <w:i w:val="false"/>
                <w:iCs w:val="false"/>
                <w:caps w:val="false"/>
                <w:color w:val="5A5A5C"/>
                <w:sz w:val="22"/>
                <w:szCs w:val="22"/>
              </w:rPr>
              <w:t xml:space="preserve">Intent, sentiment, objection detection, SOP scoring, behavioral pattern extraction.</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07</w:t>
            </w:r>
          </w:p>
        </w:tc>
        <w:tc>
          <w:tcPr>
            <w:tcW w:type="dxa" w:w="8840"/>
            <w:tcBorders>
              <w:top w:val="nil" w:color="FFFFFF" w:sz="0"/>
              <w:left w:val="single" w:color="00D4A4" w:sz="8"/>
              <w:bottom w:val="single" w:color="EDEDED" w:sz="2"/>
              <w:right w:val="nil" w:color="FFFFFF" w:sz="0"/>
            </w:tcBorders>
            <w:shd w:fill="FFFFFF"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Performance Intelligence Layer</w:t>
            </w:r>
          </w:p>
          <w:p>
            <w:pPr>
              <w:spacing w:after="0" w:before="0"/>
              <w:jc w:val="left"/>
            </w:pPr>
            <w:r>
              <w:rPr>
                <w:rFonts w:ascii="Inter" w:cs="Inter" w:eastAsia="Inter" w:hAnsi="Inter"/>
                <w:b w:val="false"/>
                <w:bCs w:val="false"/>
                <w:i w:val="false"/>
                <w:iCs w:val="false"/>
                <w:caps w:val="false"/>
                <w:color w:val="5A5A5C"/>
                <w:sz w:val="22"/>
                <w:szCs w:val="22"/>
              </w:rPr>
              <w:t xml:space="preserve">Employee profiles, store benchmarking, coaching signals, predictive models.</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08</w:t>
            </w:r>
          </w:p>
        </w:tc>
        <w:tc>
          <w:tcPr>
            <w:tcW w:type="dxa" w:w="8840"/>
            <w:tcBorders>
              <w:top w:val="nil" w:color="FFFFFF" w:sz="0"/>
              <w:left w:val="single" w:color="00D4A4" w:sz="8"/>
              <w:bottom w:val="single" w:color="EDEDED" w:sz="2"/>
              <w:right w:val="nil" w:color="FFFFFF" w:sz="0"/>
            </w:tcBorders>
            <w:shd w:fill="FAFAFA"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Backend APIs</w:t>
            </w:r>
          </w:p>
          <w:p>
            <w:pPr>
              <w:spacing w:after="0" w:before="0"/>
              <w:jc w:val="left"/>
            </w:pPr>
            <w:r>
              <w:rPr>
                <w:rFonts w:ascii="Inter" w:cs="Inter" w:eastAsia="Inter" w:hAnsi="Inter"/>
                <w:b w:val="false"/>
                <w:bCs w:val="false"/>
                <w:i w:val="false"/>
                <w:iCs w:val="false"/>
                <w:caps w:val="false"/>
                <w:color w:val="5A5A5C"/>
                <w:sz w:val="22"/>
                <w:szCs w:val="22"/>
              </w:rPr>
              <w:t xml:space="preserve">Multi-tenant REST/GraphQL APIs with RBAC enforcement and audit logging.</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09</w:t>
            </w:r>
          </w:p>
        </w:tc>
        <w:tc>
          <w:tcPr>
            <w:tcW w:type="dxa" w:w="8840"/>
            <w:tcBorders>
              <w:top w:val="nil" w:color="FFFFFF" w:sz="0"/>
              <w:left w:val="single" w:color="00D4A4" w:sz="8"/>
              <w:bottom w:val="single" w:color="EDEDED" w:sz="2"/>
              <w:right w:val="nil" w:color="FFFFFF" w:sz="0"/>
            </w:tcBorders>
            <w:shd w:fill="FFFFFF"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Frontend Dashboard</w:t>
            </w:r>
          </w:p>
          <w:p>
            <w:pPr>
              <w:spacing w:after="0" w:before="0"/>
              <w:jc w:val="left"/>
            </w:pPr>
            <w:r>
              <w:rPr>
                <w:rFonts w:ascii="Inter" w:cs="Inter" w:eastAsia="Inter" w:hAnsi="Inter"/>
                <w:b w:val="false"/>
                <w:bCs w:val="false"/>
                <w:i w:val="false"/>
                <w:iCs w:val="false"/>
                <w:caps w:val="false"/>
                <w:color w:val="5A5A5C"/>
                <w:sz w:val="22"/>
                <w:szCs w:val="22"/>
              </w:rPr>
              <w:t xml:space="preserve">React / Next.js. Role-specific views, enterprise reporting, Retail Copilot.</w:t>
            </w:r>
          </w:p>
        </w:tc>
      </w:tr>
    </w:tbl>
    <w:p>
      <w:pPr>
        <w:spacing w:after="0" w:before="0"/>
      </w:pPr>
      <w:r>
        <w:rPr>
          <w:sz w:val="60"/>
          <w:szCs w:val="60"/>
        </w:rPr>
        <w:t xml:space="preserve"> </w:t>
      </w:r>
    </w:p>
    <w:p>
      <w:pPr>
        <w:pStyle w:val="Heading2"/>
        <w:spacing w:after="160" w:before="320"/>
      </w:pPr>
      <w:r>
        <w:rPr>
          <w:rFonts w:ascii="Inter" w:cs="Inter" w:eastAsia="Inter" w:hAnsi="Inter"/>
          <w:b/>
          <w:bCs/>
          <w:i w:val="false"/>
          <w:iCs w:val="false"/>
          <w:caps w:val="false"/>
          <w:color w:val="0A0A0A"/>
          <w:sz w:val="32"/>
          <w:szCs w:val="32"/>
        </w:rPr>
        <w:t xml:space="preserve">Layer Breakdown</w:t>
      </w:r>
    </w:p>
    <w:p>
      <w:pPr>
        <w:spacing w:after="0" w:before="0"/>
      </w:pPr>
      <w:r>
        <w:rPr>
          <w:sz w:val="40"/>
          <w:szCs w:val="4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E5E5E5" w:sz="4"/>
              <w:left w:val="single" w:color="E5E5E5" w:sz="4"/>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Layer</w:t>
            </w:r>
          </w:p>
        </w:tc>
        <w:tc>
          <w:tcPr>
            <w:tcW w:type="dxa" w:w="3600"/>
            <w:tcBorders>
              <w:top w:val="single" w:color="E5E5E5" w:sz="4"/>
              <w:left w:val="nil" w:color="FFFFFF" w:sz="0"/>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Components</w:t>
            </w:r>
          </w:p>
        </w:tc>
        <w:tc>
          <w:tcPr>
            <w:tcW w:type="dxa" w:w="3960"/>
            <w:tcBorders>
              <w:top w:val="single" w:color="E5E5E5" w:sz="4"/>
              <w:left w:val="nil" w:color="FFFFFF" w:sz="0"/>
              <w:bottom w:val="single" w:color="00D4A4" w:sz="8"/>
              <w:right w:val="single" w:color="E5E5E5" w:sz="4"/>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Responsibility</w:t>
            </w:r>
          </w:p>
        </w:tc>
      </w:tr>
      <w:tr>
        <w:tc>
          <w:tcPr>
            <w:tcW w:type="dxa" w:w="18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Edge</w:t>
            </w:r>
          </w:p>
        </w:tc>
        <w:tc>
          <w:tcPr>
            <w:tcW w:type="dxa" w:w="36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Wearable device · Store hub · USB dock</w:t>
            </w:r>
          </w:p>
        </w:tc>
        <w:tc>
          <w:tcPr>
            <w:tcW w:type="dxa" w:w="39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Audio capture, local buffering, offline resilience</w:t>
            </w:r>
          </w:p>
        </w:tc>
      </w:tr>
      <w:tr>
        <w:tc>
          <w:tcPr>
            <w:tcW w:type="dxa" w:w="18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Cloud</w:t>
            </w:r>
          </w:p>
        </w:tc>
        <w:tc>
          <w:tcPr>
            <w:tcW w:type="dxa" w:w="36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Object storage · Processing queue · AI workers</w:t>
            </w:r>
          </w:p>
        </w:tc>
        <w:tc>
          <w:tcPr>
            <w:tcW w:type="dxa" w:w="39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Audio ingestion, transformation, AI inference</w:t>
            </w:r>
          </w:p>
        </w:tc>
      </w:tr>
      <w:tr>
        <w:tc>
          <w:tcPr>
            <w:tcW w:type="dxa" w:w="18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Intelligence</w:t>
            </w:r>
          </w:p>
        </w:tc>
        <w:tc>
          <w:tcPr>
            <w:tcW w:type="dxa" w:w="36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STT · Analysis engine · Behavioral graph</w:t>
            </w:r>
          </w:p>
        </w:tc>
        <w:tc>
          <w:tcPr>
            <w:tcW w:type="dxa" w:w="39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Insight generation, pattern detection, scoring</w:t>
            </w:r>
          </w:p>
        </w:tc>
      </w:tr>
      <w:tr>
        <w:tc>
          <w:tcPr>
            <w:tcW w:type="dxa" w:w="18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Application</w:t>
            </w:r>
          </w:p>
        </w:tc>
        <w:tc>
          <w:tcPr>
            <w:tcW w:type="dxa" w:w="36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Multi-tenant API · RBAC · Dashboard services</w:t>
            </w:r>
          </w:p>
        </w:tc>
        <w:tc>
          <w:tcPr>
            <w:tcW w:type="dxa" w:w="39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Data delivery, access control, user experience</w:t>
            </w:r>
          </w:p>
        </w:tc>
      </w:tr>
      <w:tr>
        <w:tc>
          <w:tcPr>
            <w:tcW w:type="dxa" w:w="1800"/>
            <w:tcBorders>
              <w:top w:val="nil" w:color="FFFFFF" w:sz="0"/>
              <w:left w:val="single" w:color="E5E5E5" w:sz="4"/>
              <w:bottom w:val="single" w:color="E5E5E5"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Presentation</w:t>
            </w:r>
          </w:p>
        </w:tc>
        <w:tc>
          <w:tcPr>
            <w:tcW w:type="dxa" w:w="3600"/>
            <w:tcBorders>
              <w:top w:val="nil" w:color="FFFFFF" w:sz="0"/>
              <w:left w:val="nil" w:color="FFFFFF" w:sz="0"/>
              <w:bottom w:val="single" w:color="E5E5E5"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React/Next.js · Mobile · Admin console</w:t>
            </w:r>
          </w:p>
        </w:tc>
        <w:tc>
          <w:tcPr>
            <w:tcW w:type="dxa" w:w="3960"/>
            <w:tcBorders>
              <w:top w:val="nil" w:color="FFFFFF" w:sz="0"/>
              <w:left w:val="nil" w:color="FFFFFF" w:sz="0"/>
              <w:bottom w:val="single" w:color="E5E5E5"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Role-specific views, reporting, Copilot interface</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80"/>
        <w:gridCol w:w="8680"/>
      </w:tblGrid>
      <w:tr>
        <w:tc>
          <w:tcPr>
            <w:tcW w:type="dxa" w:w="680"/>
            <w:tcBorders>
              <w:top w:val="single" w:color="00D4A4" w:sz="0"/>
              <w:left w:val="single" w:color="00D4A4" w:sz="0"/>
              <w:bottom w:val="single" w:color="00D4A4" w:sz="0"/>
              <w:right w:val="single" w:color="00D4A4" w:sz="0"/>
            </w:tcBorders>
            <w:shd w:fill="00D4A4" w:val="clear"/>
            <w:tcMar>
              <w:top w:type="dxa" w:w="160"/>
              <w:left w:type="dxa" w:w="160"/>
              <w:bottom w:type="dxa" w:w="160"/>
              <w:right w:type="dxa" w:w="160"/>
            </w:tcMar>
            <w:vAlign w:val="center"/>
          </w:tcPr>
          <w:p>
            <w:pPr>
              <w:spacing w:after="0" w:before="0"/>
              <w:jc w:val="center"/>
            </w:pPr>
            <w:r>
              <w:rPr>
                <w:rFonts w:ascii="Inter" w:cs="Inter" w:eastAsia="Inter" w:hAnsi="Inter"/>
                <w:b/>
                <w:bCs/>
                <w:i w:val="false"/>
                <w:iCs w:val="false"/>
                <w:caps w:val="false"/>
                <w:color w:val="0A0A0A"/>
                <w:sz w:val="30"/>
                <w:szCs w:val="30"/>
              </w:rPr>
              <w:t xml:space="preserve">04</w:t>
            </w:r>
          </w:p>
        </w:tc>
        <w:tc>
          <w:tcPr>
            <w:tcW w:type="dxa" w:w="8680"/>
            <w:tcBorders>
              <w:top w:val="single" w:color="0A0A0A" w:sz="0"/>
              <w:left w:val="single" w:color="0A0A0A" w:sz="0"/>
              <w:bottom w:val="single" w:color="0A0A0A" w:sz="0"/>
              <w:right w:val="single" w:color="0A0A0A" w:sz="0"/>
            </w:tcBorders>
            <w:shd w:fill="0A0A0A" w:val="clear"/>
            <w:tcMar>
              <w:top w:type="dxa" w:w="160"/>
              <w:left w:type="dxa" w:w="240"/>
              <w:bottom w:type="dxa" w:w="160"/>
              <w:right w:type="dxa" w:w="240"/>
            </w:tcMar>
            <w:vAlign w:val="center"/>
          </w:tcPr>
          <w:p>
            <w:pPr>
              <w:spacing w:after="0" w:before="0"/>
              <w:jc w:val="left"/>
            </w:pPr>
            <w:r>
              <w:rPr>
                <w:rFonts w:ascii="Inter" w:cs="Inter" w:eastAsia="Inter" w:hAnsi="Inter"/>
                <w:b/>
                <w:bCs/>
                <w:i w:val="false"/>
                <w:iCs w:val="false"/>
                <w:caps w:val="false"/>
                <w:color w:val="FFFFFF"/>
                <w:sz w:val="30"/>
                <w:szCs w:val="30"/>
              </w:rPr>
              <w:t xml:space="preserve">Audio Collection Architecture</w:t>
            </w:r>
          </w:p>
        </w:tc>
      </w:tr>
    </w:tbl>
    <w:p>
      <w:pPr>
        <w:spacing w:after="0" w:before="0"/>
      </w:pPr>
      <w:r>
        <w:rPr>
          <w:sz w:val="60"/>
          <w:szCs w:val="60"/>
        </w:rPr>
        <w:t xml:space="preserve"> </w:t>
      </w:r>
    </w:p>
    <w:p>
      <w:pPr>
        <w:spacing w:after="140" w:before="0"/>
        <w:jc w:val="left"/>
      </w:pPr>
      <w:r>
        <w:rPr>
          <w:rFonts w:ascii="Inter" w:cs="Inter" w:eastAsia="Inter" w:hAnsi="Inter"/>
          <w:b w:val="false"/>
          <w:bCs w:val="false"/>
          <w:i w:val="false"/>
          <w:iCs w:val="false"/>
          <w:caps w:val="false"/>
          <w:color w:val="1C1C1E"/>
          <w:sz w:val="26"/>
          <w:szCs w:val="26"/>
        </w:rPr>
        <w:t xml:space="preserve">SAMAA uses an offline-first architecture optimized for retail deployment. The design prioritizes reliability and simplicity — no WiFi dependency during the sales day.</w:t>
      </w:r>
    </w:p>
    <w:p>
      <w:pPr>
        <w:spacing w:after="0" w:before="0"/>
      </w:pPr>
      <w:r>
        <w:rPr>
          <w:sz w:val="60"/>
          <w:szCs w:val="60"/>
        </w:rPr>
        <w:t xml:space="preserve"> </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5400"/>
        <w:gridCol w:w="3960"/>
      </w:tblGrid>
      <w:tr>
        <w:tc>
          <w:tcPr>
            <w:tcW w:type="dxa" w:w="5400"/>
            <w:tcBorders>
              <w:top w:val="single" w:color="E5E5E5" w:sz="4"/>
              <w:left w:val="single" w:color="E5E5E5" w:sz="4"/>
              <w:bottom w:val="single" w:color="E5E5E5" w:sz="4"/>
              <w:right w:val="single" w:color="E5E5E5" w:sz="4"/>
            </w:tcBorders>
            <w:shd w:fill="FFFFFF" w:val="clear"/>
            <w:tcMar>
              <w:top w:type="dxa" w:w="160"/>
              <w:left w:type="dxa" w:w="220"/>
              <w:bottom w:type="dxa" w:w="160"/>
              <w:right w:type="dxa" w:w="220"/>
            </w:tcMar>
          </w:tcPr>
          <w:p>
            <w:pPr>
              <w:pStyle w:val="Heading3"/>
              <w:spacing w:after="100" w:before="240"/>
            </w:pPr>
            <w:r>
              <w:rPr>
                <w:rFonts w:ascii="Inter" w:cs="Inter" w:eastAsia="Inter" w:hAnsi="Inter"/>
                <w:b/>
                <w:bCs/>
                <w:i w:val="false"/>
                <w:iCs w:val="false"/>
                <w:caps w:val="false"/>
                <w:color w:val="0A0A0A"/>
                <w:sz w:val="26"/>
                <w:szCs w:val="26"/>
              </w:rPr>
              <w:t xml:space="preserve">Per-Salesperson Device</w:t>
            </w:r>
          </w:p>
          <w:p>
            <w:pPr>
              <w:spacing w:after="0" w:before="0"/>
            </w:pPr>
            <w:r>
              <w:rPr>
                <w:sz w:val="40"/>
                <w:szCs w:val="4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32 GB – 64 GB on-device storage</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8–15 hour battery life</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USB-C connectivity</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Timestamped recordings</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Retail noise-optimized microphone</w:t>
            </w:r>
          </w:p>
          <w:p>
            <w:pPr>
              <w:spacing w:after="0" w:before="0"/>
            </w:pPr>
            <w:r>
              <w:rPr>
                <w:sz w:val="40"/>
                <w:szCs w:val="40"/>
              </w:rPr>
              <w:t xml:space="preserve"> </w:t>
            </w:r>
          </w:p>
          <w:p>
            <w:pPr>
              <w:spacing w:after="140" w:before="0"/>
              <w:jc w:val="left"/>
            </w:pPr>
            <w:r>
              <w:rPr>
                <w:rFonts w:ascii="Inter" w:cs="Inter" w:eastAsia="Inter" w:hAnsi="Inter"/>
                <w:b w:val="false"/>
                <w:bCs w:val="false"/>
                <w:i w:val="false"/>
                <w:iCs w:val="false"/>
                <w:caps w:val="false"/>
                <w:color w:val="5A5A5C"/>
                <w:sz w:val="26"/>
                <w:szCs w:val="26"/>
              </w:rPr>
              <w:t xml:space="preserve">The device records throughout the day with no internet connectivity required. End-of-day USB dock synchronization transfers all recordings automatically.</w:t>
            </w:r>
          </w:p>
        </w:tc>
        <w:tc>
          <w:tcPr>
            <w:tcW w:type="dxa" w:w="3960"/>
            <w:tcBorders>
              <w:top w:val="single" w:color="E5E5E5" w:sz="4"/>
              <w:left w:val="single" w:color="E5E5E5" w:sz="4"/>
              <w:bottom w:val="single" w:color="E5E5E5" w:sz="4"/>
              <w:right w:val="single" w:color="E5E5E5" w:sz="4"/>
            </w:tcBorders>
            <w:shd w:fill="F7F7F7" w:val="clear"/>
            <w:tcMar>
              <w:top w:type="dxa" w:w="160"/>
              <w:left w:type="dxa" w:w="220"/>
              <w:bottom w:type="dxa" w:w="160"/>
              <w:right w:type="dxa" w:w="220"/>
            </w:tcMar>
          </w:tcPr>
          <w:p>
            <w:pPr>
              <w:pStyle w:val="Heading3"/>
              <w:spacing w:after="100" w:before="240"/>
            </w:pPr>
            <w:r>
              <w:rPr>
                <w:rFonts w:ascii="Inter" w:cs="Inter" w:eastAsia="Inter" w:hAnsi="Inter"/>
                <w:b/>
                <w:bCs/>
                <w:i w:val="false"/>
                <w:iCs w:val="false"/>
                <w:caps w:val="false"/>
                <w:color w:val="0A0A0A"/>
                <w:sz w:val="26"/>
                <w:szCs w:val="26"/>
              </w:rPr>
              <w:t xml:space="preserve">Store Collection Hub</w:t>
            </w:r>
          </w:p>
          <w:p>
            <w:pPr>
              <w:spacing w:after="0" w:before="0"/>
            </w:pPr>
            <w:r>
              <w:rPr>
                <w:sz w:val="40"/>
                <w:szCs w:val="4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Raspberry Pi 5 or Mini PC</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Powered USB docking hub</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Local SSD cache</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Persistent internet connectivity</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Auto-retry on upload failure</w:t>
            </w:r>
          </w:p>
          <w:p>
            <w:pPr>
              <w:spacing w:after="0" w:before="0"/>
            </w:pPr>
            <w:r>
              <w:rPr>
                <w:sz w:val="40"/>
                <w:szCs w:val="40"/>
              </w:rPr>
              <w:t xml:space="preserve"> </w:t>
            </w:r>
          </w:p>
          <w:p>
            <w:pPr>
              <w:spacing w:after="140" w:before="0"/>
              <w:jc w:val="left"/>
            </w:pPr>
            <w:r>
              <w:rPr>
                <w:rFonts w:ascii="Inter" w:cs="Inter" w:eastAsia="Inter" w:hAnsi="Inter"/>
                <w:b w:val="false"/>
                <w:bCs w:val="false"/>
                <w:i w:val="false"/>
                <w:iCs w:val="false"/>
                <w:caps w:val="false"/>
                <w:color w:val="5A5A5C"/>
                <w:sz w:val="26"/>
                <w:szCs w:val="26"/>
              </w:rPr>
              <w:t xml:space="preserve">One hub per store. The hub runs a lightweight sync daemon that requires zero manual intervention from store staff.</w:t>
            </w:r>
          </w:p>
        </w:tc>
      </w:tr>
    </w:tbl>
    <w:p>
      <w:pPr>
        <w:spacing w:after="0" w:before="0"/>
      </w:pPr>
      <w:r>
        <w:rPr>
          <w:sz w:val="60"/>
          <w:szCs w:val="60"/>
        </w:rPr>
        <w:t xml:space="preserve"> </w:t>
      </w:r>
    </w:p>
    <w:p>
      <w:pPr>
        <w:pStyle w:val="Heading2"/>
        <w:spacing w:after="160" w:before="320"/>
      </w:pPr>
      <w:r>
        <w:rPr>
          <w:rFonts w:ascii="Inter" w:cs="Inter" w:eastAsia="Inter" w:hAnsi="Inter"/>
          <w:b/>
          <w:bCs/>
          <w:i w:val="false"/>
          <w:iCs w:val="false"/>
          <w:caps w:val="false"/>
          <w:color w:val="0A0A0A"/>
          <w:sz w:val="32"/>
          <w:szCs w:val="32"/>
        </w:rPr>
        <w:t xml:space="preserve">Synchronization Workflow</w:t>
      </w:r>
    </w:p>
    <w:p>
      <w:pPr>
        <w:spacing w:after="0" w:before="0"/>
      </w:pPr>
      <w:r>
        <w:rPr>
          <w:sz w:val="40"/>
          <w:szCs w:val="40"/>
        </w:rPr>
        <w:t xml:space="preserve"> </w:t>
      </w:r>
    </w:p>
    <w:tbl>
      <w:tblPr>
        <w:tblW w:type="dxa" w:w="9360"/>
        <w:tblBorders>
          <w:top w:val="single" w:color="E5E5E5" w:sz="4"/>
          <w:left w:val="nil" w:color="FFFFFF" w:sz="0"/>
          <w:bottom w:val="single" w:color="E5E5E5" w:sz="4"/>
          <w:right w:val="nil" w:color="FFFFFF" w:sz="0"/>
          <w:insideH w:val="single" w:color="auto" w:sz="4"/>
          <w:insideV w:val="single" w:color="auto" w:sz="4"/>
        </w:tblBorders>
      </w:tblPr>
      <w:tblGrid>
        <w:gridCol w:w="520"/>
        <w:gridCol w:w="8840"/>
      </w:tblGrid>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01</w:t>
            </w:r>
          </w:p>
        </w:tc>
        <w:tc>
          <w:tcPr>
            <w:tcW w:type="dxa" w:w="8840"/>
            <w:tcBorders>
              <w:top w:val="nil" w:color="FFFFFF" w:sz="0"/>
              <w:left w:val="single" w:color="00D4A4" w:sz="8"/>
              <w:bottom w:val="single" w:color="EDEDED" w:sz="2"/>
              <w:right w:val="nil" w:color="FFFFFF" w:sz="0"/>
            </w:tcBorders>
            <w:shd w:fill="FFFFFF"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Voice Recorder docked</w:t>
            </w:r>
          </w:p>
          <w:p>
            <w:pPr>
              <w:spacing w:after="0" w:before="0"/>
              <w:jc w:val="left"/>
            </w:pPr>
            <w:r>
              <w:rPr>
                <w:rFonts w:ascii="Inter" w:cs="Inter" w:eastAsia="Inter" w:hAnsi="Inter"/>
                <w:b w:val="false"/>
                <w:bCs w:val="false"/>
                <w:i w:val="false"/>
                <w:iCs w:val="false"/>
                <w:caps w:val="false"/>
                <w:color w:val="5A5A5C"/>
                <w:sz w:val="22"/>
                <w:szCs w:val="22"/>
              </w:rPr>
              <w:t xml:space="preserve">Salesperson places device in powered USB hub at end of shift.</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02</w:t>
            </w:r>
          </w:p>
        </w:tc>
        <w:tc>
          <w:tcPr>
            <w:tcW w:type="dxa" w:w="8840"/>
            <w:tcBorders>
              <w:top w:val="nil" w:color="FFFFFF" w:sz="0"/>
              <w:left w:val="single" w:color="00D4A4" w:sz="8"/>
              <w:bottom w:val="single" w:color="EDEDED" w:sz="2"/>
              <w:right w:val="nil" w:color="FFFFFF" w:sz="0"/>
            </w:tcBorders>
            <w:shd w:fill="FAFAFA"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Device auto-detected</w:t>
            </w:r>
          </w:p>
          <w:p>
            <w:pPr>
              <w:spacing w:after="0" w:before="0"/>
              <w:jc w:val="left"/>
            </w:pPr>
            <w:r>
              <w:rPr>
                <w:rFonts w:ascii="Inter" w:cs="Inter" w:eastAsia="Inter" w:hAnsi="Inter"/>
                <w:b w:val="false"/>
                <w:bCs w:val="false"/>
                <w:i w:val="false"/>
                <w:iCs w:val="false"/>
                <w:caps w:val="false"/>
                <w:color w:val="5A5A5C"/>
                <w:sz w:val="22"/>
                <w:szCs w:val="22"/>
              </w:rPr>
              <w:t xml:space="preserve">Store hub identifies device and initiates file copy.</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03</w:t>
            </w:r>
          </w:p>
        </w:tc>
        <w:tc>
          <w:tcPr>
            <w:tcW w:type="dxa" w:w="8840"/>
            <w:tcBorders>
              <w:top w:val="nil" w:color="FFFFFF" w:sz="0"/>
              <w:left w:val="single" w:color="00D4A4" w:sz="8"/>
              <w:bottom w:val="single" w:color="EDEDED" w:sz="2"/>
              <w:right w:val="nil" w:color="FFFFFF" w:sz="0"/>
            </w:tcBorders>
            <w:shd w:fill="FFFFFF"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Audio validation</w:t>
            </w:r>
          </w:p>
          <w:p>
            <w:pPr>
              <w:spacing w:after="0" w:before="0"/>
              <w:jc w:val="left"/>
            </w:pPr>
            <w:r>
              <w:rPr>
                <w:rFonts w:ascii="Inter" w:cs="Inter" w:eastAsia="Inter" w:hAnsi="Inter"/>
                <w:b w:val="false"/>
                <w:bCs w:val="false"/>
                <w:i w:val="false"/>
                <w:iCs w:val="false"/>
                <w:caps w:val="false"/>
                <w:color w:val="5A5A5C"/>
                <w:sz w:val="22"/>
                <w:szCs w:val="22"/>
              </w:rPr>
              <w:t xml:space="preserve">File integrity check, duration validation, quality scoring.</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04</w:t>
            </w:r>
          </w:p>
        </w:tc>
        <w:tc>
          <w:tcPr>
            <w:tcW w:type="dxa" w:w="8840"/>
            <w:tcBorders>
              <w:top w:val="nil" w:color="FFFFFF" w:sz="0"/>
              <w:left w:val="single" w:color="00D4A4" w:sz="8"/>
              <w:bottom w:val="single" w:color="EDEDED" w:sz="2"/>
              <w:right w:val="nil" w:color="FFFFFF" w:sz="0"/>
            </w:tcBorders>
            <w:shd w:fill="FAFAFA"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Cloud upload</w:t>
            </w:r>
          </w:p>
          <w:p>
            <w:pPr>
              <w:spacing w:after="0" w:before="0"/>
              <w:jc w:val="left"/>
            </w:pPr>
            <w:r>
              <w:rPr>
                <w:rFonts w:ascii="Inter" w:cs="Inter" w:eastAsia="Inter" w:hAnsi="Inter"/>
                <w:b w:val="false"/>
                <w:bCs w:val="false"/>
                <w:i w:val="false"/>
                <w:iCs w:val="false"/>
                <w:caps w:val="false"/>
                <w:color w:val="5A5A5C"/>
                <w:sz w:val="22"/>
                <w:szCs w:val="22"/>
              </w:rPr>
              <w:t xml:space="preserve">Validated audio transferred to encrypted cloud storage.</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05</w:t>
            </w:r>
          </w:p>
        </w:tc>
        <w:tc>
          <w:tcPr>
            <w:tcW w:type="dxa" w:w="8840"/>
            <w:tcBorders>
              <w:top w:val="nil" w:color="FFFFFF" w:sz="0"/>
              <w:left w:val="single" w:color="00D4A4" w:sz="8"/>
              <w:bottom w:val="single" w:color="EDEDED" w:sz="2"/>
              <w:right w:val="nil" w:color="FFFFFF" w:sz="0"/>
            </w:tcBorders>
            <w:shd w:fill="FFFFFF"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Local cache maintained</w:t>
            </w:r>
          </w:p>
          <w:p>
            <w:pPr>
              <w:spacing w:after="0" w:before="0"/>
              <w:jc w:val="left"/>
            </w:pPr>
            <w:r>
              <w:rPr>
                <w:rFonts w:ascii="Inter" w:cs="Inter" w:eastAsia="Inter" w:hAnsi="Inter"/>
                <w:b w:val="false"/>
                <w:bCs w:val="false"/>
                <w:i w:val="false"/>
                <w:iCs w:val="false"/>
                <w:caps w:val="false"/>
                <w:color w:val="5A5A5C"/>
                <w:sz w:val="22"/>
                <w:szCs w:val="22"/>
              </w:rPr>
              <w:t xml:space="preserve">Copy retained on hub SSD until cloud confirmation received.</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06</w:t>
            </w:r>
          </w:p>
        </w:tc>
        <w:tc>
          <w:tcPr>
            <w:tcW w:type="dxa" w:w="8840"/>
            <w:tcBorders>
              <w:top w:val="nil" w:color="FFFFFF" w:sz="0"/>
              <w:left w:val="single" w:color="00D4A4" w:sz="8"/>
              <w:bottom w:val="single" w:color="EDEDED" w:sz="2"/>
              <w:right w:val="nil" w:color="FFFFFF" w:sz="0"/>
            </w:tcBorders>
            <w:shd w:fill="FAFAFA"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AI processing triggered</w:t>
            </w:r>
          </w:p>
          <w:p>
            <w:pPr>
              <w:spacing w:after="0" w:before="0"/>
              <w:jc w:val="left"/>
            </w:pPr>
            <w:r>
              <w:rPr>
                <w:rFonts w:ascii="Inter" w:cs="Inter" w:eastAsia="Inter" w:hAnsi="Inter"/>
                <w:b w:val="false"/>
                <w:bCs w:val="false"/>
                <w:i w:val="false"/>
                <w:iCs w:val="false"/>
                <w:caps w:val="false"/>
                <w:color w:val="5A5A5C"/>
                <w:sz w:val="22"/>
                <w:szCs w:val="22"/>
              </w:rPr>
              <w:t xml:space="preserve">Cloud pipeline begins transcription and analysis automatically.</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07</w:t>
            </w:r>
          </w:p>
        </w:tc>
        <w:tc>
          <w:tcPr>
            <w:tcW w:type="dxa" w:w="8840"/>
            <w:tcBorders>
              <w:top w:val="nil" w:color="FFFFFF" w:sz="0"/>
              <w:left w:val="single" w:color="00D4A4" w:sz="8"/>
              <w:bottom w:val="single" w:color="EDEDED" w:sz="2"/>
              <w:right w:val="nil" w:color="FFFFFF" w:sz="0"/>
            </w:tcBorders>
            <w:shd w:fill="FFFFFF"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Insights delivered</w:t>
            </w:r>
          </w:p>
          <w:p>
            <w:pPr>
              <w:spacing w:after="0" w:before="0"/>
              <w:jc w:val="left"/>
            </w:pPr>
            <w:r>
              <w:rPr>
                <w:rFonts w:ascii="Inter" w:cs="Inter" w:eastAsia="Inter" w:hAnsi="Inter"/>
                <w:b w:val="false"/>
                <w:bCs w:val="false"/>
                <w:i w:val="false"/>
                <w:iCs w:val="false"/>
                <w:caps w:val="false"/>
                <w:color w:val="5A5A5C"/>
                <w:sz w:val="22"/>
                <w:szCs w:val="22"/>
              </w:rPr>
              <w:t xml:space="preserve">Dashboard updated with fresh intelligence within minutes.</w:t>
            </w:r>
          </w:p>
        </w:tc>
      </w:tr>
    </w:tbl>
    <w:p>
      <w:pPr>
        <w:spacing w:after="0" w:before="0"/>
      </w:pPr>
      <w:r>
        <w:rPr>
          <w:sz w:val="60"/>
          <w:szCs w:val="60"/>
        </w:rPr>
        <w:t xml:space="preserve"> </w:t>
      </w:r>
    </w:p>
    <w:tbl>
      <w:tblPr>
        <w:tblW w:type="dxa" w:w="9360"/>
        <w:tblBorders>
          <w:top w:val="single" w:color="00D4A4" w:sz="4"/>
          <w:left w:val="single" w:color="00D4A4" w:sz="16"/>
          <w:bottom w:val="single" w:color="00D4A4" w:sz="4"/>
          <w:right w:val="single" w:color="00D4A4" w:sz="4"/>
          <w:insideH w:val="single" w:color="auto" w:sz="4"/>
          <w:insideV w:val="single" w:color="auto" w:sz="4"/>
        </w:tblBorders>
      </w:tblPr>
      <w:tblGrid>
        <w:gridCol w:w="9360"/>
      </w:tblGrid>
      <w:tr>
        <w:tc>
          <w:tcPr>
            <w:tcW w:type="dxa" w:w="9360"/>
            <w:tcBorders>
              <w:top w:val="single" w:color="00D4A4" w:sz="4"/>
              <w:left w:val="single" w:color="00D4A4" w:sz="16"/>
              <w:bottom w:val="single" w:color="00D4A4" w:sz="4"/>
              <w:right w:val="single" w:color="00D4A4" w:sz="4"/>
            </w:tcBorders>
            <w:shd w:fill="F0FDF9" w:val="clear"/>
            <w:tcMar>
              <w:top w:type="dxa" w:w="160"/>
              <w:left w:type="dxa" w:w="240"/>
              <w:bottom w:type="dxa" w:w="160"/>
              <w:right w:type="dxa" w:w="240"/>
            </w:tcMar>
          </w:tcPr>
          <w:p>
            <w:pPr>
              <w:spacing w:after="60" w:before="120"/>
              <w:jc w:val="left"/>
            </w:pPr>
            <w:r>
              <w:rPr>
                <w:rFonts w:ascii="Inter" w:cs="Inter" w:eastAsia="Inter" w:hAnsi="Inter"/>
                <w:b/>
                <w:bCs/>
                <w:i w:val="false"/>
                <w:iCs w:val="false"/>
                <w:caps/>
                <w:color w:val="5A5A5C"/>
                <w:sz w:val="18"/>
                <w:szCs w:val="18"/>
              </w:rPr>
              <w:t xml:space="preserve">Reliability Design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Failed uploads auto-retry with exponential backoff</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Local SSD cache acts as insurance against connectivity gaps</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Duplicate detection prevents re-processing on retry</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Upload confirmation before local cache purge</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80"/>
        <w:gridCol w:w="8680"/>
      </w:tblGrid>
      <w:tr>
        <w:tc>
          <w:tcPr>
            <w:tcW w:type="dxa" w:w="680"/>
            <w:tcBorders>
              <w:top w:val="single" w:color="00D4A4" w:sz="0"/>
              <w:left w:val="single" w:color="00D4A4" w:sz="0"/>
              <w:bottom w:val="single" w:color="00D4A4" w:sz="0"/>
              <w:right w:val="single" w:color="00D4A4" w:sz="0"/>
            </w:tcBorders>
            <w:shd w:fill="00D4A4" w:val="clear"/>
            <w:tcMar>
              <w:top w:type="dxa" w:w="160"/>
              <w:left w:type="dxa" w:w="160"/>
              <w:bottom w:type="dxa" w:w="160"/>
              <w:right w:type="dxa" w:w="160"/>
            </w:tcMar>
            <w:vAlign w:val="center"/>
          </w:tcPr>
          <w:p>
            <w:pPr>
              <w:spacing w:after="0" w:before="0"/>
              <w:jc w:val="center"/>
            </w:pPr>
            <w:r>
              <w:rPr>
                <w:rFonts w:ascii="Inter" w:cs="Inter" w:eastAsia="Inter" w:hAnsi="Inter"/>
                <w:b/>
                <w:bCs/>
                <w:i w:val="false"/>
                <w:iCs w:val="false"/>
                <w:caps w:val="false"/>
                <w:color w:val="0A0A0A"/>
                <w:sz w:val="30"/>
                <w:szCs w:val="30"/>
              </w:rPr>
              <w:t xml:space="preserve">05</w:t>
            </w:r>
          </w:p>
        </w:tc>
        <w:tc>
          <w:tcPr>
            <w:tcW w:type="dxa" w:w="8680"/>
            <w:tcBorders>
              <w:top w:val="single" w:color="0A0A0A" w:sz="0"/>
              <w:left w:val="single" w:color="0A0A0A" w:sz="0"/>
              <w:bottom w:val="single" w:color="0A0A0A" w:sz="0"/>
              <w:right w:val="single" w:color="0A0A0A" w:sz="0"/>
            </w:tcBorders>
            <w:shd w:fill="0A0A0A" w:val="clear"/>
            <w:tcMar>
              <w:top w:type="dxa" w:w="160"/>
              <w:left w:type="dxa" w:w="240"/>
              <w:bottom w:type="dxa" w:w="160"/>
              <w:right w:type="dxa" w:w="240"/>
            </w:tcMar>
            <w:vAlign w:val="center"/>
          </w:tcPr>
          <w:p>
            <w:pPr>
              <w:spacing w:after="0" w:before="0"/>
              <w:jc w:val="left"/>
            </w:pPr>
            <w:r>
              <w:rPr>
                <w:rFonts w:ascii="Inter" w:cs="Inter" w:eastAsia="Inter" w:hAnsi="Inter"/>
                <w:b/>
                <w:bCs/>
                <w:i w:val="false"/>
                <w:iCs w:val="false"/>
                <w:caps w:val="false"/>
                <w:color w:val="FFFFFF"/>
                <w:sz w:val="30"/>
                <w:szCs w:val="30"/>
              </w:rPr>
              <w:t xml:space="preserve">Core Platform Capabilities</w:t>
            </w:r>
          </w:p>
        </w:tc>
      </w:tr>
    </w:tbl>
    <w:p>
      <w:pPr>
        <w:spacing w:after="0" w:before="0"/>
      </w:pPr>
      <w:r>
        <w:rPr>
          <w:sz w:val="60"/>
          <w:szCs w:val="60"/>
        </w:rPr>
        <w:t xml:space="preserve"> </w:t>
      </w:r>
    </w:p>
    <w:p>
      <w:pPr>
        <w:spacing w:after="140" w:before="0"/>
        <w:jc w:val="left"/>
      </w:pPr>
      <w:r>
        <w:rPr>
          <w:rFonts w:ascii="Inter" w:cs="Inter" w:eastAsia="Inter" w:hAnsi="Inter"/>
          <w:b w:val="false"/>
          <w:bCs w:val="false"/>
          <w:i w:val="false"/>
          <w:iCs w:val="false"/>
          <w:caps w:val="false"/>
          <w:color w:val="1C1C1E"/>
          <w:sz w:val="26"/>
          <w:szCs w:val="26"/>
        </w:rPr>
        <w:t xml:space="preserve">Seven production capabilities form the SAMAA platform core. Each is modular and independently deployable.</w:t>
      </w:r>
    </w:p>
    <w:p>
      <w:pPr>
        <w:spacing w:after="0" w:before="0"/>
      </w:pPr>
      <w:r>
        <w:rPr>
          <w:sz w:val="60"/>
          <w:szCs w:val="60"/>
        </w:rPr>
        <w:t xml:space="preserve"> </w:t>
      </w:r>
    </w:p>
    <w:p>
      <w:pPr>
        <w:pStyle w:val="Heading3"/>
        <w:spacing w:after="100" w:before="240"/>
      </w:pPr>
      <w:r>
        <w:rPr>
          <w:rFonts w:ascii="Inter" w:cs="Inter" w:eastAsia="Inter" w:hAnsi="Inter"/>
          <w:b/>
          <w:bCs/>
          <w:i w:val="false"/>
          <w:iCs w:val="false"/>
          <w:caps w:val="false"/>
          <w:color w:val="0A0A0A"/>
          <w:sz w:val="26"/>
          <w:szCs w:val="26"/>
        </w:rPr>
        <w:t xml:space="preserve">Conversation Capture</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FFFFF" w:val="clear"/>
            <w:tcMar>
              <w:top w:type="dxa" w:w="160"/>
              <w:left w:type="dxa" w:w="240"/>
              <w:bottom w:type="dxa" w:w="160"/>
              <w:right w:type="dxa" w:w="240"/>
            </w:tcMar>
          </w:tcPr>
          <w:p>
            <w:pPr>
              <w:spacing w:after="140" w:before="0"/>
              <w:jc w:val="left"/>
            </w:pPr>
            <w:r>
              <w:rPr>
                <w:rFonts w:ascii="Inter" w:cs="Inter" w:eastAsia="Inter" w:hAnsi="Inter"/>
                <w:b w:val="false"/>
                <w:bCs w:val="false"/>
                <w:i w:val="false"/>
                <w:iCs w:val="false"/>
                <w:caps w:val="false"/>
                <w:color w:val="1C1C1E"/>
                <w:sz w:val="26"/>
                <w:szCs w:val="26"/>
              </w:rPr>
              <w:t xml:space="preserve">Dedicated wearable devices capture retail interactions throughout the day. Continuous recording with automatic silence suppression.</w:t>
            </w:r>
          </w:p>
          <w:p>
            <w:pPr>
              <w:spacing w:after="0" w:before="0"/>
            </w:pPr>
            <w:r>
              <w:rPr>
                <w:sz w:val="40"/>
                <w:szCs w:val="4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Per-salesperson device assignment</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Continuous capture — no manual start/stop required</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On-device noise suppression for retail environments</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Offline-first — no dependency on store WiFi during capture</w:t>
            </w:r>
          </w:p>
        </w:tc>
      </w:tr>
    </w:tbl>
    <w:p>
      <w:pPr>
        <w:spacing w:after="0" w:before="0"/>
      </w:pPr>
      <w:r>
        <w:rPr>
          <w:sz w:val="40"/>
          <w:szCs w:val="40"/>
        </w:rPr>
        <w:t xml:space="preserve"> </w:t>
      </w:r>
    </w:p>
    <w:p>
      <w:pPr>
        <w:pStyle w:val="Heading3"/>
        <w:spacing w:after="100" w:before="240"/>
      </w:pPr>
      <w:r>
        <w:rPr>
          <w:rFonts w:ascii="Inter" w:cs="Inter" w:eastAsia="Inter" w:hAnsi="Inter"/>
          <w:b/>
          <w:bCs/>
          <w:i w:val="false"/>
          <w:iCs w:val="false"/>
          <w:caps w:val="false"/>
          <w:color w:val="0A0A0A"/>
          <w:sz w:val="26"/>
          <w:szCs w:val="26"/>
        </w:rPr>
        <w:t xml:space="preserve">Speech Intelligence</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FFFFF" w:val="clear"/>
            <w:tcMar>
              <w:top w:type="dxa" w:w="160"/>
              <w:left w:type="dxa" w:w="240"/>
              <w:bottom w:type="dxa" w:w="160"/>
              <w:right w:type="dxa" w:w="240"/>
            </w:tcMar>
          </w:tcPr>
          <w:p>
            <w:pPr>
              <w:spacing w:after="140" w:before="0"/>
              <w:jc w:val="left"/>
            </w:pPr>
            <w:r>
              <w:rPr>
                <w:rFonts w:ascii="Inter" w:cs="Inter" w:eastAsia="Inter" w:hAnsi="Inter"/>
                <w:b w:val="false"/>
                <w:bCs w:val="false"/>
                <w:i w:val="false"/>
                <w:iCs w:val="false"/>
                <w:caps w:val="false"/>
                <w:color w:val="1C1C1E"/>
                <w:sz w:val="26"/>
                <w:szCs w:val="26"/>
              </w:rPr>
              <w:t xml:space="preserve">Convert raw audio into structured, timestamped conversation transcripts with speaker identification.</w:t>
            </w:r>
          </w:p>
          <w:p>
            <w:pPr>
              <w:spacing w:after="0" w:before="0"/>
            </w:pPr>
            <w:r>
              <w:rPr>
                <w:sz w:val="40"/>
                <w:szCs w:val="4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Multi-language speech-to-text (Arabic, English, Hindi, Urdu)</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Speaker diarization — customer vs. salesperson separated</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Timestamp generation per utterance</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Retail vocabulary fine-tuning</w:t>
            </w:r>
          </w:p>
        </w:tc>
      </w:tr>
    </w:tbl>
    <w:p>
      <w:pPr>
        <w:spacing w:after="0" w:before="0"/>
      </w:pPr>
      <w:r>
        <w:rPr>
          <w:sz w:val="40"/>
          <w:szCs w:val="40"/>
        </w:rPr>
        <w:t xml:space="preserve"> </w:t>
      </w:r>
    </w:p>
    <w:p>
      <w:pPr>
        <w:pStyle w:val="Heading3"/>
        <w:spacing w:after="100" w:before="240"/>
      </w:pPr>
      <w:r>
        <w:rPr>
          <w:rFonts w:ascii="Inter" w:cs="Inter" w:eastAsia="Inter" w:hAnsi="Inter"/>
          <w:b/>
          <w:bCs/>
          <w:i w:val="false"/>
          <w:iCs w:val="false"/>
          <w:caps w:val="false"/>
          <w:color w:val="0A0A0A"/>
          <w:sz w:val="26"/>
          <w:szCs w:val="26"/>
        </w:rPr>
        <w:t xml:space="preserve">Objection Intelligence</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FFFFF" w:val="clear"/>
            <w:tcMar>
              <w:top w:type="dxa" w:w="160"/>
              <w:left w:type="dxa" w:w="240"/>
              <w:bottom w:type="dxa" w:w="160"/>
              <w:right w:type="dxa" w:w="240"/>
            </w:tcMar>
          </w:tcPr>
          <w:p>
            <w:pPr>
              <w:spacing w:after="140" w:before="0"/>
              <w:jc w:val="left"/>
            </w:pPr>
            <w:r>
              <w:rPr>
                <w:rFonts w:ascii="Inter" w:cs="Inter" w:eastAsia="Inter" w:hAnsi="Inter"/>
                <w:b w:val="false"/>
                <w:bCs w:val="false"/>
                <w:i w:val="false"/>
                <w:iCs w:val="false"/>
                <w:caps w:val="false"/>
                <w:color w:val="1C1C1E"/>
                <w:sz w:val="26"/>
                <w:szCs w:val="26"/>
              </w:rPr>
              <w:t xml:space="preserve">Automatically detect, categorize, and track customer objections across every interaction.</w:t>
            </w:r>
          </w:p>
          <w:p>
            <w:pPr>
              <w:spacing w:after="0" w:before="0"/>
            </w:pPr>
            <w:r>
              <w:rPr>
                <w:sz w:val="40"/>
                <w:szCs w:val="4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Price concern detection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Product comparison signals</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Approval-needed patterns</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Competitor reference detection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Objection frequency trending by store and region</w:t>
            </w:r>
          </w:p>
        </w:tc>
      </w:tr>
    </w:tbl>
    <w:p>
      <w:pPr>
        <w:spacing w:after="0" w:before="0"/>
      </w:pPr>
      <w:r>
        <w:rPr>
          <w:sz w:val="40"/>
          <w:szCs w:val="40"/>
        </w:rPr>
        <w:t xml:space="preserve"> </w:t>
      </w:r>
    </w:p>
    <w:p>
      <w:pPr>
        <w:pStyle w:val="Heading3"/>
        <w:spacing w:after="100" w:before="240"/>
      </w:pPr>
      <w:r>
        <w:rPr>
          <w:rFonts w:ascii="Inter" w:cs="Inter" w:eastAsia="Inter" w:hAnsi="Inter"/>
          <w:b/>
          <w:bCs/>
          <w:i w:val="false"/>
          <w:iCs w:val="false"/>
          <w:caps w:val="false"/>
          <w:color w:val="0A0A0A"/>
          <w:sz w:val="26"/>
          <w:szCs w:val="26"/>
        </w:rPr>
        <w:t xml:space="preserve">Sentiment Intelligence</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FFFFF" w:val="clear"/>
            <w:tcMar>
              <w:top w:type="dxa" w:w="160"/>
              <w:left w:type="dxa" w:w="240"/>
              <w:bottom w:type="dxa" w:w="160"/>
              <w:right w:type="dxa" w:w="240"/>
            </w:tcMar>
          </w:tcPr>
          <w:p>
            <w:pPr>
              <w:spacing w:after="140" w:before="0"/>
              <w:jc w:val="left"/>
            </w:pPr>
            <w:r>
              <w:rPr>
                <w:rFonts w:ascii="Inter" w:cs="Inter" w:eastAsia="Inter" w:hAnsi="Inter"/>
                <w:b w:val="false"/>
                <w:bCs w:val="false"/>
                <w:i w:val="false"/>
                <w:iCs w:val="false"/>
                <w:caps w:val="false"/>
                <w:color w:val="1C1C1E"/>
                <w:sz w:val="26"/>
                <w:szCs w:val="26"/>
              </w:rPr>
              <w:t xml:space="preserve">Measure customer engagement and emotional sentiment throughout the arc of each conversation.</w:t>
            </w:r>
          </w:p>
          <w:p>
            <w:pPr>
              <w:spacing w:after="0" w:before="0"/>
            </w:pPr>
            <w:r>
              <w:rPr>
                <w:sz w:val="40"/>
                <w:szCs w:val="4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Per-utterance sentiment scoring</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Conversation arc analysis (engagement trend)</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Disengagement signal detection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Positive momentum identification</w:t>
            </w:r>
          </w:p>
        </w:tc>
      </w:tr>
    </w:tbl>
    <w:p>
      <w:pPr>
        <w:spacing w:after="0" w:before="0"/>
      </w:pPr>
      <w:r>
        <w:rPr>
          <w:sz w:val="40"/>
          <w:szCs w:val="40"/>
        </w:rPr>
        <w:t xml:space="preserve"> </w:t>
      </w:r>
    </w:p>
    <w:p>
      <w:pPr>
        <w:pStyle w:val="Heading3"/>
        <w:spacing w:after="100" w:before="240"/>
      </w:pPr>
      <w:r>
        <w:rPr>
          <w:rFonts w:ascii="Inter" w:cs="Inter" w:eastAsia="Inter" w:hAnsi="Inter"/>
          <w:b/>
          <w:bCs/>
          <w:i w:val="false"/>
          <w:iCs w:val="false"/>
          <w:caps w:val="false"/>
          <w:color w:val="0A0A0A"/>
          <w:sz w:val="26"/>
          <w:szCs w:val="26"/>
        </w:rPr>
        <w:t xml:space="preserve">SOP Compliance Scoring</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FFFFF" w:val="clear"/>
            <w:tcMar>
              <w:top w:type="dxa" w:w="160"/>
              <w:left w:type="dxa" w:w="240"/>
              <w:bottom w:type="dxa" w:w="160"/>
              <w:right w:type="dxa" w:w="240"/>
            </w:tcMar>
          </w:tcPr>
          <w:p>
            <w:pPr>
              <w:spacing w:after="140" w:before="0"/>
              <w:jc w:val="left"/>
            </w:pPr>
            <w:r>
              <w:rPr>
                <w:rFonts w:ascii="Inter" w:cs="Inter" w:eastAsia="Inter" w:hAnsi="Inter"/>
                <w:b w:val="false"/>
                <w:bCs w:val="false"/>
                <w:i w:val="false"/>
                <w:iCs w:val="false"/>
                <w:caps w:val="false"/>
                <w:color w:val="1C1C1E"/>
                <w:sz w:val="26"/>
                <w:szCs w:val="26"/>
              </w:rPr>
              <w:t xml:space="preserve">Automated evaluation of adherence to sales processes across every interaction — no manual auditing required.</w:t>
            </w:r>
          </w:p>
          <w:p>
            <w:pPr>
              <w:spacing w:after="0" w:before="0"/>
            </w:pPr>
            <w:r>
              <w:rPr>
                <w:sz w:val="40"/>
                <w:szCs w:val="4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Greeting quality scoring</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Discovery question compliance</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Product recommendation quality</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Upselling attempt detection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Closing technique evaluation</w:t>
            </w:r>
          </w:p>
        </w:tc>
      </w:tr>
    </w:tbl>
    <w:p>
      <w:pPr>
        <w:spacing w:after="0" w:before="0"/>
      </w:pPr>
      <w:r>
        <w:rPr>
          <w:sz w:val="40"/>
          <w:szCs w:val="40"/>
        </w:rPr>
        <w:t xml:space="preserve"> </w:t>
      </w:r>
    </w:p>
    <w:p>
      <w:pPr>
        <w:pStyle w:val="Heading3"/>
        <w:spacing w:after="100" w:before="240"/>
      </w:pPr>
      <w:r>
        <w:rPr>
          <w:rFonts w:ascii="Inter" w:cs="Inter" w:eastAsia="Inter" w:hAnsi="Inter"/>
          <w:b/>
          <w:bCs/>
          <w:i w:val="false"/>
          <w:iCs w:val="false"/>
          <w:caps w:val="false"/>
          <w:color w:val="0A0A0A"/>
          <w:sz w:val="26"/>
          <w:szCs w:val="26"/>
        </w:rPr>
        <w:t xml:space="preserve">Coaching Intelligence</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FFFFF" w:val="clear"/>
            <w:tcMar>
              <w:top w:type="dxa" w:w="160"/>
              <w:left w:type="dxa" w:w="240"/>
              <w:bottom w:type="dxa" w:w="160"/>
              <w:right w:type="dxa" w:w="240"/>
            </w:tcMar>
          </w:tcPr>
          <w:p>
            <w:pPr>
              <w:spacing w:after="140" w:before="0"/>
              <w:jc w:val="left"/>
            </w:pPr>
            <w:r>
              <w:rPr>
                <w:rFonts w:ascii="Inter" w:cs="Inter" w:eastAsia="Inter" w:hAnsi="Inter"/>
                <w:b w:val="false"/>
                <w:bCs w:val="false"/>
                <w:i w:val="false"/>
                <w:iCs w:val="false"/>
                <w:caps w:val="false"/>
                <w:color w:val="1C1C1E"/>
                <w:sz w:val="26"/>
                <w:szCs w:val="26"/>
              </w:rPr>
              <w:t xml:space="preserve">Automatically identify coaching opportunities per employee and generate prioritized improvement recommendations.</w:t>
            </w:r>
          </w:p>
          <w:p>
            <w:pPr>
              <w:spacing w:after="0" w:before="0"/>
            </w:pPr>
            <w:r>
              <w:rPr>
                <w:sz w:val="40"/>
                <w:szCs w:val="4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Per-employee coaching queue</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Interaction-linked evidence (specific conversation clips)</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Skill gap profiling across SOP dimensions</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Improvement trend tracking over time</w:t>
            </w:r>
          </w:p>
        </w:tc>
      </w:tr>
    </w:tbl>
    <w:p>
      <w:pPr>
        <w:spacing w:after="0" w:before="0"/>
      </w:pPr>
      <w:r>
        <w:rPr>
          <w:sz w:val="40"/>
          <w:szCs w:val="40"/>
        </w:rPr>
        <w:t xml:space="preserve"> </w:t>
      </w:r>
    </w:p>
    <w:p>
      <w:pPr>
        <w:pStyle w:val="Heading3"/>
        <w:spacing w:after="100" w:before="240"/>
      </w:pPr>
      <w:r>
        <w:rPr>
          <w:rFonts w:ascii="Inter" w:cs="Inter" w:eastAsia="Inter" w:hAnsi="Inter"/>
          <w:b/>
          <w:bCs/>
          <w:i w:val="false"/>
          <w:iCs w:val="false"/>
          <w:caps w:val="false"/>
          <w:color w:val="0A0A0A"/>
          <w:sz w:val="26"/>
          <w:szCs w:val="26"/>
        </w:rPr>
        <w:t xml:space="preserve">Store Benchmarking</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FFFFF" w:val="clear"/>
            <w:tcMar>
              <w:top w:type="dxa" w:w="160"/>
              <w:left w:type="dxa" w:w="240"/>
              <w:bottom w:type="dxa" w:w="160"/>
              <w:right w:type="dxa" w:w="240"/>
            </w:tcMar>
          </w:tcPr>
          <w:p>
            <w:pPr>
              <w:spacing w:after="140" w:before="0"/>
              <w:jc w:val="left"/>
            </w:pPr>
            <w:r>
              <w:rPr>
                <w:rFonts w:ascii="Inter" w:cs="Inter" w:eastAsia="Inter" w:hAnsi="Inter"/>
                <w:b w:val="false"/>
                <w:bCs w:val="false"/>
                <w:i w:val="false"/>
                <w:iCs w:val="false"/>
                <w:caps w:val="false"/>
                <w:color w:val="1C1C1E"/>
                <w:sz w:val="26"/>
                <w:szCs w:val="26"/>
              </w:rPr>
              <w:t xml:space="preserve">Cross-store performance comparison that identifies what separates top performers from the rest.</w:t>
            </w:r>
          </w:p>
          <w:p>
            <w:pPr>
              <w:spacing w:after="0" w:before="0"/>
            </w:pPr>
            <w:r>
              <w:rPr>
                <w:sz w:val="40"/>
                <w:szCs w:val="4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Store vs. store benchmarking</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Region-level performance aggregation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Team and individual rankings</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Best-practice replication signals</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80"/>
        <w:gridCol w:w="8680"/>
      </w:tblGrid>
      <w:tr>
        <w:tc>
          <w:tcPr>
            <w:tcW w:type="dxa" w:w="680"/>
            <w:tcBorders>
              <w:top w:val="single" w:color="00D4A4" w:sz="0"/>
              <w:left w:val="single" w:color="00D4A4" w:sz="0"/>
              <w:bottom w:val="single" w:color="00D4A4" w:sz="0"/>
              <w:right w:val="single" w:color="00D4A4" w:sz="0"/>
            </w:tcBorders>
            <w:shd w:fill="00D4A4" w:val="clear"/>
            <w:tcMar>
              <w:top w:type="dxa" w:w="160"/>
              <w:left w:type="dxa" w:w="160"/>
              <w:bottom w:type="dxa" w:w="160"/>
              <w:right w:type="dxa" w:w="160"/>
            </w:tcMar>
            <w:vAlign w:val="center"/>
          </w:tcPr>
          <w:p>
            <w:pPr>
              <w:spacing w:after="0" w:before="0"/>
              <w:jc w:val="center"/>
            </w:pPr>
            <w:r>
              <w:rPr>
                <w:rFonts w:ascii="Inter" w:cs="Inter" w:eastAsia="Inter" w:hAnsi="Inter"/>
                <w:b/>
                <w:bCs/>
                <w:i w:val="false"/>
                <w:iCs w:val="false"/>
                <w:caps w:val="false"/>
                <w:color w:val="0A0A0A"/>
                <w:sz w:val="30"/>
                <w:szCs w:val="30"/>
              </w:rPr>
              <w:t xml:space="preserve">06</w:t>
            </w:r>
          </w:p>
        </w:tc>
        <w:tc>
          <w:tcPr>
            <w:tcW w:type="dxa" w:w="8680"/>
            <w:tcBorders>
              <w:top w:val="single" w:color="0A0A0A" w:sz="0"/>
              <w:left w:val="single" w:color="0A0A0A" w:sz="0"/>
              <w:bottom w:val="single" w:color="0A0A0A" w:sz="0"/>
              <w:right w:val="single" w:color="0A0A0A" w:sz="0"/>
            </w:tcBorders>
            <w:shd w:fill="0A0A0A" w:val="clear"/>
            <w:tcMar>
              <w:top w:type="dxa" w:w="160"/>
              <w:left w:type="dxa" w:w="240"/>
              <w:bottom w:type="dxa" w:w="160"/>
              <w:right w:type="dxa" w:w="240"/>
            </w:tcMar>
            <w:vAlign w:val="center"/>
          </w:tcPr>
          <w:p>
            <w:pPr>
              <w:spacing w:after="0" w:before="0"/>
              <w:jc w:val="left"/>
            </w:pPr>
            <w:r>
              <w:rPr>
                <w:rFonts w:ascii="Inter" w:cs="Inter" w:eastAsia="Inter" w:hAnsi="Inter"/>
                <w:b/>
                <w:bCs/>
                <w:i w:val="false"/>
                <w:iCs w:val="false"/>
                <w:caps w:val="false"/>
                <w:color w:val="FFFFFF"/>
                <w:sz w:val="30"/>
                <w:szCs w:val="30"/>
              </w:rPr>
              <w:t xml:space="preserve">Multi-Tenant Organization Model</w:t>
            </w:r>
          </w:p>
        </w:tc>
      </w:tr>
    </w:tbl>
    <w:p>
      <w:pPr>
        <w:spacing w:after="0" w:before="0"/>
      </w:pPr>
      <w:r>
        <w:rPr>
          <w:sz w:val="60"/>
          <w:szCs w:val="60"/>
        </w:rPr>
        <w:t xml:space="preserve"> </w:t>
      </w:r>
    </w:p>
    <w:p>
      <w:pPr>
        <w:spacing w:after="140" w:before="0"/>
        <w:jc w:val="left"/>
      </w:pPr>
      <w:r>
        <w:rPr>
          <w:rFonts w:ascii="Inter" w:cs="Inter" w:eastAsia="Inter" w:hAnsi="Inter"/>
          <w:b w:val="false"/>
          <w:bCs w:val="false"/>
          <w:i w:val="false"/>
          <w:iCs w:val="false"/>
          <w:caps w:val="false"/>
          <w:color w:val="1C1C1E"/>
          <w:sz w:val="26"/>
          <w:szCs w:val="26"/>
        </w:rPr>
        <w:t xml:space="preserve">SAMAA follows a hierarchical enterprise structure. Each tenant (retail brand) operates within a fully isolated environment — no brand can access another brand's data.</w:t>
      </w:r>
    </w:p>
    <w:p>
      <w:pPr>
        <w:spacing w:after="0" w:before="0"/>
      </w:pPr>
      <w:r>
        <w:rPr>
          <w:sz w:val="60"/>
          <w:szCs w:val="60"/>
        </w:rPr>
        <w:t xml:space="preserve"> </w:t>
      </w:r>
    </w:p>
    <w:tbl>
      <w:tblPr>
        <w:tblW w:type="dxa" w:w="9360"/>
        <w:tblBorders>
          <w:top w:val="single" w:color="E5E5E5" w:sz="4"/>
          <w:left w:val="nil" w:color="FFFFFF" w:sz="0"/>
          <w:bottom w:val="single" w:color="E5E5E5" w:sz="4"/>
          <w:right w:val="nil" w:color="FFFFFF" w:sz="0"/>
          <w:insideH w:val="single" w:color="auto" w:sz="4"/>
          <w:insideV w:val="single" w:color="auto" w:sz="4"/>
        </w:tblBorders>
      </w:tblPr>
      <w:tblGrid>
        <w:gridCol w:w="520"/>
        <w:gridCol w:w="8840"/>
      </w:tblGrid>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01</w:t>
            </w:r>
          </w:p>
        </w:tc>
        <w:tc>
          <w:tcPr>
            <w:tcW w:type="dxa" w:w="8840"/>
            <w:tcBorders>
              <w:top w:val="nil" w:color="FFFFFF" w:sz="0"/>
              <w:left w:val="single" w:color="00D4A4" w:sz="8"/>
              <w:bottom w:val="single" w:color="EDEDED" w:sz="2"/>
              <w:right w:val="nil" w:color="FFFFFF" w:sz="0"/>
            </w:tcBorders>
            <w:shd w:fill="FFFFFF"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Brand</w:t>
            </w:r>
          </w:p>
          <w:p>
            <w:pPr>
              <w:spacing w:after="0" w:before="0"/>
              <w:jc w:val="left"/>
            </w:pPr>
            <w:r>
              <w:rPr>
                <w:rFonts w:ascii="Inter" w:cs="Inter" w:eastAsia="Inter" w:hAnsi="Inter"/>
                <w:b w:val="false"/>
                <w:bCs w:val="false"/>
                <w:i w:val="false"/>
                <w:iCs w:val="false"/>
                <w:caps w:val="false"/>
                <w:color w:val="5A5A5C"/>
                <w:sz w:val="22"/>
                <w:szCs w:val="22"/>
              </w:rPr>
              <w:t xml:space="preserve">Top-level tenant. Full data isolation. Example: Luxury Retail Group.</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02</w:t>
            </w:r>
          </w:p>
        </w:tc>
        <w:tc>
          <w:tcPr>
            <w:tcW w:type="dxa" w:w="8840"/>
            <w:tcBorders>
              <w:top w:val="nil" w:color="FFFFFF" w:sz="0"/>
              <w:left w:val="single" w:color="00D4A4" w:sz="8"/>
              <w:bottom w:val="single" w:color="EDEDED" w:sz="2"/>
              <w:right w:val="nil" w:color="FFFFFF" w:sz="0"/>
            </w:tcBorders>
            <w:shd w:fill="FAFAFA"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Region</w:t>
            </w:r>
          </w:p>
          <w:p>
            <w:pPr>
              <w:spacing w:after="0" w:before="0"/>
              <w:jc w:val="left"/>
            </w:pPr>
            <w:r>
              <w:rPr>
                <w:rFonts w:ascii="Inter" w:cs="Inter" w:eastAsia="Inter" w:hAnsi="Inter"/>
                <w:b w:val="false"/>
                <w:bCs w:val="false"/>
                <w:i w:val="false"/>
                <w:iCs w:val="false"/>
                <w:caps w:val="false"/>
                <w:color w:val="5A5A5C"/>
                <w:sz w:val="22"/>
                <w:szCs w:val="22"/>
              </w:rPr>
              <w:t xml:space="preserve">Geographic division within a brand. Example: Riyadh.</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03</w:t>
            </w:r>
          </w:p>
        </w:tc>
        <w:tc>
          <w:tcPr>
            <w:tcW w:type="dxa" w:w="8840"/>
            <w:tcBorders>
              <w:top w:val="nil" w:color="FFFFFF" w:sz="0"/>
              <w:left w:val="single" w:color="00D4A4" w:sz="8"/>
              <w:bottom w:val="single" w:color="EDEDED" w:sz="2"/>
              <w:right w:val="nil" w:color="FFFFFF" w:sz="0"/>
            </w:tcBorders>
            <w:shd w:fill="FFFFFF"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Area</w:t>
            </w:r>
          </w:p>
          <w:p>
            <w:pPr>
              <w:spacing w:after="0" w:before="0"/>
              <w:jc w:val="left"/>
            </w:pPr>
            <w:r>
              <w:rPr>
                <w:rFonts w:ascii="Inter" w:cs="Inter" w:eastAsia="Inter" w:hAnsi="Inter"/>
                <w:b w:val="false"/>
                <w:bCs w:val="false"/>
                <w:i w:val="false"/>
                <w:iCs w:val="false"/>
                <w:caps w:val="false"/>
                <w:color w:val="5A5A5C"/>
                <w:sz w:val="22"/>
                <w:szCs w:val="22"/>
              </w:rPr>
              <w:t xml:space="preserve">Sub-region cluster of stores. Example: North Riyadh.</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04</w:t>
            </w:r>
          </w:p>
        </w:tc>
        <w:tc>
          <w:tcPr>
            <w:tcW w:type="dxa" w:w="8840"/>
            <w:tcBorders>
              <w:top w:val="nil" w:color="FFFFFF" w:sz="0"/>
              <w:left w:val="single" w:color="00D4A4" w:sz="8"/>
              <w:bottom w:val="single" w:color="EDEDED" w:sz="2"/>
              <w:right w:val="nil" w:color="FFFFFF" w:sz="0"/>
            </w:tcBorders>
            <w:shd w:fill="FAFAFA"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Store</w:t>
            </w:r>
          </w:p>
          <w:p>
            <w:pPr>
              <w:spacing w:after="0" w:before="0"/>
              <w:jc w:val="left"/>
            </w:pPr>
            <w:r>
              <w:rPr>
                <w:rFonts w:ascii="Inter" w:cs="Inter" w:eastAsia="Inter" w:hAnsi="Inter"/>
                <w:b w:val="false"/>
                <w:bCs w:val="false"/>
                <w:i w:val="false"/>
                <w:iCs w:val="false"/>
                <w:caps w:val="false"/>
                <w:color w:val="5A5A5C"/>
                <w:sz w:val="22"/>
                <w:szCs w:val="22"/>
              </w:rPr>
              <w:t xml:space="preserve">Individual retail location. Example: Kingdom Mall.</w:t>
            </w:r>
          </w:p>
        </w:tc>
      </w:tr>
      <w:tr>
        <w:tc>
          <w:tcPr>
            <w:tcW w:type="dxa" w:w="520"/>
            <w:tcBorders>
              <w:top w:val="nil" w:color="FFFFFF" w:sz="0"/>
              <w:left w:val="nil" w:color="FFFFFF" w:sz="0"/>
              <w:bottom w:val="single" w:color="EDEDED" w:sz="2"/>
              <w:right w:val="nil" w:color="FFFFFF" w:sz="0"/>
            </w:tcBorders>
            <w:shd w:fill="F0FDF9" w:val="clear"/>
            <w:tcMar>
              <w:top w:type="dxa" w:w="120"/>
              <w:left w:type="dxa" w:w="120"/>
              <w:bottom w:type="dxa" w:w="120"/>
              <w:right w:type="dxa" w:w="120"/>
            </w:tcMar>
            <w:vAlign w:val="center"/>
          </w:tcPr>
          <w:p>
            <w:pPr>
              <w:spacing w:after="0" w:before="0"/>
              <w:jc w:val="center"/>
            </w:pPr>
            <w:r>
              <w:rPr>
                <w:rFonts w:ascii="Inter" w:cs="Inter" w:eastAsia="Inter" w:hAnsi="Inter"/>
                <w:b/>
                <w:bCs/>
                <w:i w:val="false"/>
                <w:iCs w:val="false"/>
                <w:caps w:val="false"/>
                <w:color w:val="00D4A4"/>
                <w:sz w:val="22"/>
                <w:szCs w:val="22"/>
              </w:rPr>
              <w:t xml:space="preserve">05</w:t>
            </w:r>
          </w:p>
        </w:tc>
        <w:tc>
          <w:tcPr>
            <w:tcW w:type="dxa" w:w="8840"/>
            <w:tcBorders>
              <w:top w:val="nil" w:color="FFFFFF" w:sz="0"/>
              <w:left w:val="single" w:color="00D4A4" w:sz="8"/>
              <w:bottom w:val="single" w:color="EDEDED" w:sz="2"/>
              <w:right w:val="nil" w:color="FFFFFF" w:sz="0"/>
            </w:tcBorders>
            <w:shd w:fill="FFFFFF" w:val="clear"/>
            <w:tcMar>
              <w:top w:type="dxa" w:w="120"/>
              <w:left w:type="dxa" w:w="200"/>
              <w:bottom w:type="dxa" w:w="120"/>
              <w:right w:type="dxa" w:w="200"/>
            </w:tcMar>
          </w:tcPr>
          <w:p>
            <w:pPr>
              <w:spacing w:after="40" w:before="0"/>
              <w:jc w:val="left"/>
            </w:pPr>
            <w:r>
              <w:rPr>
                <w:rFonts w:ascii="Inter" w:cs="Inter" w:eastAsia="Inter" w:hAnsi="Inter"/>
                <w:b/>
                <w:bCs/>
                <w:i w:val="false"/>
                <w:iCs w:val="false"/>
                <w:caps w:val="false"/>
                <w:color w:val="0A0A0A"/>
                <w:sz w:val="24"/>
                <w:szCs w:val="24"/>
              </w:rPr>
              <w:t xml:space="preserve">Sales Team</w:t>
            </w:r>
          </w:p>
          <w:p>
            <w:pPr>
              <w:spacing w:after="0" w:before="0"/>
              <w:jc w:val="left"/>
            </w:pPr>
            <w:r>
              <w:rPr>
                <w:rFonts w:ascii="Inter" w:cs="Inter" w:eastAsia="Inter" w:hAnsi="Inter"/>
                <w:b w:val="false"/>
                <w:bCs w:val="false"/>
                <w:i w:val="false"/>
                <w:iCs w:val="false"/>
                <w:caps w:val="false"/>
                <w:color w:val="5A5A5C"/>
                <w:sz w:val="22"/>
                <w:szCs w:val="22"/>
              </w:rPr>
              <w:t xml:space="preserve">Employees assigned to a specific store.</w:t>
            </w:r>
          </w:p>
        </w:tc>
      </w:tr>
    </w:tbl>
    <w:p>
      <w:pPr>
        <w:spacing w:after="0" w:before="0"/>
      </w:pPr>
      <w:r>
        <w:rPr>
          <w:sz w:val="60"/>
          <w:szCs w:val="60"/>
        </w:rPr>
        <w:t xml:space="preserve"> </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5400"/>
        <w:gridCol w:w="3960"/>
      </w:tblGrid>
      <w:tr>
        <w:tc>
          <w:tcPr>
            <w:tcW w:type="dxa" w:w="5400"/>
            <w:tcBorders>
              <w:top w:val="single" w:color="E5E5E5" w:sz="4"/>
              <w:left w:val="single" w:color="E5E5E5" w:sz="4"/>
              <w:bottom w:val="single" w:color="E5E5E5" w:sz="4"/>
              <w:right w:val="single" w:color="E5E5E5" w:sz="4"/>
            </w:tcBorders>
            <w:shd w:fill="FFFFFF" w:val="clear"/>
            <w:tcMar>
              <w:top w:type="dxa" w:w="160"/>
              <w:left w:type="dxa" w:w="220"/>
              <w:bottom w:type="dxa" w:w="160"/>
              <w:right w:type="dxa" w:w="220"/>
            </w:tcMar>
          </w:tcPr>
          <w:p>
            <w:pPr>
              <w:pStyle w:val="Heading3"/>
              <w:spacing w:after="100" w:before="240"/>
            </w:pPr>
            <w:r>
              <w:rPr>
                <w:rFonts w:ascii="Inter" w:cs="Inter" w:eastAsia="Inter" w:hAnsi="Inter"/>
                <w:b/>
                <w:bCs/>
                <w:i w:val="false"/>
                <w:iCs w:val="false"/>
                <w:caps w:val="false"/>
                <w:color w:val="0A0A0A"/>
                <w:sz w:val="26"/>
                <w:szCs w:val="26"/>
              </w:rPr>
              <w:t xml:space="preserve">Isolation Guarantees</w:t>
            </w:r>
          </w:p>
          <w:p>
            <w:pPr>
              <w:spacing w:after="0" w:before="0"/>
            </w:pPr>
            <w:r>
              <w:rPr>
                <w:sz w:val="40"/>
                <w:szCs w:val="4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Full data isolation per brand tenant</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No cross-tenant data access — enforced at API and DB layer</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Independent analytics environments per brand</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Separate encryption keys per tenant</w:t>
            </w:r>
          </w:p>
        </w:tc>
        <w:tc>
          <w:tcPr>
            <w:tcW w:type="dxa" w:w="3960"/>
            <w:tcBorders>
              <w:top w:val="single" w:color="E5E5E5" w:sz="4"/>
              <w:left w:val="single" w:color="E5E5E5" w:sz="4"/>
              <w:bottom w:val="single" w:color="E5E5E5" w:sz="4"/>
              <w:right w:val="single" w:color="E5E5E5" w:sz="4"/>
            </w:tcBorders>
            <w:shd w:fill="F7F7F7" w:val="clear"/>
            <w:tcMar>
              <w:top w:type="dxa" w:w="160"/>
              <w:left w:type="dxa" w:w="220"/>
              <w:bottom w:type="dxa" w:w="160"/>
              <w:right w:type="dxa" w:w="220"/>
            </w:tcMar>
          </w:tcPr>
          <w:p>
            <w:pPr>
              <w:pStyle w:val="Heading3"/>
              <w:spacing w:after="100" w:before="240"/>
            </w:pPr>
            <w:r>
              <w:rPr>
                <w:rFonts w:ascii="Inter" w:cs="Inter" w:eastAsia="Inter" w:hAnsi="Inter"/>
                <w:b/>
                <w:bCs/>
                <w:i w:val="false"/>
                <w:iCs w:val="false"/>
                <w:caps w:val="false"/>
                <w:color w:val="0A0A0A"/>
                <w:sz w:val="26"/>
                <w:szCs w:val="26"/>
              </w:rPr>
              <w:t xml:space="preserve">Hierarchy Benefits</w:t>
            </w:r>
          </w:p>
          <w:p>
            <w:pPr>
              <w:spacing w:after="0" w:before="0"/>
            </w:pPr>
            <w:r>
              <w:rPr>
                <w:sz w:val="40"/>
                <w:szCs w:val="4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Roll-up analytics at every level</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Region-to-brand aggregation without raw data exposure</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Granular access scoping per role</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Custom hierarchy depth per brand</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80"/>
        <w:gridCol w:w="8680"/>
      </w:tblGrid>
      <w:tr>
        <w:tc>
          <w:tcPr>
            <w:tcW w:type="dxa" w:w="680"/>
            <w:tcBorders>
              <w:top w:val="single" w:color="00D4A4" w:sz="0"/>
              <w:left w:val="single" w:color="00D4A4" w:sz="0"/>
              <w:bottom w:val="single" w:color="00D4A4" w:sz="0"/>
              <w:right w:val="single" w:color="00D4A4" w:sz="0"/>
            </w:tcBorders>
            <w:shd w:fill="00D4A4" w:val="clear"/>
            <w:tcMar>
              <w:top w:type="dxa" w:w="160"/>
              <w:left w:type="dxa" w:w="160"/>
              <w:bottom w:type="dxa" w:w="160"/>
              <w:right w:type="dxa" w:w="160"/>
            </w:tcMar>
            <w:vAlign w:val="center"/>
          </w:tcPr>
          <w:p>
            <w:pPr>
              <w:spacing w:after="0" w:before="0"/>
              <w:jc w:val="center"/>
            </w:pPr>
            <w:r>
              <w:rPr>
                <w:rFonts w:ascii="Inter" w:cs="Inter" w:eastAsia="Inter" w:hAnsi="Inter"/>
                <w:b/>
                <w:bCs/>
                <w:i w:val="false"/>
                <w:iCs w:val="false"/>
                <w:caps w:val="false"/>
                <w:color w:val="0A0A0A"/>
                <w:sz w:val="30"/>
                <w:szCs w:val="30"/>
              </w:rPr>
              <w:t xml:space="preserve">07</w:t>
            </w:r>
          </w:p>
        </w:tc>
        <w:tc>
          <w:tcPr>
            <w:tcW w:type="dxa" w:w="8680"/>
            <w:tcBorders>
              <w:top w:val="single" w:color="0A0A0A" w:sz="0"/>
              <w:left w:val="single" w:color="0A0A0A" w:sz="0"/>
              <w:bottom w:val="single" w:color="0A0A0A" w:sz="0"/>
              <w:right w:val="single" w:color="0A0A0A" w:sz="0"/>
            </w:tcBorders>
            <w:shd w:fill="0A0A0A" w:val="clear"/>
            <w:tcMar>
              <w:top w:type="dxa" w:w="160"/>
              <w:left w:type="dxa" w:w="240"/>
              <w:bottom w:type="dxa" w:w="160"/>
              <w:right w:type="dxa" w:w="240"/>
            </w:tcMar>
            <w:vAlign w:val="center"/>
          </w:tcPr>
          <w:p>
            <w:pPr>
              <w:spacing w:after="0" w:before="0"/>
              <w:jc w:val="left"/>
            </w:pPr>
            <w:r>
              <w:rPr>
                <w:rFonts w:ascii="Inter" w:cs="Inter" w:eastAsia="Inter" w:hAnsi="Inter"/>
                <w:b/>
                <w:bCs/>
                <w:i w:val="false"/>
                <w:iCs w:val="false"/>
                <w:caps w:val="false"/>
                <w:color w:val="FFFFFF"/>
                <w:sz w:val="30"/>
                <w:szCs w:val="30"/>
              </w:rPr>
              <w:t xml:space="preserve">Identity, Roles &amp; Access Control</w:t>
            </w:r>
          </w:p>
        </w:tc>
      </w:tr>
    </w:tbl>
    <w:p>
      <w:pPr>
        <w:spacing w:after="0" w:before="0"/>
      </w:pPr>
      <w:r>
        <w:rPr>
          <w:sz w:val="60"/>
          <w:szCs w:val="60"/>
        </w:rPr>
        <w:t xml:space="preserve"> </w:t>
      </w:r>
    </w:p>
    <w:p>
      <w:pPr>
        <w:spacing w:after="140" w:before="0"/>
        <w:jc w:val="left"/>
      </w:pPr>
      <w:r>
        <w:rPr>
          <w:rFonts w:ascii="Inter" w:cs="Inter" w:eastAsia="Inter" w:hAnsi="Inter"/>
          <w:b w:val="false"/>
          <w:bCs w:val="false"/>
          <w:i w:val="false"/>
          <w:iCs w:val="false"/>
          <w:caps w:val="false"/>
          <w:color w:val="1C1C1E"/>
          <w:sz w:val="26"/>
          <w:szCs w:val="26"/>
        </w:rPr>
        <w:t xml:space="preserve">SAMAA supports enterprise-grade Role-Based Access Control (RBAC). Permissions are enforced at both the frontend and backend API layer.</w:t>
      </w:r>
    </w:p>
    <w:p>
      <w:pPr>
        <w:spacing w:after="0" w:before="0"/>
      </w:pPr>
      <w:r>
        <w:rPr>
          <w:sz w:val="60"/>
          <w:szCs w:val="6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5E5E5" w:sz="4"/>
              <w:left w:val="single" w:color="E5E5E5" w:sz="4"/>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Role</w:t>
            </w:r>
          </w:p>
        </w:tc>
        <w:tc>
          <w:tcPr>
            <w:tcW w:type="dxa" w:w="2400"/>
            <w:tcBorders>
              <w:top w:val="single" w:color="E5E5E5" w:sz="4"/>
              <w:left w:val="nil" w:color="FFFFFF" w:sz="0"/>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Scope</w:t>
            </w:r>
          </w:p>
        </w:tc>
        <w:tc>
          <w:tcPr>
            <w:tcW w:type="dxa" w:w="4560"/>
            <w:tcBorders>
              <w:top w:val="single" w:color="E5E5E5" w:sz="4"/>
              <w:left w:val="nil" w:color="FFFFFF" w:sz="0"/>
              <w:bottom w:val="single" w:color="00D4A4" w:sz="8"/>
              <w:right w:val="single" w:color="E5E5E5" w:sz="4"/>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Key Permissions</w:t>
            </w:r>
          </w:p>
        </w:tc>
      </w:tr>
      <w:tr>
        <w:tc>
          <w:tcPr>
            <w:tcW w:type="dxa" w:w="24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Brand Head</w:t>
            </w:r>
          </w:p>
        </w:tc>
        <w:tc>
          <w:tcPr>
            <w:tcW w:type="dxa" w:w="24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Entire brand tenant</w:t>
            </w:r>
          </w:p>
        </w:tc>
        <w:tc>
          <w:tcPr>
            <w:tcW w:type="dxa" w:w="45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Create users · Create roles · Manage stores · Assign permissions · Full analytics</w:t>
            </w:r>
          </w:p>
        </w:tc>
      </w:tr>
      <w:tr>
        <w:tc>
          <w:tcPr>
            <w:tcW w:type="dxa" w:w="24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Regional Manager</w:t>
            </w:r>
          </w:p>
        </w:tc>
        <w:tc>
          <w:tcPr>
            <w:tcW w:type="dxa" w:w="24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Assigned regions only</w:t>
            </w:r>
          </w:p>
        </w:tc>
        <w:tc>
          <w:tcPr>
            <w:tcW w:type="dxa" w:w="45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Region analytics · Store comparison · Manager oversight</w:t>
            </w:r>
          </w:p>
        </w:tc>
      </w:tr>
      <w:tr>
        <w:tc>
          <w:tcPr>
            <w:tcW w:type="dxa" w:w="24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Area Manager</w:t>
            </w:r>
          </w:p>
        </w:tc>
        <w:tc>
          <w:tcPr>
            <w:tcW w:type="dxa" w:w="24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Assigned areas + stores</w:t>
            </w:r>
          </w:p>
        </w:tc>
        <w:tc>
          <w:tcPr>
            <w:tcW w:type="dxa" w:w="45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Area benchmarking · Store dashboards · Coaching reports</w:t>
            </w:r>
          </w:p>
        </w:tc>
      </w:tr>
      <w:tr>
        <w:tc>
          <w:tcPr>
            <w:tcW w:type="dxa" w:w="24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Store Manager</w:t>
            </w:r>
          </w:p>
        </w:tc>
        <w:tc>
          <w:tcPr>
            <w:tcW w:type="dxa" w:w="24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Assigned store only</w:t>
            </w:r>
          </w:p>
        </w:tc>
        <w:tc>
          <w:tcPr>
            <w:tcW w:type="dxa" w:w="45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Team performance · Coaching queue · Daily conversion insights</w:t>
            </w:r>
          </w:p>
        </w:tc>
      </w:tr>
      <w:tr>
        <w:tc>
          <w:tcPr>
            <w:tcW w:type="dxa" w:w="2400"/>
            <w:tcBorders>
              <w:top w:val="nil" w:color="FFFFFF" w:sz="0"/>
              <w:left w:val="single" w:color="E5E5E5" w:sz="4"/>
              <w:bottom w:val="single" w:color="E5E5E5"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Salesperson</w:t>
            </w:r>
          </w:p>
        </w:tc>
        <w:tc>
          <w:tcPr>
            <w:tcW w:type="dxa" w:w="2400"/>
            <w:tcBorders>
              <w:top w:val="nil" w:color="FFFFFF" w:sz="0"/>
              <w:left w:val="nil" w:color="FFFFFF" w:sz="0"/>
              <w:bottom w:val="single" w:color="E5E5E5"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Personal data only</w:t>
            </w:r>
          </w:p>
        </w:tc>
        <w:tc>
          <w:tcPr>
            <w:tcW w:type="dxa" w:w="4560"/>
            <w:tcBorders>
              <w:top w:val="nil" w:color="FFFFFF" w:sz="0"/>
              <w:left w:val="nil" w:color="FFFFFF" w:sz="0"/>
              <w:bottom w:val="single" w:color="E5E5E5"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Own performance score · Own coaching recommendations</w:t>
            </w:r>
          </w:p>
        </w:tc>
      </w:tr>
    </w:tbl>
    <w:p>
      <w:pPr>
        <w:spacing w:after="0" w:before="0"/>
      </w:pPr>
      <w:r>
        <w:rPr>
          <w:sz w:val="60"/>
          <w:szCs w:val="60"/>
        </w:rPr>
        <w:t xml:space="preserve"> </w:t>
      </w:r>
    </w:p>
    <w:tbl>
      <w:tblPr>
        <w:tblW w:type="dxa" w:w="9360"/>
        <w:tblBorders>
          <w:top w:val="single" w:color="0A0A0A" w:sz="4"/>
          <w:left w:val="single" w:color="0A0A0A" w:sz="4"/>
          <w:bottom w:val="single" w:color="0A0A0A" w:sz="4"/>
          <w:right w:val="single" w:color="0A0A0A" w:sz="4"/>
          <w:insideH w:val="single" w:color="auto" w:sz="4"/>
          <w:insideV w:val="single" w:color="auto" w:sz="4"/>
        </w:tblBorders>
      </w:tblPr>
      <w:tblGrid>
        <w:gridCol w:w="9360"/>
      </w:tblGrid>
      <w:tr>
        <w:tc>
          <w:tcPr>
            <w:tcW w:type="dxa" w:w="9360"/>
            <w:tcBorders>
              <w:top w:val="single" w:color="0A0A0A" w:sz="4"/>
              <w:left w:val="single" w:color="0A0A0A" w:sz="4"/>
              <w:bottom w:val="single" w:color="0A0A0A" w:sz="4"/>
              <w:right w:val="single" w:color="0A0A0A" w:sz="4"/>
            </w:tcBorders>
            <w:shd w:fill="0A0A0A" w:val="clear"/>
            <w:tcMar>
              <w:top w:type="dxa" w:w="160"/>
              <w:left w:type="dxa" w:w="240"/>
              <w:bottom w:type="dxa" w:w="160"/>
              <w:right w:type="dxa" w:w="240"/>
            </w:tcMar>
          </w:tcPr>
          <w:p>
            <w:pPr>
              <w:spacing w:after="60" w:before="120"/>
              <w:jc w:val="left"/>
            </w:pPr>
            <w:r>
              <w:rPr>
                <w:rFonts w:ascii="Inter" w:cs="Inter" w:eastAsia="Inter" w:hAnsi="Inter"/>
                <w:b/>
                <w:bCs/>
                <w:i w:val="false"/>
                <w:iCs w:val="false"/>
                <w:caps/>
                <w:color w:val="5A5A5C"/>
                <w:sz w:val="18"/>
                <w:szCs w:val="18"/>
              </w:rPr>
              <w:t xml:space="preserve">Custom Roles</w:t>
            </w:r>
          </w:p>
          <w:p>
            <w:pPr>
              <w:spacing w:after="140" w:before="0"/>
              <w:jc w:val="left"/>
            </w:pPr>
            <w:r>
              <w:rPr>
                <w:rFonts w:ascii="Inter" w:cs="Inter" w:eastAsia="Inter" w:hAnsi="Inter"/>
                <w:b w:val="false"/>
                <w:bCs w:val="false"/>
                <w:i w:val="false"/>
                <w:iCs w:val="false"/>
                <w:caps w:val="false"/>
                <w:color w:val="FFFFFF"/>
                <w:sz w:val="26"/>
                <w:szCs w:val="26"/>
              </w:rPr>
              <w:t xml:space="preserve">Brand Heads can create custom roles, define granular permissions, share resources across the hierarchy, and delegate responsibilities — enabling flexible org structures without compromising data isolation.</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80"/>
        <w:gridCol w:w="8680"/>
      </w:tblGrid>
      <w:tr>
        <w:tc>
          <w:tcPr>
            <w:tcW w:type="dxa" w:w="680"/>
            <w:tcBorders>
              <w:top w:val="single" w:color="00D4A4" w:sz="0"/>
              <w:left w:val="single" w:color="00D4A4" w:sz="0"/>
              <w:bottom w:val="single" w:color="00D4A4" w:sz="0"/>
              <w:right w:val="single" w:color="00D4A4" w:sz="0"/>
            </w:tcBorders>
            <w:shd w:fill="00D4A4" w:val="clear"/>
            <w:tcMar>
              <w:top w:type="dxa" w:w="160"/>
              <w:left w:type="dxa" w:w="160"/>
              <w:bottom w:type="dxa" w:w="160"/>
              <w:right w:type="dxa" w:w="160"/>
            </w:tcMar>
            <w:vAlign w:val="center"/>
          </w:tcPr>
          <w:p>
            <w:pPr>
              <w:spacing w:after="0" w:before="0"/>
              <w:jc w:val="center"/>
            </w:pPr>
            <w:r>
              <w:rPr>
                <w:rFonts w:ascii="Inter" w:cs="Inter" w:eastAsia="Inter" w:hAnsi="Inter"/>
                <w:b/>
                <w:bCs/>
                <w:i w:val="false"/>
                <w:iCs w:val="false"/>
                <w:caps w:val="false"/>
                <w:color w:val="0A0A0A"/>
                <w:sz w:val="30"/>
                <w:szCs w:val="30"/>
              </w:rPr>
              <w:t xml:space="preserve">08</w:t>
            </w:r>
          </w:p>
        </w:tc>
        <w:tc>
          <w:tcPr>
            <w:tcW w:type="dxa" w:w="8680"/>
            <w:tcBorders>
              <w:top w:val="single" w:color="0A0A0A" w:sz="0"/>
              <w:left w:val="single" w:color="0A0A0A" w:sz="0"/>
              <w:bottom w:val="single" w:color="0A0A0A" w:sz="0"/>
              <w:right w:val="single" w:color="0A0A0A" w:sz="0"/>
            </w:tcBorders>
            <w:shd w:fill="0A0A0A" w:val="clear"/>
            <w:tcMar>
              <w:top w:type="dxa" w:w="160"/>
              <w:left w:type="dxa" w:w="240"/>
              <w:bottom w:type="dxa" w:w="160"/>
              <w:right w:type="dxa" w:w="240"/>
            </w:tcMar>
            <w:vAlign w:val="center"/>
          </w:tcPr>
          <w:p>
            <w:pPr>
              <w:spacing w:after="0" w:before="0"/>
              <w:jc w:val="left"/>
            </w:pPr>
            <w:r>
              <w:rPr>
                <w:rFonts w:ascii="Inter" w:cs="Inter" w:eastAsia="Inter" w:hAnsi="Inter"/>
                <w:b/>
                <w:bCs/>
                <w:i w:val="false"/>
                <w:iCs w:val="false"/>
                <w:caps w:val="false"/>
                <w:color w:val="FFFFFF"/>
                <w:sz w:val="30"/>
                <w:szCs w:val="30"/>
              </w:rPr>
              <w:t xml:space="preserve">AI Intelligence Layer</w:t>
            </w:r>
          </w:p>
        </w:tc>
      </w:tr>
    </w:tbl>
    <w:p>
      <w:pPr>
        <w:spacing w:after="0" w:before="0"/>
      </w:pPr>
      <w:r>
        <w:rPr>
          <w:sz w:val="60"/>
          <w:szCs w:val="60"/>
        </w:rPr>
        <w:t xml:space="preserve"> </w:t>
      </w:r>
    </w:p>
    <w:p>
      <w:pPr>
        <w:spacing w:after="140" w:before="0"/>
        <w:jc w:val="left"/>
      </w:pPr>
      <w:r>
        <w:rPr>
          <w:rFonts w:ascii="Inter" w:cs="Inter" w:eastAsia="Inter" w:hAnsi="Inter"/>
          <w:b w:val="false"/>
          <w:bCs w:val="false"/>
          <w:i w:val="false"/>
          <w:iCs w:val="false"/>
          <w:caps w:val="false"/>
          <w:color w:val="1C1C1E"/>
          <w:sz w:val="26"/>
          <w:szCs w:val="26"/>
        </w:rPr>
        <w:t xml:space="preserve">The SAMAA Intelligence Engine transforms raw conversations into business intelligence. It operates across five intelligence domains, each compounding in value as the conversation dataset grows.</w:t>
      </w:r>
    </w:p>
    <w:p>
      <w:pPr>
        <w:spacing w:after="0" w:before="0"/>
      </w:pPr>
      <w:r>
        <w:rPr>
          <w:sz w:val="60"/>
          <w:szCs w:val="60"/>
        </w:rPr>
        <w:t xml:space="preserve"> </w:t>
      </w:r>
    </w:p>
    <w:tbl>
      <w:tblPr>
        <w:tblW w:type="dxa" w:w="9360"/>
        <w:tblBorders>
          <w:top w:val="single" w:color="0A0A0A" w:sz="4"/>
          <w:left w:val="single" w:color="0A0A0A" w:sz="4"/>
          <w:bottom w:val="single" w:color="0A0A0A" w:sz="4"/>
          <w:right w:val="single" w:color="0A0A0A" w:sz="4"/>
          <w:insideH w:val="single" w:color="auto" w:sz="4"/>
          <w:insideV w:val="single" w:color="auto" w:sz="4"/>
        </w:tblBorders>
      </w:tblPr>
      <w:tblGrid>
        <w:gridCol w:w="9360"/>
      </w:tblGrid>
      <w:tr>
        <w:tc>
          <w:tcPr>
            <w:tcW w:type="dxa" w:w="9360"/>
            <w:tcBorders>
              <w:top w:val="single" w:color="0A0A0A" w:sz="4"/>
              <w:left w:val="single" w:color="0A0A0A" w:sz="4"/>
              <w:bottom w:val="single" w:color="0A0A0A" w:sz="4"/>
              <w:right w:val="single" w:color="0A0A0A" w:sz="4"/>
            </w:tcBorders>
            <w:shd w:fill="0A0A0A" w:val="clear"/>
            <w:tcMar>
              <w:top w:type="dxa" w:w="160"/>
              <w:left w:type="dxa" w:w="240"/>
              <w:bottom w:type="dxa" w:w="160"/>
              <w:right w:type="dxa" w:w="240"/>
            </w:tcMar>
          </w:tcPr>
          <w:p>
            <w:pPr>
              <w:spacing w:after="60" w:before="120"/>
              <w:jc w:val="left"/>
            </w:pPr>
            <w:r>
              <w:rPr>
                <w:rFonts w:ascii="Inter" w:cs="Inter" w:eastAsia="Inter" w:hAnsi="Inter"/>
                <w:b/>
                <w:bCs/>
                <w:i w:val="false"/>
                <w:iCs w:val="false"/>
                <w:caps/>
                <w:color w:val="5A5A5C"/>
                <w:sz w:val="18"/>
                <w:szCs w:val="18"/>
              </w:rPr>
              <w:t xml:space="preserve">Strategic Asset</w:t>
            </w:r>
          </w:p>
          <w:p>
            <w:pPr>
              <w:spacing w:after="0" w:before="60"/>
            </w:pPr>
            <w:r>
              <w:rPr>
                <w:rFonts w:ascii="Inter" w:cs="Inter" w:eastAsia="Inter" w:hAnsi="Inter"/>
                <w:b w:val="false"/>
                <w:bCs w:val="false"/>
                <w:i w:val="false"/>
                <w:iCs w:val="false"/>
                <w:caps w:val="false"/>
                <w:color w:val="FFFFFF"/>
                <w:sz w:val="26"/>
                <w:szCs w:val="26"/>
              </w:rPr>
              <w:t xml:space="preserve">Every conversation processed adds to a </w:t>
            </w:r>
            <w:r>
              <w:rPr>
                <w:rFonts w:ascii="Inter" w:cs="Inter" w:eastAsia="Inter" w:hAnsi="Inter"/>
                <w:b/>
                <w:bCs/>
                <w:i w:val="false"/>
                <w:iCs w:val="false"/>
                <w:caps w:val="false"/>
                <w:color w:val="00D4A4"/>
                <w:sz w:val="26"/>
                <w:szCs w:val="26"/>
              </w:rPr>
              <w:t xml:space="preserve">proprietary retail behavioral intelligence graph</w:t>
            </w:r>
            <w:r>
              <w:rPr>
                <w:rFonts w:ascii="Inter" w:cs="Inter" w:eastAsia="Inter" w:hAnsi="Inter"/>
                <w:b w:val="false"/>
                <w:bCs w:val="false"/>
                <w:i w:val="false"/>
                <w:iCs w:val="false"/>
                <w:caps w:val="false"/>
                <w:color w:val="FFFFFF"/>
                <w:sz w:val="26"/>
                <w:szCs w:val="26"/>
              </w:rPr>
              <w:t xml:space="preserve"> specific to GCC market dynamics, consumer behaviors, and retail formats. This dataset is SAMAA's compounding moat — it cannot be replicated by a new entrant without years of deployment.</w:t>
            </w:r>
          </w:p>
        </w:tc>
      </w:tr>
    </w:tbl>
    <w:p>
      <w:pPr>
        <w:spacing w:after="0" w:before="0"/>
      </w:pPr>
      <w:r>
        <w:rPr>
          <w:sz w:val="60"/>
          <w:szCs w:val="60"/>
        </w:rPr>
        <w:t xml:space="preserve"> </w:t>
      </w:r>
    </w:p>
    <w:p>
      <w:pPr>
        <w:pStyle w:val="Heading2"/>
        <w:spacing w:after="160" w:before="320"/>
      </w:pPr>
      <w:r>
        <w:rPr>
          <w:rFonts w:ascii="Inter" w:cs="Inter" w:eastAsia="Inter" w:hAnsi="Inter"/>
          <w:b/>
          <w:bCs/>
          <w:i w:val="false"/>
          <w:iCs w:val="false"/>
          <w:caps w:val="false"/>
          <w:color w:val="0A0A0A"/>
          <w:sz w:val="32"/>
          <w:szCs w:val="32"/>
        </w:rPr>
        <w:t xml:space="preserve">Intelligence Domains</w:t>
      </w:r>
    </w:p>
    <w:p>
      <w:pPr>
        <w:spacing w:after="0" w:before="0"/>
      </w:pPr>
      <w:r>
        <w:rPr>
          <w:sz w:val="40"/>
          <w:szCs w:val="40"/>
        </w:rPr>
        <w:t xml:space="preserve"> </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5400"/>
        <w:gridCol w:w="3960"/>
      </w:tblGrid>
      <w:tr>
        <w:tc>
          <w:tcPr>
            <w:tcW w:type="dxa" w:w="5400"/>
            <w:tcBorders>
              <w:top w:val="single" w:color="E5E5E5" w:sz="4"/>
              <w:left w:val="single" w:color="E5E5E5" w:sz="4"/>
              <w:bottom w:val="single" w:color="E5E5E5" w:sz="4"/>
              <w:right w:val="single" w:color="E5E5E5" w:sz="4"/>
            </w:tcBorders>
            <w:shd w:fill="FFFFFF" w:val="clear"/>
            <w:tcMar>
              <w:top w:type="dxa" w:w="160"/>
              <w:left w:type="dxa" w:w="220"/>
              <w:bottom w:type="dxa" w:w="160"/>
              <w:right w:type="dxa" w:w="220"/>
            </w:tcMar>
          </w:tcPr>
          <w:p>
            <w:pPr>
              <w:pStyle w:val="Heading3"/>
              <w:spacing w:after="100" w:before="240"/>
            </w:pPr>
            <w:r>
              <w:rPr>
                <w:rFonts w:ascii="Inter" w:cs="Inter" w:eastAsia="Inter" w:hAnsi="Inter"/>
                <w:b/>
                <w:bCs/>
                <w:i w:val="false"/>
                <w:iCs w:val="false"/>
                <w:caps w:val="false"/>
                <w:color w:val="0A0A0A"/>
                <w:sz w:val="26"/>
                <w:szCs w:val="26"/>
              </w:rPr>
              <w:t xml:space="preserve">Conversation Intelligence</w:t>
            </w:r>
          </w:p>
          <w:p>
            <w:pPr>
              <w:spacing w:after="0" w:before="0"/>
            </w:pPr>
            <w:r>
              <w:rPr>
                <w:sz w:val="30"/>
                <w:szCs w:val="3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Customer intent classification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Sentiment tracking across conversation arc</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Objection detection and categorization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Product interest signals</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Purchase intent markers</w:t>
            </w:r>
          </w:p>
        </w:tc>
        <w:tc>
          <w:tcPr>
            <w:tcW w:type="dxa" w:w="3960"/>
            <w:tcBorders>
              <w:top w:val="single" w:color="E5E5E5" w:sz="4"/>
              <w:left w:val="single" w:color="E5E5E5" w:sz="4"/>
              <w:bottom w:val="single" w:color="E5E5E5" w:sz="4"/>
              <w:right w:val="single" w:color="E5E5E5" w:sz="4"/>
            </w:tcBorders>
            <w:shd w:fill="F7F7F7" w:val="clear"/>
            <w:tcMar>
              <w:top w:type="dxa" w:w="160"/>
              <w:left w:type="dxa" w:w="220"/>
              <w:bottom w:type="dxa" w:w="160"/>
              <w:right w:type="dxa" w:w="220"/>
            </w:tcMar>
          </w:tcPr>
          <w:p>
            <w:pPr>
              <w:pStyle w:val="Heading3"/>
              <w:spacing w:after="100" w:before="240"/>
            </w:pPr>
            <w:r>
              <w:rPr>
                <w:rFonts w:ascii="Inter" w:cs="Inter" w:eastAsia="Inter" w:hAnsi="Inter"/>
                <w:b/>
                <w:bCs/>
                <w:i w:val="false"/>
                <w:iCs w:val="false"/>
                <w:caps w:val="false"/>
                <w:color w:val="0A0A0A"/>
                <w:sz w:val="26"/>
                <w:szCs w:val="26"/>
              </w:rPr>
              <w:t xml:space="preserve">Employee Intelligence</w:t>
            </w:r>
          </w:p>
          <w:p>
            <w:pPr>
              <w:spacing w:after="0" w:before="0"/>
            </w:pPr>
            <w:r>
              <w:rPr>
                <w:sz w:val="30"/>
                <w:szCs w:val="3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Salesperson effectiveness scoring</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Coaching opportunity identification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Skill gap profiling</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Conversion driver attribution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Performance trajectory modeling</w:t>
            </w:r>
          </w:p>
        </w:tc>
      </w:tr>
    </w:tbl>
    <w:p>
      <w:pPr>
        <w:spacing w:after="0" w:before="0"/>
      </w:pPr>
      <w:r>
        <w:rPr>
          <w:sz w:val="40"/>
          <w:szCs w:val="40"/>
        </w:rPr>
        <w:t xml:space="preserve"> </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5400"/>
        <w:gridCol w:w="3960"/>
      </w:tblGrid>
      <w:tr>
        <w:tc>
          <w:tcPr>
            <w:tcW w:type="dxa" w:w="5400"/>
            <w:tcBorders>
              <w:top w:val="single" w:color="E5E5E5" w:sz="4"/>
              <w:left w:val="single" w:color="E5E5E5" w:sz="4"/>
              <w:bottom w:val="single" w:color="E5E5E5" w:sz="4"/>
              <w:right w:val="single" w:color="E5E5E5" w:sz="4"/>
            </w:tcBorders>
            <w:shd w:fill="FFFFFF" w:val="clear"/>
            <w:tcMar>
              <w:top w:type="dxa" w:w="160"/>
              <w:left w:type="dxa" w:w="220"/>
              <w:bottom w:type="dxa" w:w="160"/>
              <w:right w:type="dxa" w:w="220"/>
            </w:tcMar>
          </w:tcPr>
          <w:p>
            <w:pPr>
              <w:pStyle w:val="Heading3"/>
              <w:spacing w:after="100" w:before="240"/>
            </w:pPr>
            <w:r>
              <w:rPr>
                <w:rFonts w:ascii="Inter" w:cs="Inter" w:eastAsia="Inter" w:hAnsi="Inter"/>
                <w:b/>
                <w:bCs/>
                <w:i w:val="false"/>
                <w:iCs w:val="false"/>
                <w:caps w:val="false"/>
                <w:color w:val="0A0A0A"/>
                <w:sz w:val="26"/>
                <w:szCs w:val="26"/>
              </w:rPr>
              <w:t xml:space="preserve">Store Intelligence</w:t>
            </w:r>
          </w:p>
          <w:p>
            <w:pPr>
              <w:spacing w:after="0" w:before="0"/>
            </w:pPr>
            <w:r>
              <w:rPr>
                <w:sz w:val="30"/>
                <w:szCs w:val="3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Store vs. store behavioral comparison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Conversion rate driver attribution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Best-practice pattern replication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Regional anomaly detection</w:t>
            </w:r>
          </w:p>
        </w:tc>
        <w:tc>
          <w:tcPr>
            <w:tcW w:type="dxa" w:w="3960"/>
            <w:tcBorders>
              <w:top w:val="single" w:color="E5E5E5" w:sz="4"/>
              <w:left w:val="single" w:color="E5E5E5" w:sz="4"/>
              <w:bottom w:val="single" w:color="E5E5E5" w:sz="4"/>
              <w:right w:val="single" w:color="E5E5E5" w:sz="4"/>
            </w:tcBorders>
            <w:shd w:fill="F7F7F7" w:val="clear"/>
            <w:tcMar>
              <w:top w:type="dxa" w:w="160"/>
              <w:left w:type="dxa" w:w="220"/>
              <w:bottom w:type="dxa" w:w="160"/>
              <w:right w:type="dxa" w:w="220"/>
            </w:tcMar>
          </w:tcPr>
          <w:p>
            <w:pPr>
              <w:pStyle w:val="Heading3"/>
              <w:spacing w:after="100" w:before="240"/>
            </w:pPr>
            <w:r>
              <w:rPr>
                <w:rFonts w:ascii="Inter" w:cs="Inter" w:eastAsia="Inter" w:hAnsi="Inter"/>
                <w:b/>
                <w:bCs/>
                <w:i w:val="false"/>
                <w:iCs w:val="false"/>
                <w:caps w:val="false"/>
                <w:color w:val="0A0A0A"/>
                <w:sz w:val="26"/>
                <w:szCs w:val="26"/>
              </w:rPr>
              <w:t xml:space="preserve">Leadership Intelligence</w:t>
            </w:r>
          </w:p>
          <w:p>
            <w:pPr>
              <w:spacing w:after="0" w:before="0"/>
            </w:pPr>
            <w:r>
              <w:rPr>
                <w:sz w:val="30"/>
                <w:szCs w:val="30"/>
              </w:rPr>
              <w:t xml:space="preserve"> </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Enterprise performance summary</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Revenue driver identification</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Workforce effectiveness metrics</w:t>
            </w:r>
          </w:p>
          <w:p>
            <w:pPr>
              <w:spacing w:after="40" w:before="40"/>
              <w:jc w:val="left"/>
            </w:pPr>
            <w:r>
              <w:rPr>
                <w:rFonts w:ascii="Inter" w:cs="Inter" w:eastAsia="Inter" w:hAnsi="Inter"/>
                <w:b/>
                <w:bCs/>
                <w:i w:val="false"/>
                <w:iCs w:val="false"/>
                <w:caps w:val="false"/>
                <w:color w:val="00D4A4"/>
                <w:sz w:val="24"/>
                <w:szCs w:val="24"/>
              </w:rPr>
              <w:t xml:space="preserve">✓  </w:t>
            </w:r>
            <w:r>
              <w:rPr>
                <w:rFonts w:ascii="Inter" w:cs="Inter" w:eastAsia="Inter" w:hAnsi="Inter"/>
                <w:b w:val="false"/>
                <w:bCs w:val="false"/>
                <w:i w:val="false"/>
                <w:iCs w:val="false"/>
                <w:caps w:val="false"/>
                <w:color w:val="1C1C1E"/>
                <w:sz w:val="24"/>
                <w:szCs w:val="24"/>
              </w:rPr>
              <w:t xml:space="preserve">Strategic recommendation signals</w:t>
            </w:r>
          </w:p>
        </w:tc>
      </w:tr>
    </w:tbl>
    <w:p>
      <w:pPr>
        <w:spacing w:after="0" w:before="0"/>
      </w:pPr>
      <w:r>
        <w:rPr>
          <w:sz w:val="60"/>
          <w:szCs w:val="60"/>
        </w:rPr>
        <w:t xml:space="preserve"> </w:t>
      </w:r>
    </w:p>
    <w:tbl>
      <w:tblPr>
        <w:tblW w:type="dxa" w:w="9360"/>
        <w:tblBorders>
          <w:top w:val="single" w:color="00D4A4" w:sz="4"/>
          <w:left w:val="single" w:color="00D4A4" w:sz="16"/>
          <w:bottom w:val="single" w:color="00D4A4" w:sz="4"/>
          <w:right w:val="single" w:color="00D4A4" w:sz="4"/>
          <w:insideH w:val="single" w:color="auto" w:sz="4"/>
          <w:insideV w:val="single" w:color="auto" w:sz="4"/>
        </w:tblBorders>
      </w:tblPr>
      <w:tblGrid>
        <w:gridCol w:w="9360"/>
      </w:tblGrid>
      <w:tr>
        <w:tc>
          <w:tcPr>
            <w:tcW w:type="dxa" w:w="9360"/>
            <w:tcBorders>
              <w:top w:val="single" w:color="00D4A4" w:sz="4"/>
              <w:left w:val="single" w:color="00D4A4" w:sz="16"/>
              <w:bottom w:val="single" w:color="00D4A4" w:sz="4"/>
              <w:right w:val="single" w:color="00D4A4" w:sz="4"/>
            </w:tcBorders>
            <w:shd w:fill="F0FDF9" w:val="clear"/>
            <w:tcMar>
              <w:top w:type="dxa" w:w="160"/>
              <w:left w:type="dxa" w:w="240"/>
              <w:bottom w:type="dxa" w:w="160"/>
              <w:right w:type="dxa" w:w="240"/>
            </w:tcMar>
          </w:tcPr>
          <w:p>
            <w:pPr>
              <w:pStyle w:val="Heading3"/>
              <w:spacing w:after="100" w:before="240"/>
            </w:pPr>
            <w:r>
              <w:rPr>
                <w:rFonts w:ascii="Inter" w:cs="Inter" w:eastAsia="Inter" w:hAnsi="Inter"/>
                <w:b/>
                <w:bCs/>
                <w:i w:val="false"/>
                <w:iCs w:val="false"/>
                <w:caps w:val="false"/>
                <w:color w:val="0A0A0A"/>
                <w:sz w:val="26"/>
                <w:szCs w:val="26"/>
              </w:rPr>
              <w:t xml:space="preserve">Retail Copilot</w:t>
            </w:r>
          </w:p>
          <w:p>
            <w:pPr>
              <w:spacing w:after="140" w:before="0"/>
              <w:jc w:val="left"/>
            </w:pPr>
            <w:r>
              <w:rPr>
                <w:rFonts w:ascii="Inter" w:cs="Inter" w:eastAsia="Inter" w:hAnsi="Inter"/>
                <w:b w:val="false"/>
                <w:bCs w:val="false"/>
                <w:i w:val="false"/>
                <w:iCs w:val="false"/>
                <w:caps w:val="false"/>
                <w:color w:val="1C1C1E"/>
                <w:sz w:val="26"/>
                <w:szCs w:val="26"/>
              </w:rPr>
              <w:t xml:space="preserve">A natural-language AI assistant for retail operations. Managers ask questions in plain language and receive data-grounded explanations.</w:t>
            </w:r>
          </w:p>
          <w:p>
            <w:pPr>
              <w:spacing w:after="0" w:before="0"/>
            </w:pPr>
            <w:r>
              <w:rPr>
                <w:sz w:val="60"/>
                <w:szCs w:val="60"/>
              </w:rPr>
              <w:t xml:space="preserve"> </w:t>
            </w:r>
          </w:p>
          <w:p>
            <w:pPr>
              <w:spacing w:after="50" w:before="0"/>
            </w:pPr>
            <w:r>
              <w:rPr>
                <w:rFonts w:ascii="Inter" w:cs="Inter" w:eastAsia="Inter" w:hAnsi="Inter"/>
                <w:b w:val="false"/>
                <w:bCs w:val="false"/>
                <w:i w:val="false"/>
                <w:iCs w:val="false"/>
                <w:caps w:val="false"/>
                <w:color w:val="00D4A4"/>
                <w:sz w:val="28"/>
                <w:szCs w:val="28"/>
              </w:rPr>
              <w:t xml:space="preserve">"</w:t>
            </w:r>
            <w:r>
              <w:rPr>
                <w:rFonts w:ascii="Inter" w:cs="Inter" w:eastAsia="Inter" w:hAnsi="Inter"/>
                <w:b w:val="false"/>
                <w:bCs w:val="false"/>
                <w:i/>
                <w:iCs/>
                <w:caps w:val="false"/>
                <w:color w:val="1C1C1E"/>
                <w:sz w:val="26"/>
                <w:szCs w:val="26"/>
              </w:rPr>
              <w:t xml:space="preserve">Why did Store 12 underperform this week?</w:t>
            </w:r>
            <w:r>
              <w:rPr>
                <w:rFonts w:ascii="Inter" w:cs="Inter" w:eastAsia="Inter" w:hAnsi="Inter"/>
                <w:b w:val="false"/>
                <w:bCs w:val="false"/>
                <w:i w:val="false"/>
                <w:iCs w:val="false"/>
                <w:caps w:val="false"/>
                <w:color w:val="00D4A4"/>
                <w:sz w:val="28"/>
                <w:szCs w:val="28"/>
              </w:rPr>
              <w:t xml:space="preserve">"</w:t>
            </w:r>
          </w:p>
          <w:p>
            <w:pPr>
              <w:spacing w:after="50" w:before="0"/>
            </w:pPr>
            <w:r>
              <w:rPr>
                <w:rFonts w:ascii="Inter" w:cs="Inter" w:eastAsia="Inter" w:hAnsi="Inter"/>
                <w:b w:val="false"/>
                <w:bCs w:val="false"/>
                <w:i w:val="false"/>
                <w:iCs w:val="false"/>
                <w:caps w:val="false"/>
                <w:color w:val="00D4A4"/>
                <w:sz w:val="28"/>
                <w:szCs w:val="28"/>
              </w:rPr>
              <w:t xml:space="preserve">"</w:t>
            </w:r>
            <w:r>
              <w:rPr>
                <w:rFonts w:ascii="Inter" w:cs="Inter" w:eastAsia="Inter" w:hAnsi="Inter"/>
                <w:b w:val="false"/>
                <w:bCs w:val="false"/>
                <w:i/>
                <w:iCs/>
                <w:caps w:val="false"/>
                <w:color w:val="1C1C1E"/>
                <w:sz w:val="26"/>
                <w:szCs w:val="26"/>
              </w:rPr>
              <w:t xml:space="preserve">Which employee improved most this month?</w:t>
            </w:r>
            <w:r>
              <w:rPr>
                <w:rFonts w:ascii="Inter" w:cs="Inter" w:eastAsia="Inter" w:hAnsi="Inter"/>
                <w:b w:val="false"/>
                <w:bCs w:val="false"/>
                <w:i w:val="false"/>
                <w:iCs w:val="false"/>
                <w:caps w:val="false"/>
                <w:color w:val="00D4A4"/>
                <w:sz w:val="28"/>
                <w:szCs w:val="28"/>
              </w:rPr>
              <w:t xml:space="preserve">"</w:t>
            </w:r>
          </w:p>
          <w:p>
            <w:pPr>
              <w:spacing w:after="0" w:before="0"/>
            </w:pPr>
            <w:r>
              <w:rPr>
                <w:rFonts w:ascii="Inter" w:cs="Inter" w:eastAsia="Inter" w:hAnsi="Inter"/>
                <w:b w:val="false"/>
                <w:bCs w:val="false"/>
                <w:i w:val="false"/>
                <w:iCs w:val="false"/>
                <w:caps w:val="false"/>
                <w:color w:val="00D4A4"/>
                <w:sz w:val="28"/>
                <w:szCs w:val="28"/>
              </w:rPr>
              <w:t xml:space="preserve">"</w:t>
            </w:r>
            <w:r>
              <w:rPr>
                <w:rFonts w:ascii="Inter" w:cs="Inter" w:eastAsia="Inter" w:hAnsi="Inter"/>
                <w:b w:val="false"/>
                <w:bCs w:val="false"/>
                <w:i/>
                <w:iCs/>
                <w:caps w:val="false"/>
                <w:color w:val="1C1C1E"/>
                <w:sz w:val="26"/>
                <w:szCs w:val="26"/>
              </w:rPr>
              <w:t xml:space="preserve">What objections are increasing across regions?</w:t>
            </w:r>
            <w:r>
              <w:rPr>
                <w:rFonts w:ascii="Inter" w:cs="Inter" w:eastAsia="Inter" w:hAnsi="Inter"/>
                <w:b w:val="false"/>
                <w:bCs w:val="false"/>
                <w:i w:val="false"/>
                <w:iCs w:val="false"/>
                <w:caps w:val="false"/>
                <w:color w:val="00D4A4"/>
                <w:sz w:val="28"/>
                <w:szCs w:val="28"/>
              </w:rPr>
              <w:t xml:space="preserve">"</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80"/>
        <w:gridCol w:w="8680"/>
      </w:tblGrid>
      <w:tr>
        <w:tc>
          <w:tcPr>
            <w:tcW w:type="dxa" w:w="680"/>
            <w:tcBorders>
              <w:top w:val="single" w:color="00D4A4" w:sz="0"/>
              <w:left w:val="single" w:color="00D4A4" w:sz="0"/>
              <w:bottom w:val="single" w:color="00D4A4" w:sz="0"/>
              <w:right w:val="single" w:color="00D4A4" w:sz="0"/>
            </w:tcBorders>
            <w:shd w:fill="00D4A4" w:val="clear"/>
            <w:tcMar>
              <w:top w:type="dxa" w:w="160"/>
              <w:left w:type="dxa" w:w="160"/>
              <w:bottom w:type="dxa" w:w="160"/>
              <w:right w:type="dxa" w:w="160"/>
            </w:tcMar>
            <w:vAlign w:val="center"/>
          </w:tcPr>
          <w:p>
            <w:pPr>
              <w:spacing w:after="0" w:before="0"/>
              <w:jc w:val="center"/>
            </w:pPr>
            <w:r>
              <w:rPr>
                <w:rFonts w:ascii="Inter" w:cs="Inter" w:eastAsia="Inter" w:hAnsi="Inter"/>
                <w:b/>
                <w:bCs/>
                <w:i w:val="false"/>
                <w:iCs w:val="false"/>
                <w:caps w:val="false"/>
                <w:color w:val="0A0A0A"/>
                <w:sz w:val="30"/>
                <w:szCs w:val="30"/>
              </w:rPr>
              <w:t xml:space="preserve">09</w:t>
            </w:r>
          </w:p>
        </w:tc>
        <w:tc>
          <w:tcPr>
            <w:tcW w:type="dxa" w:w="8680"/>
            <w:tcBorders>
              <w:top w:val="single" w:color="0A0A0A" w:sz="0"/>
              <w:left w:val="single" w:color="0A0A0A" w:sz="0"/>
              <w:bottom w:val="single" w:color="0A0A0A" w:sz="0"/>
              <w:right w:val="single" w:color="0A0A0A" w:sz="0"/>
            </w:tcBorders>
            <w:shd w:fill="0A0A0A" w:val="clear"/>
            <w:tcMar>
              <w:top w:type="dxa" w:w="160"/>
              <w:left w:type="dxa" w:w="240"/>
              <w:bottom w:type="dxa" w:w="160"/>
              <w:right w:type="dxa" w:w="240"/>
            </w:tcMar>
            <w:vAlign w:val="center"/>
          </w:tcPr>
          <w:p>
            <w:pPr>
              <w:spacing w:after="0" w:before="0"/>
              <w:jc w:val="left"/>
            </w:pPr>
            <w:r>
              <w:rPr>
                <w:rFonts w:ascii="Inter" w:cs="Inter" w:eastAsia="Inter" w:hAnsi="Inter"/>
                <w:b/>
                <w:bCs/>
                <w:i w:val="false"/>
                <w:iCs w:val="false"/>
                <w:caps w:val="false"/>
                <w:color w:val="FFFFFF"/>
                <w:sz w:val="30"/>
                <w:szCs w:val="30"/>
              </w:rPr>
              <w:t xml:space="preserve">Security &amp; Privacy</w:t>
            </w:r>
          </w:p>
        </w:tc>
      </w:tr>
    </w:tbl>
    <w:p>
      <w:pPr>
        <w:spacing w:after="0" w:before="0"/>
      </w:pPr>
      <w:r>
        <w:rPr>
          <w:sz w:val="60"/>
          <w:szCs w:val="60"/>
        </w:rPr>
        <w:t xml:space="preserve"> </w:t>
      </w:r>
    </w:p>
    <w:p>
      <w:pPr>
        <w:spacing w:after="140" w:before="0"/>
        <w:jc w:val="left"/>
      </w:pPr>
      <w:r>
        <w:rPr>
          <w:rFonts w:ascii="Inter" w:cs="Inter" w:eastAsia="Inter" w:hAnsi="Inter"/>
          <w:b w:val="false"/>
          <w:bCs w:val="false"/>
          <w:i w:val="false"/>
          <w:iCs w:val="false"/>
          <w:caps w:val="false"/>
          <w:color w:val="1C1C1E"/>
          <w:sz w:val="26"/>
          <w:szCs w:val="26"/>
        </w:rPr>
        <w:t xml:space="preserve">SAMAA handles sensitive employee and customer audio data. Security and privacy controls are built into the core platform architecture.</w:t>
      </w:r>
    </w:p>
    <w:p>
      <w:pPr>
        <w:spacing w:after="0" w:before="0"/>
      </w:pPr>
      <w:r>
        <w:rPr>
          <w:sz w:val="60"/>
          <w:szCs w:val="6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5E5E5" w:sz="4"/>
              <w:left w:val="single" w:color="E5E5E5" w:sz="4"/>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Domain</w:t>
            </w:r>
          </w:p>
        </w:tc>
        <w:tc>
          <w:tcPr>
            <w:tcW w:type="dxa" w:w="2800"/>
            <w:tcBorders>
              <w:top w:val="single" w:color="E5E5E5" w:sz="4"/>
              <w:left w:val="nil" w:color="FFFFFF" w:sz="0"/>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Control</w:t>
            </w:r>
          </w:p>
        </w:tc>
        <w:tc>
          <w:tcPr>
            <w:tcW w:type="dxa" w:w="4160"/>
            <w:tcBorders>
              <w:top w:val="single" w:color="E5E5E5" w:sz="4"/>
              <w:left w:val="nil" w:color="FFFFFF" w:sz="0"/>
              <w:bottom w:val="single" w:color="00D4A4" w:sz="8"/>
              <w:right w:val="single" w:color="E5E5E5" w:sz="4"/>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Specification</w:t>
            </w:r>
          </w:p>
        </w:tc>
      </w:tr>
      <w:tr>
        <w:tc>
          <w:tcPr>
            <w:tcW w:type="dxa" w:w="24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Data Protection</w:t>
            </w:r>
          </w:p>
        </w:tc>
        <w:tc>
          <w:tcPr>
            <w:tcW w:type="dxa" w:w="28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Encryption at rest</w:t>
            </w:r>
          </w:p>
        </w:tc>
        <w:tc>
          <w:tcPr>
            <w:tcW w:type="dxa" w:w="41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AES-256 for all stored audio and derived data</w:t>
            </w:r>
          </w:p>
        </w:tc>
      </w:tr>
      <w:tr>
        <w:tc>
          <w:tcPr>
            <w:tcW w:type="dxa" w:w="24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Data Protection</w:t>
            </w:r>
          </w:p>
        </w:tc>
        <w:tc>
          <w:tcPr>
            <w:tcW w:type="dxa" w:w="28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Encryption in transit</w:t>
            </w:r>
          </w:p>
        </w:tc>
        <w:tc>
          <w:tcPr>
            <w:tcW w:type="dxa" w:w="41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TLS 1.3 for all API and file transfer endpoints</w:t>
            </w:r>
          </w:p>
        </w:tc>
      </w:tr>
      <w:tr>
        <w:tc>
          <w:tcPr>
            <w:tcW w:type="dxa" w:w="24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Access Control</w:t>
            </w:r>
          </w:p>
        </w:tc>
        <w:tc>
          <w:tcPr>
            <w:tcW w:type="dxa" w:w="28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Role-based access</w:t>
            </w:r>
          </w:p>
        </w:tc>
        <w:tc>
          <w:tcPr>
            <w:tcW w:type="dxa" w:w="41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RBAC with least-privilege defaults, enforced at API and DB</w:t>
            </w:r>
          </w:p>
        </w:tc>
      </w:tr>
      <w:tr>
        <w:tc>
          <w:tcPr>
            <w:tcW w:type="dxa" w:w="24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Access Control</w:t>
            </w:r>
          </w:p>
        </w:tc>
        <w:tc>
          <w:tcPr>
            <w:tcW w:type="dxa" w:w="28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Audit logging</w:t>
            </w:r>
          </w:p>
        </w:tc>
        <w:tc>
          <w:tcPr>
            <w:tcW w:type="dxa" w:w="41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Immutable audit trail for all data access events</w:t>
            </w:r>
          </w:p>
        </w:tc>
      </w:tr>
      <w:tr>
        <w:tc>
          <w:tcPr>
            <w:tcW w:type="dxa" w:w="24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Privacy</w:t>
            </w:r>
          </w:p>
        </w:tc>
        <w:tc>
          <w:tcPr>
            <w:tcW w:type="dxa" w:w="28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Consent framework</w:t>
            </w:r>
          </w:p>
        </w:tc>
        <w:tc>
          <w:tcPr>
            <w:tcW w:type="dxa" w:w="41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Configurable consent-aware recording policies per deployment</w:t>
            </w:r>
          </w:p>
        </w:tc>
      </w:tr>
      <w:tr>
        <w:tc>
          <w:tcPr>
            <w:tcW w:type="dxa" w:w="24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Privacy</w:t>
            </w:r>
          </w:p>
        </w:tc>
        <w:tc>
          <w:tcPr>
            <w:tcW w:type="dxa" w:w="28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Data retention</w:t>
            </w:r>
          </w:p>
        </w:tc>
        <w:tc>
          <w:tcPr>
            <w:tcW w:type="dxa" w:w="41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Configurable retention rules per region and entity type</w:t>
            </w:r>
          </w:p>
        </w:tc>
      </w:tr>
      <w:tr>
        <w:tc>
          <w:tcPr>
            <w:tcW w:type="dxa" w:w="24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Privacy</w:t>
            </w:r>
          </w:p>
        </w:tc>
        <w:tc>
          <w:tcPr>
            <w:tcW w:type="dxa" w:w="28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Regional storage</w:t>
            </w:r>
          </w:p>
        </w:tc>
        <w:tc>
          <w:tcPr>
            <w:tcW w:type="dxa" w:w="41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Data residency options for GCC compliance requirements</w:t>
            </w:r>
          </w:p>
        </w:tc>
      </w:tr>
      <w:tr>
        <w:tc>
          <w:tcPr>
            <w:tcW w:type="dxa" w:w="24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Enterprise (Roadmap)</w:t>
            </w:r>
          </w:p>
        </w:tc>
        <w:tc>
          <w:tcPr>
            <w:tcW w:type="dxa" w:w="28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SSO integration</w:t>
            </w:r>
          </w:p>
        </w:tc>
        <w:tc>
          <w:tcPr>
            <w:tcW w:type="dxa" w:w="41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SAML 2.0 / OIDC</w:t>
            </w:r>
          </w:p>
        </w:tc>
      </w:tr>
      <w:tr>
        <w:tc>
          <w:tcPr>
            <w:tcW w:type="dxa" w:w="24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Enterprise (Roadmap)</w:t>
            </w:r>
          </w:p>
        </w:tc>
        <w:tc>
          <w:tcPr>
            <w:tcW w:type="dxa" w:w="28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MFA</w:t>
            </w:r>
          </w:p>
        </w:tc>
        <w:tc>
          <w:tcPr>
            <w:tcW w:type="dxa" w:w="41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TOTP and hardware key support</w:t>
            </w:r>
          </w:p>
        </w:tc>
      </w:tr>
      <w:tr>
        <w:tc>
          <w:tcPr>
            <w:tcW w:type="dxa" w:w="2400"/>
            <w:tcBorders>
              <w:top w:val="nil" w:color="FFFFFF" w:sz="0"/>
              <w:left w:val="single" w:color="E5E5E5" w:sz="4"/>
              <w:bottom w:val="single" w:color="E5E5E5"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Enterprise (Roadmap)</w:t>
            </w:r>
          </w:p>
        </w:tc>
        <w:tc>
          <w:tcPr>
            <w:tcW w:type="dxa" w:w="2800"/>
            <w:tcBorders>
              <w:top w:val="nil" w:color="FFFFFF" w:sz="0"/>
              <w:left w:val="nil" w:color="FFFFFF" w:sz="0"/>
              <w:bottom w:val="single" w:color="E5E5E5"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SCIM provisioning</w:t>
            </w:r>
          </w:p>
        </w:tc>
        <w:tc>
          <w:tcPr>
            <w:tcW w:type="dxa" w:w="4160"/>
            <w:tcBorders>
              <w:top w:val="nil" w:color="FFFFFF" w:sz="0"/>
              <w:left w:val="nil" w:color="FFFFFF" w:sz="0"/>
              <w:bottom w:val="single" w:color="E5E5E5"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Automated user lifecycle management</w:t>
            </w:r>
          </w:p>
        </w:tc>
      </w:tr>
    </w:tbl>
    <w:p>
      <w:pPr>
        <w:spacing w:after="0" w:before="0"/>
      </w:pPr>
      <w:r>
        <w:rPr>
          <w:sz w:val="60"/>
          <w:szCs w:val="60"/>
        </w:rPr>
        <w:t xml:space="preserve"> </w:t>
      </w:r>
    </w:p>
    <w:tbl>
      <w:tblPr>
        <w:tblW w:type="dxa" w:w="9360"/>
        <w:tblBorders>
          <w:top w:val="single" w:color="0A0A0A" w:sz="4"/>
          <w:left w:val="single" w:color="0A0A0A" w:sz="4"/>
          <w:bottom w:val="single" w:color="0A0A0A" w:sz="4"/>
          <w:right w:val="single" w:color="0A0A0A" w:sz="4"/>
          <w:insideH w:val="single" w:color="auto" w:sz="4"/>
          <w:insideV w:val="single" w:color="auto" w:sz="4"/>
        </w:tblBorders>
      </w:tblPr>
      <w:tblGrid>
        <w:gridCol w:w="9360"/>
      </w:tblGrid>
      <w:tr>
        <w:tc>
          <w:tcPr>
            <w:tcW w:type="dxa" w:w="9360"/>
            <w:tcBorders>
              <w:top w:val="single" w:color="0A0A0A" w:sz="4"/>
              <w:left w:val="single" w:color="0A0A0A" w:sz="4"/>
              <w:bottom w:val="single" w:color="0A0A0A" w:sz="4"/>
              <w:right w:val="single" w:color="0A0A0A" w:sz="4"/>
            </w:tcBorders>
            <w:shd w:fill="0A0A0A" w:val="clear"/>
            <w:tcMar>
              <w:top w:type="dxa" w:w="160"/>
              <w:left w:type="dxa" w:w="240"/>
              <w:bottom w:type="dxa" w:w="160"/>
              <w:right w:type="dxa" w:w="240"/>
            </w:tcMar>
          </w:tcPr>
          <w:p>
            <w:pPr>
              <w:spacing w:after="60" w:before="120"/>
              <w:jc w:val="left"/>
            </w:pPr>
            <w:r>
              <w:rPr>
                <w:rFonts w:ascii="Inter" w:cs="Inter" w:eastAsia="Inter" w:hAnsi="Inter"/>
                <w:b/>
                <w:bCs/>
                <w:i w:val="false"/>
                <w:iCs w:val="false"/>
                <w:caps/>
                <w:color w:val="5A5A5C"/>
                <w:sz w:val="18"/>
                <w:szCs w:val="18"/>
              </w:rPr>
              <w:t xml:space="preserve">Regulatory Readiness</w:t>
            </w:r>
          </w:p>
          <w:p>
            <w:pPr>
              <w:spacing w:after="140" w:before="0"/>
              <w:jc w:val="left"/>
            </w:pPr>
            <w:r>
              <w:rPr>
                <w:rFonts w:ascii="Inter" w:cs="Inter" w:eastAsia="Inter" w:hAnsi="Inter"/>
                <w:b w:val="false"/>
                <w:bCs w:val="false"/>
                <w:i w:val="false"/>
                <w:iCs w:val="false"/>
                <w:caps w:val="false"/>
                <w:color w:val="FFFFFF"/>
                <w:sz w:val="26"/>
                <w:szCs w:val="26"/>
              </w:rPr>
              <w:t xml:space="preserve">Architecture is designed to support compliance with PDPL (Saudi Arabia), UAE Data Protection Law, and GDPR for European-origin data subjects. Modular data handling allows policy updates without platform rebuild.</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80"/>
        <w:gridCol w:w="8680"/>
      </w:tblGrid>
      <w:tr>
        <w:tc>
          <w:tcPr>
            <w:tcW w:type="dxa" w:w="680"/>
            <w:tcBorders>
              <w:top w:val="single" w:color="00D4A4" w:sz="0"/>
              <w:left w:val="single" w:color="00D4A4" w:sz="0"/>
              <w:bottom w:val="single" w:color="00D4A4" w:sz="0"/>
              <w:right w:val="single" w:color="00D4A4" w:sz="0"/>
            </w:tcBorders>
            <w:shd w:fill="00D4A4" w:val="clear"/>
            <w:tcMar>
              <w:top w:type="dxa" w:w="160"/>
              <w:left w:type="dxa" w:w="160"/>
              <w:bottom w:type="dxa" w:w="160"/>
              <w:right w:type="dxa" w:w="160"/>
            </w:tcMar>
            <w:vAlign w:val="center"/>
          </w:tcPr>
          <w:p>
            <w:pPr>
              <w:spacing w:after="0" w:before="0"/>
              <w:jc w:val="center"/>
            </w:pPr>
            <w:r>
              <w:rPr>
                <w:rFonts w:ascii="Inter" w:cs="Inter" w:eastAsia="Inter" w:hAnsi="Inter"/>
                <w:b/>
                <w:bCs/>
                <w:i w:val="false"/>
                <w:iCs w:val="false"/>
                <w:caps w:val="false"/>
                <w:color w:val="0A0A0A"/>
                <w:sz w:val="30"/>
                <w:szCs w:val="30"/>
              </w:rPr>
              <w:t xml:space="preserve">10</w:t>
            </w:r>
          </w:p>
        </w:tc>
        <w:tc>
          <w:tcPr>
            <w:tcW w:type="dxa" w:w="8680"/>
            <w:tcBorders>
              <w:top w:val="single" w:color="0A0A0A" w:sz="0"/>
              <w:left w:val="single" w:color="0A0A0A" w:sz="0"/>
              <w:bottom w:val="single" w:color="0A0A0A" w:sz="0"/>
              <w:right w:val="single" w:color="0A0A0A" w:sz="0"/>
            </w:tcBorders>
            <w:shd w:fill="0A0A0A" w:val="clear"/>
            <w:tcMar>
              <w:top w:type="dxa" w:w="160"/>
              <w:left w:type="dxa" w:w="240"/>
              <w:bottom w:type="dxa" w:w="160"/>
              <w:right w:type="dxa" w:w="240"/>
            </w:tcMar>
            <w:vAlign w:val="center"/>
          </w:tcPr>
          <w:p>
            <w:pPr>
              <w:spacing w:after="0" w:before="0"/>
              <w:jc w:val="left"/>
            </w:pPr>
            <w:r>
              <w:rPr>
                <w:rFonts w:ascii="Inter" w:cs="Inter" w:eastAsia="Inter" w:hAnsi="Inter"/>
                <w:b/>
                <w:bCs/>
                <w:i w:val="false"/>
                <w:iCs w:val="false"/>
                <w:caps w:val="false"/>
                <w:color w:val="FFFFFF"/>
                <w:sz w:val="30"/>
                <w:szCs w:val="30"/>
              </w:rPr>
              <w:t xml:space="preserve">Scalability &amp; Reliability</w:t>
            </w:r>
          </w:p>
        </w:tc>
      </w:tr>
    </w:tbl>
    <w:p>
      <w:pPr>
        <w:spacing w:after="0" w:before="0"/>
      </w:pPr>
      <w:r>
        <w:rPr>
          <w:sz w:val="60"/>
          <w:szCs w:val="60"/>
        </w:rPr>
        <w:t xml:space="preserve"> </w:t>
      </w:r>
    </w:p>
    <w:p>
      <w:pPr>
        <w:spacing w:after="140" w:before="0"/>
        <w:jc w:val="left"/>
      </w:pPr>
      <w:r>
        <w:rPr>
          <w:rFonts w:ascii="Inter" w:cs="Inter" w:eastAsia="Inter" w:hAnsi="Inter"/>
          <w:b w:val="false"/>
          <w:bCs w:val="false"/>
          <w:i w:val="false"/>
          <w:iCs w:val="false"/>
          <w:caps w:val="false"/>
          <w:color w:val="1C1C1E"/>
          <w:sz w:val="26"/>
          <w:szCs w:val="26"/>
        </w:rPr>
        <w:t xml:space="preserve">SAMAA is designed for large retail deployments — from a single-brand pilot to multi-country enterprise rollout without architectural change.</w:t>
      </w:r>
    </w:p>
    <w:p>
      <w:pPr>
        <w:spacing w:after="0" w:before="0"/>
      </w:pPr>
      <w:r>
        <w:rPr>
          <w:sz w:val="60"/>
          <w:szCs w:val="60"/>
        </w:rPr>
        <w:t xml:space="preserve"> </w:t>
      </w:r>
    </w:p>
    <w:tbl>
      <w:tblPr>
        <w:tblW w:type="dxa" w:w="9360"/>
        <w:tblBorders>
          <w:top w:val="single" w:color="E5E5E5" w:sz="4"/>
          <w:left w:val="single" w:color="E5E5E5" w:sz="4"/>
          <w:bottom w:val="single" w:color="E5E5E5" w:sz="4"/>
          <w:right w:val="single" w:color="E5E5E5" w:sz="4"/>
          <w:insideH w:val="single" w:color="auto" w:sz="4"/>
          <w:insideV w:val="single" w:color="auto" w:sz="4"/>
        </w:tblBorders>
      </w:tblPr>
      <w:tblGrid>
        <w:gridCol w:w="3120"/>
        <w:gridCol w:w="3120"/>
        <w:gridCol w:w="3120"/>
      </w:tblGrid>
      <w:tr>
        <w:tc>
          <w:tcPr>
            <w:tcW w:type="dxa" w:w="3120"/>
            <w:tcBorders>
              <w:top w:val="single" w:color="E5E5E5" w:sz="4"/>
              <w:left w:val="single" w:color="E5E5E5" w:sz="4"/>
              <w:bottom w:val="single" w:color="E5E5E5" w:sz="4"/>
              <w:right w:val="nil" w:color="FFFFFF" w:sz="0"/>
            </w:tcBorders>
            <w:shd w:fill="FFFFFF" w:val="clear"/>
            <w:tcMar>
              <w:top w:type="dxa" w:w="200"/>
              <w:left w:type="dxa" w:w="120"/>
              <w:bottom w:type="dxa" w:w="200"/>
              <w:right w:type="dxa" w:w="120"/>
            </w:tcMar>
            <w:vAlign w:val="center"/>
          </w:tcPr>
          <w:p>
            <w:pPr>
              <w:spacing w:after="60" w:before="0"/>
              <w:jc w:val="center"/>
            </w:pPr>
            <w:r>
              <w:rPr>
                <w:rFonts w:ascii="Inter" w:cs="Inter" w:eastAsia="Inter" w:hAnsi="Inter"/>
                <w:b/>
                <w:bCs/>
                <w:i w:val="false"/>
                <w:iCs w:val="false"/>
                <w:caps w:val="false"/>
                <w:color w:val="00D4A4"/>
                <w:sz w:val="44"/>
                <w:szCs w:val="44"/>
              </w:rPr>
              <w:t xml:space="preserve">1000s</w:t>
            </w:r>
          </w:p>
          <w:p>
            <w:pPr>
              <w:spacing w:after="0" w:before="0"/>
              <w:jc w:val="center"/>
            </w:pPr>
            <w:r>
              <w:rPr>
                <w:rFonts w:ascii="Inter" w:cs="Inter" w:eastAsia="Inter" w:hAnsi="Inter"/>
                <w:b w:val="false"/>
                <w:bCs w:val="false"/>
                <w:i w:val="false"/>
                <w:iCs w:val="false"/>
                <w:caps w:val="false"/>
                <w:color w:val="5A5A5C"/>
                <w:sz w:val="20"/>
                <w:szCs w:val="20"/>
              </w:rPr>
              <w:t xml:space="preserve">of stores supported</w:t>
            </w:r>
          </w:p>
        </w:tc>
        <w:tc>
          <w:tcPr>
            <w:tcW w:type="dxa" w:w="3120"/>
            <w:tcBorders>
              <w:top w:val="single" w:color="E5E5E5" w:sz="4"/>
              <w:left w:val="nil" w:color="FFFFFF" w:sz="0"/>
              <w:bottom w:val="single" w:color="E5E5E5" w:sz="4"/>
              <w:right w:val="nil" w:color="FFFFFF" w:sz="0"/>
            </w:tcBorders>
            <w:shd w:fill="F0FDF9" w:val="clear"/>
            <w:tcMar>
              <w:top w:type="dxa" w:w="200"/>
              <w:left w:type="dxa" w:w="120"/>
              <w:bottom w:type="dxa" w:w="200"/>
              <w:right w:type="dxa" w:w="120"/>
            </w:tcMar>
            <w:vAlign w:val="center"/>
          </w:tcPr>
          <w:p>
            <w:pPr>
              <w:spacing w:after="60" w:before="0"/>
              <w:jc w:val="center"/>
            </w:pPr>
            <w:r>
              <w:rPr>
                <w:rFonts w:ascii="Inter" w:cs="Inter" w:eastAsia="Inter" w:hAnsi="Inter"/>
                <w:b/>
                <w:bCs/>
                <w:i w:val="false"/>
                <w:iCs w:val="false"/>
                <w:caps w:val="false"/>
                <w:color w:val="00D4A4"/>
                <w:sz w:val="44"/>
                <w:szCs w:val="44"/>
              </w:rPr>
              <w:t xml:space="preserve">10 000s</w:t>
            </w:r>
          </w:p>
          <w:p>
            <w:pPr>
              <w:spacing w:after="0" w:before="0"/>
              <w:jc w:val="center"/>
            </w:pPr>
            <w:r>
              <w:rPr>
                <w:rFonts w:ascii="Inter" w:cs="Inter" w:eastAsia="Inter" w:hAnsi="Inter"/>
                <w:b w:val="false"/>
                <w:bCs w:val="false"/>
                <w:i w:val="false"/>
                <w:iCs w:val="false"/>
                <w:caps w:val="false"/>
                <w:color w:val="5A5A5C"/>
                <w:sz w:val="20"/>
                <w:szCs w:val="20"/>
              </w:rPr>
              <w:t xml:space="preserve">of employees</w:t>
            </w:r>
          </w:p>
        </w:tc>
        <w:tc>
          <w:tcPr>
            <w:tcW w:type="dxa" w:w="3120"/>
            <w:tcBorders>
              <w:top w:val="single" w:color="E5E5E5" w:sz="4"/>
              <w:left w:val="nil" w:color="FFFFFF" w:sz="0"/>
              <w:bottom w:val="single" w:color="E5E5E5" w:sz="4"/>
              <w:right w:val="single" w:color="E5E5E5" w:sz="4"/>
            </w:tcBorders>
            <w:shd w:fill="FFFFFF" w:val="clear"/>
            <w:tcMar>
              <w:top w:type="dxa" w:w="200"/>
              <w:left w:type="dxa" w:w="120"/>
              <w:bottom w:type="dxa" w:w="200"/>
              <w:right w:type="dxa" w:w="120"/>
            </w:tcMar>
            <w:vAlign w:val="center"/>
          </w:tcPr>
          <w:p>
            <w:pPr>
              <w:spacing w:after="60" w:before="0"/>
              <w:jc w:val="center"/>
            </w:pPr>
            <w:r>
              <w:rPr>
                <w:rFonts w:ascii="Inter" w:cs="Inter" w:eastAsia="Inter" w:hAnsi="Inter"/>
                <w:b/>
                <w:bCs/>
                <w:i w:val="false"/>
                <w:iCs w:val="false"/>
                <w:caps w:val="false"/>
                <w:color w:val="00D4A4"/>
                <w:sz w:val="44"/>
                <w:szCs w:val="44"/>
              </w:rPr>
              <w:t xml:space="preserve">Millions</w:t>
            </w:r>
          </w:p>
          <w:p>
            <w:pPr>
              <w:spacing w:after="0" w:before="0"/>
              <w:jc w:val="center"/>
            </w:pPr>
            <w:r>
              <w:rPr>
                <w:rFonts w:ascii="Inter" w:cs="Inter" w:eastAsia="Inter" w:hAnsi="Inter"/>
                <w:b w:val="false"/>
                <w:bCs w:val="false"/>
                <w:i w:val="false"/>
                <w:iCs w:val="false"/>
                <w:caps w:val="false"/>
                <w:color w:val="5A5A5C"/>
                <w:sz w:val="20"/>
                <w:szCs w:val="20"/>
              </w:rPr>
              <w:t xml:space="preserve">of conversations</w:t>
            </w:r>
          </w:p>
        </w:tc>
      </w:tr>
    </w:tbl>
    <w:p>
      <w:pPr>
        <w:spacing w:after="0" w:before="0"/>
      </w:pPr>
      <w:r>
        <w:rPr>
          <w:sz w:val="60"/>
          <w:szCs w:val="6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E5E5E5" w:sz="4"/>
              <w:left w:val="single" w:color="E5E5E5" w:sz="4"/>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Dimension</w:t>
            </w:r>
          </w:p>
        </w:tc>
        <w:tc>
          <w:tcPr>
            <w:tcW w:type="dxa" w:w="2800"/>
            <w:tcBorders>
              <w:top w:val="single" w:color="E5E5E5" w:sz="4"/>
              <w:left w:val="nil" w:color="FFFFFF" w:sz="0"/>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Capability</w:t>
            </w:r>
          </w:p>
        </w:tc>
        <w:tc>
          <w:tcPr>
            <w:tcW w:type="dxa" w:w="4760"/>
            <w:tcBorders>
              <w:top w:val="single" w:color="E5E5E5" w:sz="4"/>
              <w:left w:val="nil" w:color="FFFFFF" w:sz="0"/>
              <w:bottom w:val="single" w:color="00D4A4" w:sz="8"/>
              <w:right w:val="single" w:color="E5E5E5" w:sz="4"/>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Detail</w:t>
            </w:r>
          </w:p>
        </w:tc>
      </w:tr>
      <w:tr>
        <w:tc>
          <w:tcPr>
            <w:tcW w:type="dxa" w:w="18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Tenancy</w:t>
            </w:r>
          </w:p>
        </w:tc>
        <w:tc>
          <w:tcPr>
            <w:tcW w:type="dxa" w:w="28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Multi-tenant architecture</w:t>
            </w:r>
          </w:p>
        </w:tc>
        <w:tc>
          <w:tcPr>
            <w:tcW w:type="dxa" w:w="47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Full data isolation per brand, shared infrastructure efficiency</w:t>
            </w:r>
          </w:p>
        </w:tc>
      </w:tr>
      <w:tr>
        <w:tc>
          <w:tcPr>
            <w:tcW w:type="dxa" w:w="18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Compute</w:t>
            </w:r>
          </w:p>
        </w:tc>
        <w:tc>
          <w:tcPr>
            <w:tcW w:type="dxa" w:w="28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Horizontal auto-scaling</w:t>
            </w:r>
          </w:p>
        </w:tc>
        <w:tc>
          <w:tcPr>
            <w:tcW w:type="dxa" w:w="47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Audio processing and inference clusters scale independently</w:t>
            </w:r>
          </w:p>
        </w:tc>
      </w:tr>
      <w:tr>
        <w:tc>
          <w:tcPr>
            <w:tcW w:type="dxa" w:w="18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Data</w:t>
            </w:r>
          </w:p>
        </w:tc>
        <w:tc>
          <w:tcPr>
            <w:tcW w:type="dxa" w:w="28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Real-time event processing</w:t>
            </w:r>
          </w:p>
        </w:tc>
        <w:tc>
          <w:tcPr>
            <w:tcW w:type="dxa" w:w="47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Streaming ingestion with sub-minute insight generation</w:t>
            </w:r>
          </w:p>
        </w:tc>
      </w:tr>
      <w:tr>
        <w:tc>
          <w:tcPr>
            <w:tcW w:type="dxa" w:w="18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Storage</w:t>
            </w:r>
          </w:p>
        </w:tc>
        <w:tc>
          <w:tcPr>
            <w:tcW w:type="dxa" w:w="28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Managed database infrastructure</w:t>
            </w:r>
          </w:p>
        </w:tc>
        <w:tc>
          <w:tcPr>
            <w:tcW w:type="dxa" w:w="47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Regionally distributed, point-in-time recovery</w:t>
            </w:r>
          </w:p>
        </w:tc>
      </w:tr>
      <w:tr>
        <w:tc>
          <w:tcPr>
            <w:tcW w:type="dxa" w:w="18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Availability</w:t>
            </w:r>
          </w:p>
        </w:tc>
        <w:tc>
          <w:tcPr>
            <w:tcW w:type="dxa" w:w="28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High-availability deployment</w:t>
            </w:r>
          </w:p>
        </w:tc>
        <w:tc>
          <w:tcPr>
            <w:tcW w:type="dxa" w:w="47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Multi-AZ, 99.9% uptime target</w:t>
            </w:r>
          </w:p>
        </w:tc>
      </w:tr>
      <w:tr>
        <w:tc>
          <w:tcPr>
            <w:tcW w:type="dxa" w:w="18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Recovery</w:t>
            </w:r>
          </w:p>
        </w:tc>
        <w:tc>
          <w:tcPr>
            <w:tcW w:type="dxa" w:w="28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Automated backups</w:t>
            </w:r>
          </w:p>
        </w:tc>
        <w:tc>
          <w:tcPr>
            <w:tcW w:type="dxa" w:w="47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Continuous backup, configurable retention periods</w:t>
            </w:r>
          </w:p>
        </w:tc>
      </w:tr>
      <w:tr>
        <w:tc>
          <w:tcPr>
            <w:tcW w:type="dxa" w:w="1800"/>
            <w:tcBorders>
              <w:top w:val="nil" w:color="FFFFFF" w:sz="0"/>
              <w:left w:val="single" w:color="E5E5E5" w:sz="4"/>
              <w:bottom w:val="single" w:color="E5E5E5"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Disaster Recovery</w:t>
            </w:r>
          </w:p>
        </w:tc>
        <w:tc>
          <w:tcPr>
            <w:tcW w:type="dxa" w:w="2800"/>
            <w:tcBorders>
              <w:top w:val="nil" w:color="FFFFFF" w:sz="0"/>
              <w:left w:val="nil" w:color="FFFFFF" w:sz="0"/>
              <w:bottom w:val="single" w:color="E5E5E5"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Cross-region replication</w:t>
            </w:r>
          </w:p>
        </w:tc>
        <w:tc>
          <w:tcPr>
            <w:tcW w:type="dxa" w:w="4760"/>
            <w:tcBorders>
              <w:top w:val="nil" w:color="FFFFFF" w:sz="0"/>
              <w:left w:val="nil" w:color="FFFFFF" w:sz="0"/>
              <w:bottom w:val="single" w:color="E5E5E5"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Defined RTO/RPO targets per tier</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80"/>
        <w:gridCol w:w="8680"/>
      </w:tblGrid>
      <w:tr>
        <w:tc>
          <w:tcPr>
            <w:tcW w:type="dxa" w:w="680"/>
            <w:tcBorders>
              <w:top w:val="single" w:color="00D4A4" w:sz="0"/>
              <w:left w:val="single" w:color="00D4A4" w:sz="0"/>
              <w:bottom w:val="single" w:color="00D4A4" w:sz="0"/>
              <w:right w:val="single" w:color="00D4A4" w:sz="0"/>
            </w:tcBorders>
            <w:shd w:fill="00D4A4" w:val="clear"/>
            <w:tcMar>
              <w:top w:type="dxa" w:w="160"/>
              <w:left w:type="dxa" w:w="160"/>
              <w:bottom w:type="dxa" w:w="160"/>
              <w:right w:type="dxa" w:w="160"/>
            </w:tcMar>
            <w:vAlign w:val="center"/>
          </w:tcPr>
          <w:p>
            <w:pPr>
              <w:spacing w:after="0" w:before="0"/>
              <w:jc w:val="center"/>
            </w:pPr>
            <w:r>
              <w:rPr>
                <w:rFonts w:ascii="Inter" w:cs="Inter" w:eastAsia="Inter" w:hAnsi="Inter"/>
                <w:b/>
                <w:bCs/>
                <w:i w:val="false"/>
                <w:iCs w:val="false"/>
                <w:caps w:val="false"/>
                <w:color w:val="0A0A0A"/>
                <w:sz w:val="30"/>
                <w:szCs w:val="30"/>
              </w:rPr>
              <w:t xml:space="preserve">11</w:t>
            </w:r>
          </w:p>
        </w:tc>
        <w:tc>
          <w:tcPr>
            <w:tcW w:type="dxa" w:w="8680"/>
            <w:tcBorders>
              <w:top w:val="single" w:color="0A0A0A" w:sz="0"/>
              <w:left w:val="single" w:color="0A0A0A" w:sz="0"/>
              <w:bottom w:val="single" w:color="0A0A0A" w:sz="0"/>
              <w:right w:val="single" w:color="0A0A0A" w:sz="0"/>
            </w:tcBorders>
            <w:shd w:fill="0A0A0A" w:val="clear"/>
            <w:tcMar>
              <w:top w:type="dxa" w:w="160"/>
              <w:left w:type="dxa" w:w="240"/>
              <w:bottom w:type="dxa" w:w="160"/>
              <w:right w:type="dxa" w:w="240"/>
            </w:tcMar>
            <w:vAlign w:val="center"/>
          </w:tcPr>
          <w:p>
            <w:pPr>
              <w:spacing w:after="0" w:before="0"/>
              <w:jc w:val="left"/>
            </w:pPr>
            <w:r>
              <w:rPr>
                <w:rFonts w:ascii="Inter" w:cs="Inter" w:eastAsia="Inter" w:hAnsi="Inter"/>
                <w:b/>
                <w:bCs/>
                <w:i w:val="false"/>
                <w:iCs w:val="false"/>
                <w:caps w:val="false"/>
                <w:color w:val="FFFFFF"/>
                <w:sz w:val="30"/>
                <w:szCs w:val="30"/>
              </w:rPr>
              <w:t xml:space="preserve">Technical Roadmap</w:t>
            </w:r>
          </w:p>
        </w:tc>
      </w:tr>
    </w:tbl>
    <w:p>
      <w:pPr>
        <w:spacing w:after="0" w:before="0"/>
      </w:pPr>
      <w:r>
        <w:rPr>
          <w:sz w:val="60"/>
          <w:szCs w:val="60"/>
        </w:rPr>
        <w:t xml:space="preserve"> </w:t>
      </w:r>
    </w:p>
    <w:p>
      <w:pPr>
        <w:spacing w:after="140" w:before="0"/>
        <w:jc w:val="left"/>
      </w:pPr>
      <w:r>
        <w:rPr>
          <w:rFonts w:ascii="Inter" w:cs="Inter" w:eastAsia="Inter" w:hAnsi="Inter"/>
          <w:b w:val="false"/>
          <w:bCs w:val="false"/>
          <w:i w:val="false"/>
          <w:iCs w:val="false"/>
          <w:caps w:val="false"/>
          <w:color w:val="1C1C1E"/>
          <w:sz w:val="26"/>
          <w:szCs w:val="26"/>
        </w:rPr>
        <w:t xml:space="preserve">The SAMAA roadmap is structured across five delivery phases, moving from core intelligence capture to autonomous retail operating system.</w:t>
      </w:r>
    </w:p>
    <w:p>
      <w:pPr>
        <w:spacing w:after="0" w:before="0"/>
      </w:pPr>
      <w:r>
        <w:rPr>
          <w:sz w:val="60"/>
          <w:szCs w:val="6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E5E5E5" w:sz="4"/>
              <w:left w:val="single" w:color="E5E5E5" w:sz="4"/>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Phase</w:t>
            </w:r>
          </w:p>
        </w:tc>
        <w:tc>
          <w:tcPr>
            <w:tcW w:type="dxa" w:w="2200"/>
            <w:tcBorders>
              <w:top w:val="single" w:color="E5E5E5" w:sz="4"/>
              <w:left w:val="nil" w:color="FFFFFF" w:sz="0"/>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Focus</w:t>
            </w:r>
          </w:p>
        </w:tc>
        <w:tc>
          <w:tcPr>
            <w:tcW w:type="dxa" w:w="5360"/>
            <w:tcBorders>
              <w:top w:val="single" w:color="E5E5E5" w:sz="4"/>
              <w:left w:val="nil" w:color="FFFFFF" w:sz="0"/>
              <w:bottom w:val="single" w:color="00D4A4" w:sz="8"/>
              <w:right w:val="single" w:color="E5E5E5" w:sz="4"/>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Key Deliverables</w:t>
            </w:r>
          </w:p>
        </w:tc>
      </w:tr>
      <w:tr>
        <w:tc>
          <w:tcPr>
            <w:tcW w:type="dxa" w:w="18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Phase 1
Now → 6M</w:t>
            </w:r>
          </w:p>
        </w:tc>
        <w:tc>
          <w:tcPr>
            <w:tcW w:type="dxa" w:w="22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Conversation Intelligence</w:t>
            </w:r>
          </w:p>
        </w:tc>
        <w:tc>
          <w:tcPr>
            <w:tcW w:type="dxa" w:w="53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Audio capture pipeline · Speech-to-text engine · Objection detection · Store &amp; employee dashboards · SOP scoring</w:t>
            </w:r>
          </w:p>
        </w:tc>
      </w:tr>
      <w:tr>
        <w:tc>
          <w:tcPr>
            <w:tcW w:type="dxa" w:w="18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Phase 2
6 → 12M</w:t>
            </w:r>
          </w:p>
        </w:tc>
        <w:tc>
          <w:tcPr>
            <w:tcW w:type="dxa" w:w="22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Store Intelligence</w:t>
            </w:r>
          </w:p>
        </w:tc>
        <w:tc>
          <w:tcPr>
            <w:tcW w:type="dxa" w:w="53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Multi-store benchmarking · Performance comparison engine · AI coaching module · Manager alerts</w:t>
            </w:r>
          </w:p>
        </w:tc>
      </w:tr>
      <w:tr>
        <w:tc>
          <w:tcPr>
            <w:tcW w:type="dxa" w:w="18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Phase 3
12 → 18M</w:t>
            </w:r>
          </w:p>
        </w:tc>
        <w:tc>
          <w:tcPr>
            <w:tcW w:type="dxa" w:w="22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Employee Intelligence</w:t>
            </w:r>
          </w:p>
        </w:tc>
        <w:tc>
          <w:tcPr>
            <w:tcW w:type="dxa" w:w="53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Personalized coaching recommendations · Performance scoring · Skill gap analysis · Training ROI measurement</w:t>
            </w:r>
          </w:p>
        </w:tc>
      </w:tr>
      <w:tr>
        <w:tc>
          <w:tcPr>
            <w:tcW w:type="dxa" w:w="18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Phase 4
18 → 24M</w:t>
            </w:r>
          </w:p>
        </w:tc>
        <w:tc>
          <w:tcPr>
            <w:tcW w:type="dxa" w:w="22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Retail Copilot</w:t>
            </w:r>
          </w:p>
        </w:tc>
        <w:tc>
          <w:tcPr>
            <w:tcW w:type="dxa" w:w="53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Natural-language analytics · Executive insights · Conversational reporting · Predictive intelligence</w:t>
            </w:r>
          </w:p>
        </w:tc>
      </w:tr>
      <w:tr>
        <w:tc>
          <w:tcPr>
            <w:tcW w:type="dxa" w:w="1800"/>
            <w:tcBorders>
              <w:top w:val="nil" w:color="FFFFFF" w:sz="0"/>
              <w:left w:val="single" w:color="E5E5E5" w:sz="4"/>
              <w:bottom w:val="single" w:color="E5E5E5"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Phase 5
24M+</w:t>
            </w:r>
          </w:p>
        </w:tc>
        <w:tc>
          <w:tcPr>
            <w:tcW w:type="dxa" w:w="2200"/>
            <w:tcBorders>
              <w:top w:val="nil" w:color="FFFFFF" w:sz="0"/>
              <w:left w:val="nil" w:color="FFFFFF" w:sz="0"/>
              <w:bottom w:val="single" w:color="E5E5E5"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Autonomous Retail Ops</w:t>
            </w:r>
          </w:p>
        </w:tc>
        <w:tc>
          <w:tcPr>
            <w:tcW w:type="dxa" w:w="5360"/>
            <w:tcBorders>
              <w:top w:val="nil" w:color="FFFFFF" w:sz="0"/>
              <w:left w:val="nil" w:color="FFFFFF" w:sz="0"/>
              <w:bottom w:val="single" w:color="E5E5E5"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Automated recommendations · Behavioral intelligence graph · Retail optimization engine · Partner API</w:t>
            </w:r>
          </w:p>
        </w:tc>
      </w:tr>
    </w:tbl>
    <w:p>
      <w:pPr>
        <w:spacing w:after="0" w:before="0"/>
      </w:pPr>
      <w:r>
        <w:rPr>
          <w:sz w:val="80"/>
          <w:szCs w:val="80"/>
        </w:rPr>
        <w:t xml:space="preserve"> </w:t>
      </w:r>
    </w:p>
    <w:tbl>
      <w:tblPr>
        <w:tblW w:type="dxa" w:w="9360"/>
        <w:tblBorders>
          <w:top w:val="single" w:color="0A0A0A" w:sz="4"/>
          <w:left w:val="single" w:color="0A0A0A" w:sz="4"/>
          <w:bottom w:val="single" w:color="0A0A0A" w:sz="4"/>
          <w:right w:val="single" w:color="0A0A0A" w:sz="4"/>
          <w:insideH w:val="single" w:color="auto" w:sz="4"/>
          <w:insideV w:val="single" w:color="auto" w:sz="4"/>
        </w:tblBorders>
      </w:tblPr>
      <w:tblGrid>
        <w:gridCol w:w="9360"/>
      </w:tblGrid>
      <w:tr>
        <w:tc>
          <w:tcPr>
            <w:tcW w:type="dxa" w:w="9360"/>
            <w:tcBorders>
              <w:top w:val="single" w:color="0A0A0A" w:sz="4"/>
              <w:left w:val="single" w:color="0A0A0A" w:sz="4"/>
              <w:bottom w:val="single" w:color="0A0A0A" w:sz="4"/>
              <w:right w:val="single" w:color="0A0A0A" w:sz="4"/>
            </w:tcBorders>
            <w:shd w:fill="0A0A0A" w:val="clear"/>
            <w:tcMar>
              <w:top w:type="dxa" w:w="160"/>
              <w:left w:type="dxa" w:w="240"/>
              <w:bottom w:type="dxa" w:w="160"/>
              <w:right w:type="dxa" w:w="240"/>
            </w:tcMar>
          </w:tcPr>
          <w:p>
            <w:pPr>
              <w:pStyle w:val="Heading3"/>
              <w:spacing w:after="100" w:before="240"/>
            </w:pPr>
            <w:r>
              <w:rPr>
                <w:rFonts w:ascii="Inter" w:cs="Inter" w:eastAsia="Inter" w:hAnsi="Inter"/>
                <w:b/>
                <w:bCs/>
                <w:i w:val="false"/>
                <w:iCs w:val="false"/>
                <w:caps w:val="false"/>
                <w:color w:val="FFFFFF"/>
                <w:sz w:val="26"/>
                <w:szCs w:val="26"/>
              </w:rPr>
              <w:t xml:space="preserve">Long-Term Vision</w:t>
            </w:r>
          </w:p>
          <w:p>
            <w:pPr>
              <w:spacing w:after="0" w:before="60"/>
            </w:pPr>
            <w:r>
              <w:rPr>
                <w:rFonts w:ascii="Inter" w:cs="Inter" w:eastAsia="Inter" w:hAnsi="Inter"/>
                <w:b w:val="false"/>
                <w:bCs w:val="false"/>
                <w:i w:val="false"/>
                <w:iCs w:val="false"/>
                <w:caps w:val="false"/>
                <w:color w:val="8A8A8A"/>
                <w:sz w:val="26"/>
                <w:szCs w:val="26"/>
              </w:rPr>
              <w:t xml:space="preserve">SAMAA evolves from a performance monitoring tool into the operating system for the human layer of retail — the platform through which every coaching decision, training investment, and staffing choice is made.</w:t>
            </w:r>
          </w:p>
        </w:tc>
      </w:tr>
    </w:tbl>
    <w:p>
      <w:r>
        <w:br w:type="pag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80"/>
        <w:gridCol w:w="8680"/>
      </w:tblGrid>
      <w:tr>
        <w:tc>
          <w:tcPr>
            <w:tcW w:type="dxa" w:w="680"/>
            <w:tcBorders>
              <w:top w:val="single" w:color="00D4A4" w:sz="0"/>
              <w:left w:val="single" w:color="00D4A4" w:sz="0"/>
              <w:bottom w:val="single" w:color="00D4A4" w:sz="0"/>
              <w:right w:val="single" w:color="00D4A4" w:sz="0"/>
            </w:tcBorders>
            <w:shd w:fill="00D4A4" w:val="clear"/>
            <w:tcMar>
              <w:top w:type="dxa" w:w="160"/>
              <w:left w:type="dxa" w:w="160"/>
              <w:bottom w:type="dxa" w:w="160"/>
              <w:right w:type="dxa" w:w="160"/>
            </w:tcMar>
            <w:vAlign w:val="center"/>
          </w:tcPr>
          <w:p>
            <w:pPr>
              <w:spacing w:after="0" w:before="0"/>
              <w:jc w:val="center"/>
            </w:pPr>
            <w:r>
              <w:rPr>
                <w:rFonts w:ascii="Inter" w:cs="Inter" w:eastAsia="Inter" w:hAnsi="Inter"/>
                <w:b/>
                <w:bCs/>
                <w:i w:val="false"/>
                <w:iCs w:val="false"/>
                <w:caps w:val="false"/>
                <w:color w:val="0A0A0A"/>
                <w:sz w:val="30"/>
                <w:szCs w:val="30"/>
              </w:rPr>
              <w:t xml:space="preserve">12</w:t>
            </w:r>
          </w:p>
        </w:tc>
        <w:tc>
          <w:tcPr>
            <w:tcW w:type="dxa" w:w="8680"/>
            <w:tcBorders>
              <w:top w:val="single" w:color="0A0A0A" w:sz="0"/>
              <w:left w:val="single" w:color="0A0A0A" w:sz="0"/>
              <w:bottom w:val="single" w:color="0A0A0A" w:sz="0"/>
              <w:right w:val="single" w:color="0A0A0A" w:sz="0"/>
            </w:tcBorders>
            <w:shd w:fill="0A0A0A" w:val="clear"/>
            <w:tcMar>
              <w:top w:type="dxa" w:w="160"/>
              <w:left w:type="dxa" w:w="240"/>
              <w:bottom w:type="dxa" w:w="160"/>
              <w:right w:type="dxa" w:w="240"/>
            </w:tcMar>
            <w:vAlign w:val="center"/>
          </w:tcPr>
          <w:p>
            <w:pPr>
              <w:spacing w:after="0" w:before="0"/>
              <w:jc w:val="left"/>
            </w:pPr>
            <w:r>
              <w:rPr>
                <w:rFonts w:ascii="Inter" w:cs="Inter" w:eastAsia="Inter" w:hAnsi="Inter"/>
                <w:b/>
                <w:bCs/>
                <w:i w:val="false"/>
                <w:iCs w:val="false"/>
                <w:caps w:val="false"/>
                <w:color w:val="FFFFFF"/>
                <w:sz w:val="30"/>
                <w:szCs w:val="30"/>
              </w:rPr>
              <w:t xml:space="preserve">Risks &amp; Mitigations</w:t>
            </w:r>
          </w:p>
        </w:tc>
      </w:tr>
    </w:tbl>
    <w:p>
      <w:pPr>
        <w:spacing w:after="0" w:before="0"/>
      </w:pPr>
      <w:r>
        <w:rPr>
          <w:sz w:val="60"/>
          <w:szCs w:val="60"/>
        </w:rPr>
        <w:t xml:space="preserve"> </w:t>
      </w:r>
    </w:p>
    <w:p>
      <w:pPr>
        <w:spacing w:after="140" w:before="0"/>
        <w:jc w:val="left"/>
      </w:pPr>
      <w:r>
        <w:rPr>
          <w:rFonts w:ascii="Inter" w:cs="Inter" w:eastAsia="Inter" w:hAnsi="Inter"/>
          <w:b w:val="false"/>
          <w:bCs w:val="false"/>
          <w:i w:val="false"/>
          <w:iCs w:val="false"/>
          <w:caps w:val="false"/>
          <w:color w:val="1C1C1E"/>
          <w:sz w:val="26"/>
          <w:szCs w:val="26"/>
        </w:rPr>
        <w:t xml:space="preserve">SAMAA has identified the key risks to deployment success and has purpose-built mitigations into the platform design and go-to-market approach.</w:t>
      </w:r>
    </w:p>
    <w:p>
      <w:pPr>
        <w:spacing w:after="0" w:before="0"/>
      </w:pPr>
      <w:r>
        <w:rPr>
          <w:sz w:val="60"/>
          <w:szCs w:val="6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5E5E5" w:sz="4"/>
              <w:left w:val="single" w:color="E5E5E5" w:sz="4"/>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Risk</w:t>
            </w:r>
          </w:p>
        </w:tc>
        <w:tc>
          <w:tcPr>
            <w:tcW w:type="dxa" w:w="1800"/>
            <w:tcBorders>
              <w:top w:val="single" w:color="E5E5E5" w:sz="4"/>
              <w:left w:val="nil" w:color="FFFFFF" w:sz="0"/>
              <w:bottom w:val="single" w:color="00D4A4" w:sz="8"/>
              <w:right w:val="nil" w:color="FFFFFF" w:sz="0"/>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Category</w:t>
            </w:r>
          </w:p>
        </w:tc>
        <w:tc>
          <w:tcPr>
            <w:tcW w:type="dxa" w:w="4760"/>
            <w:tcBorders>
              <w:top w:val="single" w:color="E5E5E5" w:sz="4"/>
              <w:left w:val="nil" w:color="FFFFFF" w:sz="0"/>
              <w:bottom w:val="single" w:color="00D4A4" w:sz="8"/>
              <w:right w:val="single" w:color="E5E5E5" w:sz="4"/>
            </w:tcBorders>
            <w:shd w:fill="F7F7F7" w:val="clear"/>
            <w:tcMar>
              <w:top w:type="dxa" w:w="100"/>
              <w:left w:type="dxa" w:w="140"/>
              <w:bottom w:type="dxa" w:w="100"/>
              <w:right w:type="dxa" w:w="140"/>
            </w:tcMar>
          </w:tcPr>
          <w:p>
            <w:pPr>
              <w:spacing w:after="0" w:before="0"/>
              <w:jc w:val="left"/>
            </w:pPr>
            <w:r>
              <w:rPr>
                <w:rFonts w:ascii="Inter" w:cs="Inter" w:eastAsia="Inter" w:hAnsi="Inter"/>
                <w:b/>
                <w:bCs/>
                <w:i w:val="false"/>
                <w:iCs w:val="false"/>
                <w:caps/>
                <w:color w:val="5A5A5C"/>
                <w:sz w:val="18"/>
                <w:szCs w:val="18"/>
              </w:rPr>
              <w:t xml:space="preserve">Mitigation</w:t>
            </w:r>
          </w:p>
        </w:tc>
      </w:tr>
      <w:tr>
        <w:tc>
          <w:tcPr>
            <w:tcW w:type="dxa" w:w="28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Audio quality variance</w:t>
            </w:r>
          </w:p>
        </w:tc>
        <w:tc>
          <w:tcPr>
            <w:tcW w:type="dxa" w:w="18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Technical</w:t>
            </w:r>
          </w:p>
        </w:tc>
        <w:tc>
          <w:tcPr>
            <w:tcW w:type="dxa" w:w="47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On-device noise suppression + server-side quality scoring. Low-quality audio flagged before AI ingestion.</w:t>
            </w:r>
          </w:p>
        </w:tc>
      </w:tr>
      <w:tr>
        <w:tc>
          <w:tcPr>
            <w:tcW w:type="dxa" w:w="28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Employee adoption resistance</w:t>
            </w:r>
          </w:p>
        </w:tc>
        <w:tc>
          <w:tcPr>
            <w:tcW w:type="dxa" w:w="18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People</w:t>
            </w:r>
          </w:p>
        </w:tc>
        <w:tc>
          <w:tcPr>
            <w:tcW w:type="dxa" w:w="47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Frictionless clip-and-dock workflow. Benefits framing: coaching as growth, not surveillance.</w:t>
            </w:r>
          </w:p>
        </w:tc>
      </w:tr>
      <w:tr>
        <w:tc>
          <w:tcPr>
            <w:tcW w:type="dxa" w:w="28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Upload / connectivity failure</w:t>
            </w:r>
          </w:p>
        </w:tc>
        <w:tc>
          <w:tcPr>
            <w:tcW w:type="dxa" w:w="18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Infrastructure</w:t>
            </w:r>
          </w:p>
        </w:tc>
        <w:tc>
          <w:tcPr>
            <w:tcW w:type="dxa" w:w="47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Local SSD cache + auto-retry with exponential backoff. Confirmation before cache purge.</w:t>
            </w:r>
          </w:p>
        </w:tc>
      </w:tr>
      <w:tr>
        <w:tc>
          <w:tcPr>
            <w:tcW w:type="dxa" w:w="28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Data privacy concerns</w:t>
            </w:r>
          </w:p>
        </w:tc>
        <w:tc>
          <w:tcPr>
            <w:tcW w:type="dxa" w:w="18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Legal</w:t>
            </w:r>
          </w:p>
        </w:tc>
        <w:tc>
          <w:tcPr>
            <w:tcW w:type="dxa" w:w="47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Consent-aware recording framework. Role-based access. Configurable retention. Regional storage options.</w:t>
            </w:r>
          </w:p>
        </w:tc>
      </w:tr>
      <w:tr>
        <w:tc>
          <w:tcPr>
            <w:tcW w:type="dxa" w:w="28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AI accuracy on edge cases</w:t>
            </w:r>
          </w:p>
        </w:tc>
        <w:tc>
          <w:tcPr>
            <w:tcW w:type="dxa" w:w="18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AI Quality</w:t>
            </w:r>
          </w:p>
        </w:tc>
        <w:tc>
          <w:tcPr>
            <w:tcW w:type="dxa" w:w="47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Confidence thresholds on all outputs. Human review loop for coaching recommendations. Continuous model retraining.</w:t>
            </w:r>
          </w:p>
        </w:tc>
      </w:tr>
      <w:tr>
        <w:tc>
          <w:tcPr>
            <w:tcW w:type="dxa" w:w="2800"/>
            <w:tcBorders>
              <w:top w:val="nil" w:color="FFFFFF" w:sz="0"/>
              <w:left w:val="single" w:color="E5E5E5" w:sz="4"/>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Enterprise scaling demands</w:t>
            </w:r>
          </w:p>
        </w:tc>
        <w:tc>
          <w:tcPr>
            <w:tcW w:type="dxa" w:w="1800"/>
            <w:tcBorders>
              <w:top w:val="nil" w:color="FFFFFF" w:sz="0"/>
              <w:left w:val="nil" w:color="FFFFFF" w:sz="0"/>
              <w:bottom w:val="single" w:color="EDEDED"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Infrastructure</w:t>
            </w:r>
          </w:p>
        </w:tc>
        <w:tc>
          <w:tcPr>
            <w:tcW w:type="dxa" w:w="4760"/>
            <w:tcBorders>
              <w:top w:val="nil" w:color="FFFFFF" w:sz="0"/>
              <w:left w:val="nil" w:color="FFFFFF" w:sz="0"/>
              <w:bottom w:val="single" w:color="EDEDED"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Cloud-native horizontal scaling. Event-driven architecture. Distributed AI inference workers.</w:t>
            </w:r>
          </w:p>
        </w:tc>
      </w:tr>
      <w:tr>
        <w:tc>
          <w:tcPr>
            <w:tcW w:type="dxa" w:w="2800"/>
            <w:tcBorders>
              <w:top w:val="nil" w:color="FFFFFF" w:sz="0"/>
              <w:left w:val="single" w:color="E5E5E5" w:sz="4"/>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Regulatory changes in GCC</w:t>
            </w:r>
          </w:p>
        </w:tc>
        <w:tc>
          <w:tcPr>
            <w:tcW w:type="dxa" w:w="1800"/>
            <w:tcBorders>
              <w:top w:val="nil" w:color="FFFFFF" w:sz="0"/>
              <w:left w:val="nil" w:color="FFFFFF" w:sz="0"/>
              <w:bottom w:val="single" w:color="EDEDED" w:sz="4"/>
              <w:right w:val="nil" w:color="FFFFFF" w:sz="0"/>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Legal</w:t>
            </w:r>
          </w:p>
        </w:tc>
        <w:tc>
          <w:tcPr>
            <w:tcW w:type="dxa" w:w="4760"/>
            <w:tcBorders>
              <w:top w:val="nil" w:color="FFFFFF" w:sz="0"/>
              <w:left w:val="nil" w:color="FFFFFF" w:sz="0"/>
              <w:bottom w:val="single" w:color="EDEDED" w:sz="4"/>
              <w:right w:val="single" w:color="E5E5E5" w:sz="4"/>
            </w:tcBorders>
            <w:shd w:fill="FFFFFF"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Architecture-first compliance design. Modular data handling enables policy updates without platform rebuild.</w:t>
            </w:r>
          </w:p>
        </w:tc>
      </w:tr>
      <w:tr>
        <w:tc>
          <w:tcPr>
            <w:tcW w:type="dxa" w:w="2800"/>
            <w:tcBorders>
              <w:top w:val="nil" w:color="FFFFFF" w:sz="0"/>
              <w:left w:val="single" w:color="E5E5E5" w:sz="4"/>
              <w:bottom w:val="single" w:color="E5E5E5"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bCs/>
                <w:i w:val="false"/>
                <w:iCs w:val="false"/>
                <w:caps w:val="false"/>
                <w:color w:val="1C1C1E"/>
                <w:sz w:val="22"/>
                <w:szCs w:val="22"/>
              </w:rPr>
              <w:t xml:space="preserve">Competitor entry</w:t>
            </w:r>
          </w:p>
        </w:tc>
        <w:tc>
          <w:tcPr>
            <w:tcW w:type="dxa" w:w="1800"/>
            <w:tcBorders>
              <w:top w:val="nil" w:color="FFFFFF" w:sz="0"/>
              <w:left w:val="nil" w:color="FFFFFF" w:sz="0"/>
              <w:bottom w:val="single" w:color="E5E5E5" w:sz="4"/>
              <w:right w:val="nil" w:color="FFFFFF" w:sz="0"/>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Market</w:t>
            </w:r>
          </w:p>
        </w:tc>
        <w:tc>
          <w:tcPr>
            <w:tcW w:type="dxa" w:w="4760"/>
            <w:tcBorders>
              <w:top w:val="nil" w:color="FFFFFF" w:sz="0"/>
              <w:left w:val="nil" w:color="FFFFFF" w:sz="0"/>
              <w:bottom w:val="single" w:color="E5E5E5" w:sz="4"/>
              <w:right w:val="single" w:color="E5E5E5" w:sz="4"/>
            </w:tcBorders>
            <w:shd w:fill="FAFAFA" w:val="clear"/>
            <w:tcMar>
              <w:top w:type="dxa" w:w="90"/>
              <w:left w:type="dxa" w:w="140"/>
              <w:bottom w:type="dxa" w:w="90"/>
              <w:right w:type="dxa" w:w="140"/>
            </w:tcMar>
          </w:tcPr>
          <w:p>
            <w:pPr>
              <w:spacing w:after="0" w:before="0"/>
              <w:jc w:val="left"/>
            </w:pPr>
            <w:r>
              <w:rPr>
                <w:rFonts w:ascii="Inter" w:cs="Inter" w:eastAsia="Inter" w:hAnsi="Inter"/>
                <w:b w:val="false"/>
                <w:bCs w:val="false"/>
                <w:i w:val="false"/>
                <w:iCs w:val="false"/>
                <w:caps w:val="false"/>
                <w:color w:val="3A3A3C"/>
                <w:sz w:val="22"/>
                <w:szCs w:val="22"/>
              </w:rPr>
              <w:t xml:space="preserve">Compounding behavioral dataset advantage. Switching cost increases with deployment depth. First-mover relationship lock-in.</w:t>
            </w:r>
          </w:p>
        </w:tc>
      </w:tr>
    </w:tbl>
    <w:p>
      <w:pPr>
        <w:spacing w:after="0" w:before="0"/>
      </w:pPr>
      <w:r>
        <w:rPr>
          <w:sz w:val="120"/>
          <w:szCs w:val="120"/>
        </w:rPr>
        <w:t xml:space="preserve"> </w:t>
      </w:r>
    </w:p>
    <w:p>
      <w:pPr>
        <w:pBdr>
          <w:bottom w:val="single" w:color="00D4A4" w:sz="4" w:space="1"/>
        </w:pBdr>
        <w:spacing w:after="0" w:before="0"/>
      </w:pPr>
    </w:p>
    <w:p>
      <w:pPr>
        <w:spacing w:after="0" w:before="0"/>
      </w:pPr>
      <w:r>
        <w:rPr>
          <w:sz w:val="60"/>
          <w:szCs w:val="60"/>
        </w:rPr>
        <w:t xml:space="preserve"> </w:t>
      </w:r>
    </w:p>
    <w:p>
      <w:pPr>
        <w:spacing w:after="80" w:before="0"/>
        <w:jc w:val="center"/>
      </w:pPr>
      <w:r>
        <w:rPr>
          <w:rFonts w:ascii="Inter" w:cs="Inter" w:eastAsia="Inter" w:hAnsi="Inter"/>
          <w:b/>
          <w:bCs/>
          <w:i w:val="false"/>
          <w:iCs w:val="false"/>
          <w:caps w:val="false"/>
          <w:color w:val="0A0A0A"/>
          <w:sz w:val="32"/>
          <w:szCs w:val="32"/>
        </w:rPr>
        <w:t xml:space="preserve">SAMAA</w:t>
      </w:r>
    </w:p>
    <w:p>
      <w:pPr>
        <w:spacing w:after="40" w:before="0"/>
        <w:jc w:val="center"/>
      </w:pPr>
      <w:r>
        <w:rPr>
          <w:rFonts w:ascii="Inter" w:cs="Inter" w:eastAsia="Inter" w:hAnsi="Inter"/>
          <w:b w:val="false"/>
          <w:bCs w:val="false"/>
          <w:i w:val="false"/>
          <w:iCs w:val="false"/>
          <w:caps w:val="false"/>
          <w:color w:val="5A5A5C"/>
          <w:sz w:val="24"/>
          <w:szCs w:val="24"/>
        </w:rPr>
        <w:t xml:space="preserve">Retail Performance Intelligence Platform</w:t>
      </w:r>
    </w:p>
    <w:p>
      <w:pPr>
        <w:spacing w:after="0" w:before="0"/>
        <w:jc w:val="center"/>
      </w:pPr>
      <w:r>
        <w:rPr>
          <w:rFonts w:ascii="Inter" w:cs="Inter" w:eastAsia="Inter" w:hAnsi="Inter"/>
          <w:b w:val="false"/>
          <w:bCs w:val="false"/>
          <w:i w:val="false"/>
          <w:iCs w:val="false"/>
          <w:caps w:val="false"/>
          <w:color w:val="A8A8AA"/>
          <w:sz w:val="20"/>
          <w:szCs w:val="20"/>
        </w:rPr>
        <w:t xml:space="preserve">Kingdom of Saudi Arabia  /  GCC  ·  Version 1.0  ·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5" w:sz="4" w:space="1"/>
      </w:pBdr>
      <w:tabs>
        <w:tab w:val="right" w:pos="9026"/>
      </w:tabs>
    </w:pPr>
    <w:r>
      <w:rPr>
        <w:rFonts w:ascii="Inter" w:cs="Inter" w:eastAsia="Inter" w:hAnsi="Inter"/>
        <w:b w:val="false"/>
        <w:bCs w:val="false"/>
        <w:i w:val="false"/>
        <w:iCs w:val="false"/>
        <w:caps w:val="false"/>
        <w:color w:val="888888"/>
        <w:sz w:val="16"/>
        <w:szCs w:val="16"/>
      </w:rPr>
      <w:t xml:space="preserve">SAMAA Executive Technical Brief  ·  2026</w:t>
    </w:r>
    <w:r>
      <w:rPr>
        <w:rFonts w:ascii="Inter" w:cs="Inter" w:eastAsia="Inter" w:hAnsi="Inter"/>
        <w:b w:val="false"/>
        <w:bCs w:val="false"/>
        <w:i w:val="false"/>
        <w:iCs w:val="false"/>
        <w:caps w:val="false"/>
        <w:color w:val="1C1C1E"/>
        <w:sz w:val="16"/>
        <w:szCs w:val="16"/>
      </w:rPr>
      <w:t xml:space="preserve">	</w:t>
    </w:r>
    <w:r>
      <w:rPr>
        <w:rFonts w:ascii="Inter" w:cs="Inter" w:eastAsia="Inter" w:hAnsi="Inter"/>
        <w:b w:val="false"/>
        <w:bCs w:val="false"/>
        <w:i w:val="false"/>
        <w:iCs w:val="false"/>
        <w:caps w:val="false"/>
        <w:color w:val="888888"/>
        <w:sz w:val="16"/>
        <w:szCs w:val="16"/>
      </w:rPr>
      <w:t xml:space="preserve">Page </w:t>
    </w:r>
    <w:r>
      <w:rPr>
        <w:rFonts w:ascii="Inter" w:cs="Inter" w:eastAsia="Inter" w:hAnsi="Inte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5" w:sz="4" w:space="1"/>
      </w:pBdr>
      <w:tabs>
        <w:tab w:val="right" w:pos="9026"/>
      </w:tabs>
    </w:pPr>
    <w:r>
      <w:rPr>
        <w:rFonts w:ascii="Inter" w:cs="Inter" w:eastAsia="Inter" w:hAnsi="Inter"/>
        <w:b/>
        <w:bCs/>
        <w:i w:val="false"/>
        <w:iCs w:val="false"/>
        <w:caps w:val="false"/>
        <w:color w:val="0A0A0A"/>
        <w:sz w:val="18"/>
        <w:szCs w:val="18"/>
      </w:rPr>
      <w:t xml:space="preserve">SAMAA</w:t>
    </w:r>
    <w:r>
      <w:rPr>
        <w:rFonts w:ascii="Inter" w:cs="Inter" w:eastAsia="Inter" w:hAnsi="Inter"/>
        <w:b w:val="false"/>
        <w:bCs w:val="false"/>
        <w:i w:val="false"/>
        <w:iCs w:val="false"/>
        <w:caps w:val="false"/>
        <w:color w:val="5A5A5C"/>
        <w:sz w:val="18"/>
        <w:szCs w:val="18"/>
      </w:rPr>
      <w:t xml:space="preserve">  ·  Retail Performance Intelligence Platform</w:t>
    </w:r>
    <w:r>
      <w:rPr>
        <w:rFonts w:ascii="Inter" w:cs="Inter" w:eastAsia="Inter" w:hAnsi="Inter"/>
        <w:b w:val="false"/>
        <w:bCs w:val="false"/>
        <w:i w:val="false"/>
        <w:iCs w:val="false"/>
        <w:caps w:val="false"/>
        <w:color w:val="1C1C1E"/>
        <w:sz w:val="18"/>
        <w:szCs w:val="18"/>
      </w:rPr>
      <w:t xml:space="preserve">	</w:t>
    </w:r>
    <w:r>
      <w:rPr>
        <w:rFonts w:ascii="Inter" w:cs="Inter" w:eastAsia="Inter" w:hAnsi="Inter"/>
        <w:b/>
        <w:bCs/>
        <w:i w:val="false"/>
        <w:iCs w:val="false"/>
        <w:caps w:val="false"/>
        <w:color w:val="00D4A4"/>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C1C1E"/>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Inter" w:cs="Inter" w:eastAsia="Inter" w:hAnsi="Inter"/>
      <w:b/>
      <w:bCs/>
      <w:color w:val="0A0A0A"/>
      <w:sz w:val="32"/>
      <w:szCs w:val="32"/>
    </w:rPr>
  </w:style>
  <w:style w:type="paragraph" w:styleId="Heading3">
    <w:name w:val="Heading 3"/>
    <w:basedOn w:val="Normal"/>
    <w:next w:val="Normal"/>
    <w:qFormat/>
    <w:pPr>
      <w:spacing w:after="100" w:before="240"/>
      <w:outlineLvl w:val="2"/>
    </w:pPr>
    <w:rPr>
      <w:rFonts w:ascii="Inter" w:cs="Inter" w:eastAsia="Inter" w:hAnsi="Inter"/>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2026-06-05T21:24:51.250Z</dcterms:created>
  <dcterms:modified xsi:type="dcterms:W3CDTF">2026-06-05T21:24:51.264Z</dcterms:modified>
</cp:coreProperties>
</file>

<file path=docProps/custom.xml><?xml version="1.0" encoding="utf-8"?>
<Properties xmlns="http://schemas.openxmlformats.org/officeDocument/2006/custom-properties" xmlns:vt="http://schemas.openxmlformats.org/officeDocument/2006/docPropsVTypes"/>
</file>