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color w:val="1A3A5C"/>
          <w:sz w:val="40"/>
        </w:rPr>
        <w:t>SAGAM: A Multi-Modal Interpretable Survival-Aware</w:t>
        <w:br/>
        <w:t>Generalised Additive Meta-Learner for</w:t>
        <w:br/>
        <w:t>Lung Adenocarcinoma Prognosis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 w:val="0"/>
          <w:i/>
          <w:sz w:val="20"/>
        </w:rPr>
        <w:t>Lalit Kharel — Independent Researcher — [Department, Institution], [City, Country] — klalit.kharel@gmail.com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Abstract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18"/>
        </w:rPr>
        <w:t>Ensemble survival models routinely outperform classical Cox regression on lung adenocarcinoma (LUAD), but they purchase accuracy with opacity: a stacked ensemble reports one risk score and hides which component learner it trusted and where along the risk spectrum. We present SAGAM (Survival-Aware Generalised Additive Meta-Learner), a multi-modal stacking framework whose meta-learner is a B-spline generalised additive model (GAM). For each base learner k, SAGAM fits a smooth log-hazard contribution function f_k(s_k) over that learner's out-of-fold risk score. The shapes of these functions are the model's explanation: steep segments are trust zones where the ensemble relies on learner k, and flat segments mark where it is ignored — replacing the single scalar weight of linear stacking with a global, continuous, inspectable trust structure. SAGAM stacks five learners (RSF, GBS, XGBoost-Cox, a batch-normalised DeepSurv, and a gene-expression CoxNet) over a feature space fusing 16 clinical/molecular variables with a 10-gene panel. Under strict 5-fold nested cross-validation on TCGA-LUAD (n=497, 180 events), Multi-Modal SAGAM reaches C=0.670 +/- 0.023, exceeding clinical-only (0.620 +/- 0.045; delta=+0.050) while halving fold variance, and expression-only (0.655 +/- 0.020). On independent GSE31210 (n=226) the expression model attains C=0.661 (log-rank p=8.5e-4); we also report a negative result on GSE68465 and trace it to gene dropout and platform shift. Risk tertiles separate median overall survival by 38.7 months. Code, figures, and trained artefacts are released.</w:t>
      </w:r>
    </w:p>
    <w:p>
      <w:pPr>
        <w:spacing w:before="0" w:after="200" w:line="240" w:lineRule="auto"/>
        <w:jc w:val="both"/>
      </w:pPr>
      <w:r>
        <w:rPr>
          <w:rFonts w:ascii="Times New Roman" w:hAnsi="Times New Roman"/>
          <w:b w:val="0"/>
          <w:i/>
          <w:sz w:val="18"/>
        </w:rPr>
        <w:t>Keywords: Survival analysis, lung adenocarcinoma, ensemble stacking, generalised additive models, B-splines, interpretability, multi-modal integration, TCGA, concordance index.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I. INTRODUCTION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Lung adenocarcinoma (LUAD) is the most common subtype of non-small-cell lung cancer, representing roughly 40% of lung cancer diagnoses and carrying a five-year survival below 25% in advanced stages [1]. Even after EGFR/ALK targeted therapy and immune-checkpoint blockade, patients with identical TNM stage follow strikingly different trajectories, a direct consequence of molecular heterogeneity that anatomical staging cannot resolve. Better stratification is a prerequisite for allocating adjuvant therapy and surveillance.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Machine-learning survival models integrate stage, tumour mutational burden, genomic-instability indices, hypoxia scores, and transcriptomic profiles. Two tensions have limited their translation. First, the most accurate methods (random forests, boosting, deep networks) are opaque. Second, models tuned on a single cohort often collapse on external data because of platform differences, missing probes, and population shift. SAGAM addresses both at once by making the act of ensembling itself interpretable: instead of one scalar weight per base learner, it learns a smooth function f_k(s_k) whose derivative is a continuous read-out of trust. High-derivative segments are trust zones; flat segments mark learners the ensemble switches off. Contributions: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Interpretable ensembling via B-spline trust functions: per-learner smooths form a global, visualisable trust structure that linear stacking and attention-weighted ensembles cannot produce. This is the primary contribution.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Multi-modal integration with quantified benefit: fusing clinical features with a 10-gene panel adds +0.050 C-index over clinical-only and halves fold variance (0.045 -&gt; 0.023), evidence that expression stabilises the clinical signal.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Honest external validation: two independent GEO cohorts, reporting both the success (GSE31210) and the failure (GSE68465) with identifiable causes.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sz w:val="18"/>
        </w:rPr>
        <w:t>Figure 1 (see sagam_paper.tex / poster) shows the architecture: five base learners feed leakage-free out-of-fold scores into a B-spline expansion and an elastic-net CoxNet GAM meta-learner, which emits both a risk score and the per-learner trust functions.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II. RELATED WORK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A. Survival Models in Oncology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Cox proportional-hazards model [2] assumes a log-linear covariate-hazard relationship; CoxNet [3] adds LASSO/elastic-net regularisation for high-dimensional genomics. These are interpretable but cannot represent nonlinear interactions. RSF [4], GBS [5], XGBoost-Cox [6], and DeepSurv [7] recover such nonlinearity and improve discrimination, but each is a black box on its own.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B. Ensemble Stacking for Survival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Stacking (super-learning) [8] trains a meta-learner on out-of-fold base predictions. For survival, linear CoxNet meta-learners [9] assign a single static weight per learner and so cannot express that a learner may be reliable in one region of the risk spectrum and uninformative in another. SAGAM makes those weights functions of the risk score.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C. Portability and Interpretability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LUAD expression signatures [10],[11] suffer from cross-platform portability loss [12]; we measure this directly on two Affymetrix platforms. Post-hoc tools such as SHAP [13] and partial-dependence plots [14] explain single predictions of a fixed model but do not characterise the ensemble trust structure — how the combiner's reliance on each component varies with predicted risk. SAGAM's smooth functions fill that gap.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III. METHODOLOGY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A. Multi-Modal Feature Space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Clinical (16): AJCC pathological stage, T/N/M substages, age, sex, grade, ethnicity, prior diagnosis, body weight, aneuploidy score, MSI-MANTIS, MSIsensor, TMB, tumour break load, and Buffa/Winter/Ragnum hypoxia scores.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Expression (10 genes): DKK1, FAM83A, RHOV, IRX5, SFTA3, CD1B, PKP2, TNS4, LYPD3, TFAP2A — spanning immune (CD1B), invasion (RHOV, LYPD3), and Wnt/EGFR (DKK1, FAM83A) biology. RSEM counts are log2(x+1)-transformed.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B. Base-Learner Suite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RSF: 200 trees, sqrt(p) features/split, min leaf 5.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GBS: 200 stages, learning rate 0.05, max depth 3.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XGBoost-Cox: eta=0.05, depth 3, row/col subsample 0.8, up to 300 rounds, early stopping patience 20.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DeepSurv: 128-&gt;64 blocks with batch normalisation + ReLU + dropout(0.3); Adam (lr=1e-3, weight decay 1e-4), &lt;=300 epochs, patience 25.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ExprCox: elastic-net CoxNet (L1-ratio 0.9) on the 10-gene panel; alpha tuned on a 20% internal split.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C. Leakage-Free Nested Cross-Validation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Outer: 5-fold StratifiedKFold (on event indicator, seed 42).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Early-stopping isolation: a disjoint 15% set is carved BEFORE the inner loop and used only for XGBoost/DeepSurv early stopping.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Inner: 3-fold KFold on the remaining data produces the OOF score matrix.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Meta-learner penalty tuned on a held-out 20% of OOF scores; test samples touch no fitting or tuning step. All preprocessing fit on training folds only.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D. B-Spline GAM Meta-Learner</w:t>
      </w:r>
    </w:p>
    <w:p>
      <w:pPr>
        <w:spacing w:before="0" w:after="6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Each OOF score s_k is expanded into J=4 cubic B-spline bases (degree 3, no intercept); the concatenated matrix Z (5 learners x 4 = 20 features) feeds an elastic-net CoxNet (L1-ratio 0.9). The smooth contribution of learner k is: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/>
          <w:sz w:val="18"/>
        </w:rPr>
        <w:t xml:space="preserve">    f_k(s) = sum_j beta_kj * B_kj(s),    j = 1..4;    risk = sum_k f_k(s_k)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Large |f_k'(s)| marks a trust zone where the meta-learner relies on learner k; flat segments (f_k ~ 0) mean it is deferred. Each f_k is a single continuous curve over the whole risk range, giving a global account of ensemble behaviour distinct from per-patient attributions such as SHAP.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IV. EXPERIMENTAL SETUP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A.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41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Cohort</w:t>
            </w:r>
          </w:p>
        </w:tc>
        <w:tc>
          <w:tcPr>
            <w:tcW w:type="dxa" w:w="56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Events</w:t>
            </w:r>
          </w:p>
        </w:tc>
        <w:tc>
          <w:tcPr>
            <w:tcW w:type="dxa" w:w="96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Rate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Platform</w:t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TCGA-LUAD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497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36.2%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cBio + RNA-seq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GSE31210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15.5%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Affy HG-U133A</w:t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GSE68465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432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52.3%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Affy HG-U133 Plus 2.0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TABLE I: </w:t>
      </w:r>
      <w:r>
        <w:rPr>
          <w:rFonts w:ascii="Times New Roman" w:hAnsi="Times New Roman"/>
          <w:b w:val="0"/>
          <w:i/>
          <w:sz w:val="16"/>
        </w:rPr>
        <w:t>Dataset characteristics.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sz w:val="16"/>
        </w:rPr>
        <w:t>Cohort note: the clinical cohort (valid endpoints, no expression requirement) comprises 501 patients (181 events). The multi-modal cohort is obtained by an inner join with RNA-seq, which drops the 4 patients lacking panel-gene expression (one an event), giving n=497 (180 events). All multi-modal, KM, and interpretability results use the 497-patient cohort; clinical-only baselines use the 501.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B. Evaluation Metrics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C-index [15]: primary discrimination (0.5 random; 0.65-0.70 clinically useful).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Integrated Brier Score (IBS) [16]: calibration (0.25 = uninformative).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IPCW time-dependent AUC [17] at 1/3/5 years; log-rank test for tertile separation; multivariate-Cox hazard ratios. External CIs from 1000-sample bootstrap.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C. Comparators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Stage-only Cox; Clinical CoxNet; Clinical+Genomic CoxNet; individual base learners; linear stacking (CoxNet on raw scores, no spline); Clinical-only SAGAM; Expression-only CoxNet.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V. RESULTS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A. Three-Way Nested-CV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608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Mean C</w:t>
            </w:r>
          </w:p>
        </w:tc>
        <w:tc>
          <w:tcPr>
            <w:tcW w:type="dxa" w:w="73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SD</w:t>
            </w:r>
          </w:p>
        </w:tc>
        <w:tc>
          <w:tcPr>
            <w:tcW w:type="dxa" w:w="107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Δ vs Clin.</w:t>
            </w:r>
          </w:p>
        </w:tc>
      </w:tr>
      <w:tr>
        <w:tc>
          <w:tcPr>
            <w:tcW w:type="dxa" w:w="2608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Expression-only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0.6549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0.0201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+0.035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Clinical-only SAGAM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0.6197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0.0447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2608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Multi-Modal SAGAM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0.6700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0.0225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+0.050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Stage-only Cox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0.6542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0.0511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+0.034</w:t>
            </w:r>
          </w:p>
        </w:tc>
      </w:tr>
      <w:tr>
        <w:tc>
          <w:tcPr>
            <w:tcW w:type="dxa" w:w="2608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Clinical CoxNet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0.6455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0.0279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+0.026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Clinical+Genomic CoxNet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0.6412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+0.022</w:t>
            </w:r>
          </w:p>
        </w:tc>
      </w:tr>
      <w:tr>
        <w:tc>
          <w:tcPr>
            <w:tcW w:type="dxa" w:w="2608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Linear Stacking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0.6274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+0.008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TABLE II: </w:t>
      </w:r>
      <w:r>
        <w:rPr>
          <w:rFonts w:ascii="Times New Roman" w:hAnsi="Times New Roman"/>
          <w:b w:val="0"/>
          <w:i/>
          <w:sz w:val="16"/>
        </w:rPr>
        <w:t>Three-way nested-CV comparison on TCGA-LUAD (n=497, 180 events).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Multi-Modal SAGAM (0.6700 +/- 0.0225) exceeds Clinical-only SAGAM (0.6197 +/- 0.0447) by +0.050 and Expression-only (0.6549 +/- 0.0201) by +0.015. Fold-level SD drops from 0.0447 to 0.0225 — a 50% variance reduction — so expression features stabilise the estimator in folds where clinical staging is weakly discriminative (per-fold range 0.635-0.700 vs the clinical 0.586-0.708).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6200" cy="1605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6200" cy="1605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Fig. 2. </w:t>
      </w:r>
      <w:r>
        <w:rPr>
          <w:rFonts w:ascii="Times New Roman" w:hAnsi="Times New Roman"/>
          <w:b w:val="0"/>
          <w:i/>
          <w:sz w:val="16"/>
        </w:rPr>
        <w:t>Mean nested-CV C-index across models. SAGAM's gain over linear stacking isolates the contribution of the B-spline trust functions (same base learners and OOF scores).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B. Time-Dependent AUC and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15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96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1-Yr</w:t>
            </w:r>
          </w:p>
        </w:tc>
        <w:tc>
          <w:tcPr>
            <w:tcW w:type="dxa" w:w="96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3-Yr</w:t>
            </w:r>
          </w:p>
        </w:tc>
        <w:tc>
          <w:tcPr>
            <w:tcW w:type="dxa" w:w="96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5-Yr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Stage Cox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0.700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0.663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0.619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Clinical Cox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0.664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0.675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0.653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RSF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0.667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0.695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0.705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GBS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0.640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0.683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0.636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XGBoost-Cox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0.515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0.678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0.628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DeepSurv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0.648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0.678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0.710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Linear Stacking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0.672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0.688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0.694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SAGAM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0.635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0.632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0.659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TABLE III: </w:t>
      </w:r>
      <w:r>
        <w:rPr>
          <w:rFonts w:ascii="Times New Roman" w:hAnsi="Times New Roman"/>
          <w:b w:val="0"/>
          <w:i/>
          <w:sz w:val="16"/>
        </w:rPr>
        <w:t>IPCW time-dependent AUC at 1/3/5-year horizons (5-fold nested CV).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SAGAM is competitive at 5 years (0.659) but lower at 1 year (0.635) than Stage Cox (0.700) and linear stacking (0.672), consistent with a rank-based Cox partial-likelihood objective that optimises long-horizon ordering over short-term probabilities. Component calibration is adequate (RSF IBS 0.188, GBS IBS 0.194, both below the uninformative 0.25).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6200" cy="927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6200" cy="92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Fig. 3. </w:t>
      </w:r>
      <w:r>
        <w:rPr>
          <w:rFonts w:ascii="Times New Roman" w:hAnsi="Times New Roman"/>
          <w:b w:val="0"/>
          <w:i/>
          <w:sz w:val="16"/>
        </w:rPr>
        <w:t>Calibration at 1/3/5 years: observed Kaplan-Meier survival per risk-rank bin vs predicted ordering for the three configurations.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C. Kaplan-Meier Risk Stratification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8"/>
        <w:gridCol w:w="1688"/>
        <w:gridCol w:w="1688"/>
        <w:gridCol w:w="1688"/>
        <w:gridCol w:w="1688"/>
        <w:gridCol w:w="1688"/>
      </w:tblGrid>
      <w:tr>
        <w:tc>
          <w:tcPr>
            <w:tcW w:type="dxa" w:w="1020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680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24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Median OS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HR vs High</w:t>
            </w:r>
          </w:p>
        </w:tc>
        <w:tc>
          <w:tcPr>
            <w:tcW w:type="dxa" w:w="1361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95% CI</w:t>
            </w:r>
          </w:p>
        </w:tc>
        <w:tc>
          <w:tcPr>
            <w:tcW w:type="dxa" w:w="79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~166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71.5 mo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0.375</w:t>
            </w:r>
          </w:p>
        </w:tc>
        <w:tc>
          <w:tcPr>
            <w:tcW w:type="dxa" w:w="1361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0.257-0.547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~166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49.3 mo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0.728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0.521-1.017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0.063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~165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32.8 mo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Ref.</w:t>
            </w:r>
          </w:p>
        </w:tc>
        <w:tc>
          <w:tcPr>
            <w:tcW w:type="dxa" w:w="1361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---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TABLE IV: </w:t>
      </w:r>
      <w:r>
        <w:rPr>
          <w:rFonts w:ascii="Times New Roman" w:hAnsi="Times New Roman"/>
          <w:b w:val="0"/>
          <w:i/>
          <w:sz w:val="16"/>
        </w:rPr>
        <w:t>Risk-tertile survival (Multi-Modal SAGAM, pooled OOF). Log-rank (Low vs High) p&lt;0.001.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6200" cy="2373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lan_meier_multi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200" cy="237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Fig. 4. </w:t>
      </w:r>
      <w:r>
        <w:rPr>
          <w:rFonts w:ascii="Times New Roman" w:hAnsi="Times New Roman"/>
          <w:b w:val="0"/>
          <w:i/>
          <w:sz w:val="16"/>
        </w:rPr>
        <w:t>Kaplan-Meier curves for Multi-Modal SAGAM risk tertiles on TCGA-LUAD (pooled OOF scores). Log-rank (Low vs High) p&lt;0.001.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D. Interpretability: Smooth Trust Functions</w:t>
      </w:r>
    </w:p>
    <w:p>
      <w:pPr>
        <w:spacing w:before="0" w:after="6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Summing absolute spline-coefficient magnitude per learner, GBS dominates (~63%), followed by DeepSurv (~30%) and RSF (~7%), with XGBoost-Cox and ExprCox each below 1%. The GBS smooth is an S-curve — flat at low risk, a steep mid-range transition, and a high-risk plateau — the nonlinear weighting a single scalar cannot represent. Near-zero weight on XGBoost/ExprCox is itself informative: the meta-learner suppresses redundant signal rather than double-counting it.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6200" cy="1917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retability_trust_z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200" cy="191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Fig. 5. </w:t>
      </w:r>
      <w:r>
        <w:rPr>
          <w:rFonts w:ascii="Times New Roman" w:hAnsi="Times New Roman"/>
          <w:b w:val="0"/>
          <w:i/>
          <w:sz w:val="16"/>
        </w:rPr>
        <w:t>Per-learner B-spline contribution functions f_k(s_k). Shaded bands are trust zones (|f_k'| &gt; 30% of max); dashed grey lines are the linear-equivalent fit. The pie summarises relative contribution.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E. External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8"/>
        <w:gridCol w:w="1688"/>
        <w:gridCol w:w="1688"/>
        <w:gridCol w:w="1688"/>
        <w:gridCol w:w="1688"/>
        <w:gridCol w:w="1688"/>
      </w:tblGrid>
      <w:tr>
        <w:tc>
          <w:tcPr>
            <w:tcW w:type="dxa" w:w="124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Cohort</w:t>
            </w:r>
          </w:p>
        </w:tc>
        <w:tc>
          <w:tcPr>
            <w:tcW w:type="dxa" w:w="56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794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Events</w:t>
            </w:r>
          </w:p>
        </w:tc>
        <w:tc>
          <w:tcPr>
            <w:tcW w:type="dxa" w:w="107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C-SAGAM</w:t>
            </w:r>
          </w:p>
        </w:tc>
        <w:tc>
          <w:tcPr>
            <w:tcW w:type="dxa" w:w="1247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Log-rank p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GSE31210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226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0.661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8.5e-4 *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GSE68465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0.551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0.093 NS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fail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b/>
          <w:i w:val="0"/>
          <w:sz w:val="16"/>
        </w:rPr>
        <w:t xml:space="preserve">TABLE V: </w:t>
      </w:r>
      <w:r>
        <w:rPr>
          <w:rFonts w:ascii="Times New Roman" w:hAnsi="Times New Roman"/>
          <w:b w:val="0"/>
          <w:i/>
          <w:sz w:val="16"/>
        </w:rPr>
        <w:t>External validation on two independent GEO cohorts (10-gene expression panel).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On GSE31210 (HG-U133A) SAGAM reaches C=0.661 (bootstrap 95% CI 0.567-0.759), the best of all models on that cohort (DeepSurv 0.626; RSF 0.541; linear stacking 0.492), with log-rank p=8.5e-4. On GSE68465 (HG-U133 Plus 2.0) SAGAM attains only C=0.551 (p=0.093, NS). Three measurable causes: (i) gene dropout — 3/10 panel genes absent from the probe set; (ii) event-rate mismatch (52.3% vs 36.2%); (iii) platform batch effects. This matches the known portability problem in expression-based prognosis [12]; we report it rather than omit it.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F. Statistical Significance and Ablation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Paired Wilcoxon signed-rank tests on the five fold-level C-indices: SAGAM vs Linear delta=+0.006 (p=0.31); vs DeepSurv delta=-0.002 (p=0.63); vs RSF delta=+0.014 (p=0.09). With only five paired observations these are underpowered; we present them transparently. A spline df ablation (clinical-only configuration, where absolute C is lower) confirms J=4: C = 0.557 (J=3), 0.578 (J=4), 0.549 (J=5), 0.498 (J=6) — J=4 optimal, higher J overfits.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VI. DISCUSSION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A. Why Multi-Modal Fusion Helps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+0.050 gain with simultaneous halving of fold variance indicates the expression panel supplies information orthogonal to staging (immune CD1B; invasion RHOV/LYPD3; Wnt/EGFR DKK1/FAM83A). The variance reduction matters as much as the mean gain: a model reliable across folds is more trustworthy for deployment than one occasionally excellent.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B. Interpretability as the Core Contribution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functions f_k(s_k) are part of the model, not a post-hoc approximation. Unlike SHAP (one prediction at a time), the spline smooth is a global, continuous object: a clinician can read off, for a given risk score, which components the ensemble leans on and whether it is confident (steep) or deferring (flat). Automatic suppression of XGBoost/ExprCox reports redundancy in the base suite.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0"/>
        </w:rPr>
        <w:t>C. Limitations and Future Work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External scope: GSE68465 shows platform portability is unresolved; probe-set imputation or quantile-normalisation transfer is needed before cross-platform use.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Power: five outer folds limit significance; repeated nested CV would help.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Short-horizon calibration: 1-year tdAUC lags rank-optimised baselines; an IPCW-weighted Brier meta-objective could close the gap.</w:t>
      </w:r>
    </w:p>
    <w:p>
      <w:pPr>
        <w:pStyle w:val="ListBullet"/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Biological validation: risk groups are not yet cross-referenced against EGFR/KRAS/ALK status. Future work: panel recalibration, mutation stratification, comparison with SurvTRACE [18]/DeepHit [19], and extension to LUSC and larger cohorts.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VII. CONCLUSION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SAGAM is a multi-modal interpretable survival meta-learner whose B-spline GAM combiner exposes, rather than hides, how the ensemble forms its risk estimate. On TCGA-LUAD it attains C=0.670 +/- 0.023 under strict nested CV (+0.050 over clinical-only, with half the fold variance) and separates risk tertiles by 38.7 months of median survival. External validation confirms generalisability to a matched HG-U133A cohort (C=0.661, p=0.0008) and, just as informatively, characterises where it fails. The central contribution is the B-spline trust-function framework — a principled, visualisable account of nonlinear, score-dependent learner reliance that linear stacking cannot provide. Code, figures, and trained artefacts are released.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[1] R. L. Siegel et al., "Cancer statistics, 2024," CA Cancer J. Clin., vol. 74, pp. 12-49, 2024.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[2] D. R. Cox, "Regression models and life-tables," J. R. Stat. Soc. B, vol. 34, pp. 187-202, 1972.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[3] N. Simon et al., "Regularization paths for Cox's proportional hazards model," J. Stat. Softw., vol. 39, 2011.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[4] H. Ishwaran et al., "Random survival forests," Ann. Appl. Stat., vol. 2, pp. 841-860, 2008.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[5] T. Hothorn et al., "Survival ensembles," Biostatistics, vol. 7, pp. 355-373, 2006.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[6] T. Chen and C. Guestrin, "XGBoost: A scalable tree boosting system," KDD, 2016.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[7] J. L. Katzman et al., "DeepSurv," BMC Med. Res. Methodol., vol. 18, 2018.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[8] M. J. van der Laan et al., "Super learner," Stat. Appl. Genet. Mol. Biol., vol. 6, 2007.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[9] E. C. Polley and M. J. van der Laan, "Super learner in prediction," UC Berkeley Working Papers, 2010.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[10] K. Shedden et al., "Gene expression-based survival prediction in lung adenocarcinoma," Nat. Med., vol. 14, 2008.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[11] D. G. Beer et al., "Gene-expression profiles predict survival of lung adenocarcinoma," Nat. Med., vol. 8, 2002.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[12] J. Luo et al., "A comparison of batch effect removal methods," Pharmacogenomics J., vol. 10, 2010.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[13] S. M. Lundberg and S.-I. Lee, "A unified approach to interpreting model predictions," NeurIPS, 2017.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[14] J. H. Friedman, "Greedy function approximation: A gradient boosting machine," Ann. Stat., vol. 29, 2001.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[15] F. E. Harrell et al., "Evaluating the yield of medical tests," JAMA, vol. 247, pp. 2543-2546, 1982.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[16] E. Graf et al., "Assessment of prognostic classification schemes for survival data," Stat. Med., vol. 18, 1999.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[17] H. Uno et al., "Evaluating prediction rules for t-year survivors," J. Am. Stat. Assoc., vol. 102, 2007.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[18] Z. Wang et al., "SurvTRACE: Transformers for survival analysis," ACM BCB, 2022.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[19] C. Lee et al., "DeepHit: A deep learning approach to survival analysis," AAAI, 2018.</w:t>
      </w:r>
    </w:p>
    <w:sectPr w:rsidR="00FC693F" w:rsidRPr="0006063C" w:rsidSect="00034616">
      <w:pgSz w:w="11906" w:h="16838"/>
      <w:pgMar w:top="1077" w:right="890" w:bottom="1440" w:left="890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