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宋体" w:hAnsi="宋体" w:eastAsia="宋体"/>
          <w:b w:val="0"/>
          <w:sz w:val="21"/>
        </w:rPr>
        <w:t>作品编号：__________（必须填写系统自动分配的编号）</w:t>
      </w:r>
    </w:p>
    <w:p/>
    <w:p>
      <w:pPr>
        <w:jc w:val="center"/>
      </w:pPr>
      <w:r>
        <w:rPr>
          <w:rFonts w:ascii="宋体" w:hAnsi="宋体" w:eastAsia="宋体"/>
          <w:b w:val="0"/>
          <w:sz w:val="21"/>
        </w:rPr>
        <w:t>作品类别： ☑软件设计   □硬件制作   □工程实践</w:t>
      </w:r>
    </w:p>
    <w:p>
      <w:pPr>
        <w:jc w:val="center"/>
      </w:pPr>
      <w:r>
        <w:rPr>
          <w:rFonts w:ascii="宋体" w:hAnsi="宋体" w:eastAsia="宋体"/>
          <w:b w:val="0"/>
          <w:sz w:val="21"/>
        </w:rPr>
        <w:t xml:space="preserve">           ☑密码应用技术  □其它</w:t>
      </w:r>
    </w:p>
    <w:p/>
    <w:p/>
    <w:p/>
    <w:p>
      <w:pPr>
        <w:spacing w:after="240"/>
        <w:jc w:val="center"/>
      </w:pPr>
      <w:r>
        <w:rPr>
          <w:rFonts w:ascii="黑体" w:hAnsi="黑体" w:eastAsia="黑体"/>
          <w:b/>
          <w:sz w:val="44"/>
        </w:rPr>
        <w:t>2025年第十届全国密码技术竞赛</w:t>
      </w:r>
    </w:p>
    <w:p>
      <w:pPr>
        <w:spacing w:after="480"/>
        <w:jc w:val="center"/>
      </w:pPr>
      <w:r>
        <w:rPr>
          <w:rFonts w:ascii="黑体" w:hAnsi="黑体" w:eastAsia="黑体"/>
          <w:b/>
          <w:sz w:val="44"/>
        </w:rPr>
        <w:t>作品设计报告</w:t>
      </w:r>
    </w:p>
    <w:p>
      <w:pPr>
        <w:spacing w:after="720"/>
        <w:jc w:val="center"/>
      </w:pPr>
      <w:r>
        <w:rPr>
          <w:rFonts w:ascii="宋体" w:hAnsi="宋体" w:eastAsia="宋体"/>
          <w:b/>
          <w:sz w:val="28"/>
        </w:rPr>
        <w:t>作品题目：</w:t>
      </w:r>
      <w:r>
        <w:rPr>
          <w:rFonts w:ascii="宋体" w:hAnsi="宋体" w:eastAsia="宋体"/>
          <w:b/>
          <w:sz w:val="28"/>
        </w:rPr>
        <w:t>星地量子密钥分发链路仿真与安全分析系统</w:t>
      </w:r>
    </w:p>
    <w:p/>
    <w:p/>
    <w:p>
      <w:pPr>
        <w:spacing w:after="240"/>
        <w:jc w:val="center"/>
      </w:pPr>
      <w:r>
        <w:rPr>
          <w:rFonts w:ascii="宋体" w:hAnsi="宋体" w:eastAsia="宋体"/>
          <w:b w:val="0"/>
          <w:sz w:val="24"/>
        </w:rPr>
        <w:t>2025年  5 月  14 日</w:t>
      </w:r>
    </w:p>
    <w:p>
      <w:pPr>
        <w:jc w:val="center"/>
      </w:pPr>
      <w:r>
        <w:rPr>
          <w:rFonts w:ascii="宋体" w:hAnsi="宋体" w:eastAsia="宋体"/>
          <w:b/>
          <w:sz w:val="24"/>
        </w:rPr>
        <w:t>中国密码学会</w:t>
      </w:r>
    </w:p>
    <w:p>
      <w:r>
        <w:br w:type="page"/>
      </w:r>
    </w:p>
    <w:p>
      <w:pPr>
        <w:pStyle w:val="Heading1"/>
        <w:spacing w:before="240" w:after="120"/>
        <w:jc w:val="center"/>
      </w:pPr>
      <w:r>
        <w:rPr>
          <w:rFonts w:ascii="黑体" w:hAnsi="黑体" w:eastAsia="黑体"/>
          <w:b/>
          <w:sz w:val="32"/>
        </w:rPr>
        <w:t>1. 作品功能与性能说明</w:t>
      </w:r>
    </w:p>
    <w:p>
      <w:pPr>
        <w:spacing w:line="360" w:lineRule="auto" w:after="120"/>
        <w:ind w:firstLine="720"/>
      </w:pPr>
      <w:r>
        <w:rPr>
          <w:rFonts w:ascii="宋体" w:hAnsi="宋体" w:eastAsia="宋体"/>
          <w:b w:val="0"/>
          <w:sz w:val="21"/>
        </w:rPr>
        <w:t>本作品是一个基于真实卫星轨道数据和实时气象信息的星地量子密钥分发（QKD）链路仿真与安全分析系统。系统集成了完整的BB84协议模拟、Eve攻击仿真和安全防御机制，为星地量子通信链路规划提供工程决策支持。</w:t>
      </w:r>
    </w:p>
    <w:p>
      <w:pPr>
        <w:pStyle w:val="Heading2"/>
        <w:spacing w:before="240" w:after="120"/>
      </w:pPr>
      <w:r>
        <w:rPr>
          <w:rFonts w:ascii="黑体" w:hAnsi="黑体" w:eastAsia="黑体"/>
          <w:b/>
          <w:sz w:val="28"/>
        </w:rPr>
        <w:t>1.1 核心功能</w:t>
      </w:r>
    </w:p>
    <w:p>
      <w:pPr>
        <w:pStyle w:val="ListBullet"/>
        <w:spacing w:line="360" w:lineRule="auto" w:after="60"/>
        <w:ind w:left="720"/>
      </w:pPr>
      <w:r>
        <w:rPr>
          <w:rFonts w:ascii="宋体" w:hAnsi="宋体" w:eastAsia="宋体"/>
          <w:b w:val="0"/>
          <w:sz w:val="21"/>
        </w:rPr>
        <w:t>真实数据驱动：基于TLE两行根数实现卫星轨道计算，集成Open-Meteo API获取实时气象数据，支持中国空间站、国际空间站、墨子号等多颗卫星的过境仿真。</w:t>
      </w:r>
    </w:p>
    <w:p>
      <w:pPr>
        <w:pStyle w:val="ListBullet"/>
        <w:spacing w:line="360" w:lineRule="auto" w:after="60"/>
        <w:ind w:left="720"/>
      </w:pPr>
      <w:r>
        <w:rPr>
          <w:rFonts w:ascii="宋体" w:hAnsi="宋体" w:eastAsia="宋体"/>
          <w:b w:val="0"/>
          <w:sz w:val="21"/>
        </w:rPr>
        <w:t>完整攻防体系：实现三类典型量子密码攻击——截获-重发攻击（引入25%误码）、光束分离攻击（无噪窃听）、光子数分离攻击（PNS，针对弱脉冲光源）；配套隐私放大、诱骗态协议等防御机制。</w:t>
      </w:r>
    </w:p>
    <w:p>
      <w:pPr>
        <w:pStyle w:val="ListBullet"/>
        <w:spacing w:line="360" w:lineRule="auto" w:after="60"/>
        <w:ind w:left="720"/>
      </w:pPr>
      <w:r>
        <w:rPr>
          <w:rFonts w:ascii="宋体" w:hAnsi="宋体" w:eastAsia="宋体"/>
          <w:b w:val="0"/>
          <w:sz w:val="21"/>
        </w:rPr>
        <w:t>自适应安全决策：基于QBER、Eve信息比例、光子率等多维度指标，动态评估通信安全等级（HIGH/MEDIUM/LOW/CRITICAL），并自动推荐防御策略。</w:t>
      </w:r>
    </w:p>
    <w:p>
      <w:pPr>
        <w:pStyle w:val="ListBullet"/>
        <w:spacing w:line="360" w:lineRule="auto" w:after="60"/>
        <w:ind w:left="720"/>
      </w:pPr>
      <w:r>
        <w:rPr>
          <w:rFonts w:ascii="宋体" w:hAnsi="宋体" w:eastAsia="宋体"/>
          <w:b w:val="0"/>
          <w:sz w:val="21"/>
        </w:rPr>
        <w:t>可视化交互界面：基于Gradio框架构建Web界面，实时展示卫星轨迹地图、密钥率/QBER时序曲线、安全状态分析图表，支持参数实时调整与结果导出。</w:t>
      </w:r>
    </w:p>
    <w:p>
      <w:pPr>
        <w:pStyle w:val="Heading2"/>
        <w:spacing w:before="240" w:after="120"/>
      </w:pPr>
      <w:r>
        <w:rPr>
          <w:rFonts w:ascii="黑体" w:hAnsi="黑体" w:eastAsia="黑体"/>
          <w:b/>
          <w:sz w:val="28"/>
        </w:rPr>
        <w:t>1.2 性能指标</w:t>
      </w:r>
    </w:p>
    <w:p>
      <w:pPr>
        <w:spacing w:line="360" w:lineRule="auto" w:after="120"/>
        <w:ind w:firstLine="720"/>
      </w:pPr>
      <w:r>
        <w:rPr>
          <w:rFonts w:ascii="宋体" w:hAnsi="宋体" w:eastAsia="宋体"/>
          <w:b w:val="0"/>
          <w:sz w:val="21"/>
        </w:rPr>
        <w:t>系统在本地测试环境下的实测性能指标如下（测试方法见第3章）：</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1"/>
              </w:rPr>
              <w:t>性能指标</w:t>
            </w:r>
          </w:p>
        </w:tc>
        <w:tc>
          <w:tcPr>
            <w:tcW w:type="dxa" w:w="2880"/>
          </w:tcPr>
          <w:p>
            <w:pPr>
              <w:jc w:val="center"/>
            </w:pPr>
            <w:r>
              <w:rPr>
                <w:rFonts w:ascii="黑体" w:hAnsi="黑体" w:eastAsia="黑体"/>
                <w:b/>
                <w:sz w:val="21"/>
              </w:rPr>
              <w:t>设计目标</w:t>
            </w:r>
          </w:p>
        </w:tc>
        <w:tc>
          <w:tcPr>
            <w:tcW w:type="dxa" w:w="2880"/>
          </w:tcPr>
          <w:p>
            <w:pPr>
              <w:jc w:val="center"/>
            </w:pPr>
            <w:r>
              <w:rPr>
                <w:rFonts w:ascii="黑体" w:hAnsi="黑体" w:eastAsia="黑体"/>
                <w:b/>
                <w:sz w:val="21"/>
              </w:rPr>
              <w:t>实测结果</w:t>
            </w:r>
          </w:p>
        </w:tc>
      </w:tr>
      <w:tr>
        <w:tc>
          <w:tcPr>
            <w:tcW w:type="dxa" w:w="2880"/>
          </w:tcPr>
          <w:p>
            <w:pPr>
              <w:jc w:val="center"/>
            </w:pPr>
            <w:r>
              <w:rPr>
                <w:rFonts w:ascii="宋体" w:hAnsi="宋体" w:eastAsia="宋体"/>
                <w:b w:val="0"/>
                <w:sz w:val="21"/>
              </w:rPr>
              <w:t>单次QKD仿真延迟（10000脉冲）</w:t>
            </w:r>
          </w:p>
        </w:tc>
        <w:tc>
          <w:tcPr>
            <w:tcW w:type="dxa" w:w="2880"/>
          </w:tcPr>
          <w:p>
            <w:pPr>
              <w:jc w:val="center"/>
            </w:pPr>
            <w:r>
              <w:rPr>
                <w:rFonts w:ascii="宋体" w:hAnsi="宋体" w:eastAsia="宋体"/>
                <w:b w:val="0"/>
                <w:sz w:val="21"/>
              </w:rPr>
              <w:t>&lt;50 ms</w:t>
            </w:r>
          </w:p>
        </w:tc>
        <w:tc>
          <w:tcPr>
            <w:tcW w:type="dxa" w:w="2880"/>
          </w:tcPr>
          <w:p>
            <w:pPr>
              <w:jc w:val="center"/>
            </w:pPr>
            <w:r>
              <w:rPr>
                <w:rFonts w:ascii="宋体" w:hAnsi="宋体" w:eastAsia="宋体"/>
                <w:b w:val="0"/>
                <w:sz w:val="21"/>
              </w:rPr>
              <w:t>~5.6 ms（良好信道）~16.6 ms（理想信道）</w:t>
            </w:r>
          </w:p>
        </w:tc>
      </w:tr>
      <w:tr>
        <w:tc>
          <w:tcPr>
            <w:tcW w:type="dxa" w:w="2880"/>
          </w:tcPr>
          <w:p>
            <w:pPr>
              <w:jc w:val="center"/>
            </w:pPr>
            <w:r>
              <w:rPr>
                <w:rFonts w:ascii="宋体" w:hAnsi="宋体" w:eastAsia="宋体"/>
                <w:b w:val="0"/>
                <w:sz w:val="21"/>
              </w:rPr>
              <w:t>单次过境支持时间点数</w:t>
            </w:r>
          </w:p>
        </w:tc>
        <w:tc>
          <w:tcPr>
            <w:tcW w:type="dxa" w:w="2880"/>
          </w:tcPr>
          <w:p>
            <w:pPr>
              <w:jc w:val="center"/>
            </w:pPr>
            <w:r>
              <w:rPr>
                <w:rFonts w:ascii="宋体" w:hAnsi="宋体" w:eastAsia="宋体"/>
                <w:b w:val="0"/>
                <w:sz w:val="21"/>
              </w:rPr>
              <w:t>&gt;1000</w:t>
            </w:r>
          </w:p>
        </w:tc>
        <w:tc>
          <w:tcPr>
            <w:tcW w:type="dxa" w:w="2880"/>
          </w:tcPr>
          <w:p>
            <w:pPr>
              <w:jc w:val="center"/>
            </w:pPr>
            <w:r>
              <w:rPr>
                <w:rFonts w:ascii="宋体" w:hAnsi="宋体" w:eastAsia="宋体"/>
                <w:b w:val="0"/>
                <w:sz w:val="21"/>
              </w:rPr>
              <w:t>2000+（90分钟，60秒步长）</w:t>
            </w:r>
          </w:p>
        </w:tc>
      </w:tr>
      <w:tr>
        <w:tc>
          <w:tcPr>
            <w:tcW w:type="dxa" w:w="2880"/>
          </w:tcPr>
          <w:p>
            <w:pPr>
              <w:jc w:val="center"/>
            </w:pPr>
            <w:r>
              <w:rPr>
                <w:rFonts w:ascii="宋体" w:hAnsi="宋体" w:eastAsia="宋体"/>
                <w:b w:val="0"/>
                <w:sz w:val="21"/>
              </w:rPr>
              <w:t>安全密钥率（400km天顶晴天）</w:t>
            </w:r>
          </w:p>
        </w:tc>
        <w:tc>
          <w:tcPr>
            <w:tcW w:type="dxa" w:w="2880"/>
          </w:tcPr>
          <w:p>
            <w:pPr>
              <w:jc w:val="center"/>
            </w:pPr>
            <w:r>
              <w:rPr>
                <w:rFonts w:ascii="宋体" w:hAnsi="宋体" w:eastAsia="宋体"/>
                <w:b w:val="0"/>
                <w:sz w:val="21"/>
              </w:rPr>
              <w:t>&gt;10 kbps</w:t>
            </w:r>
          </w:p>
        </w:tc>
        <w:tc>
          <w:tcPr>
            <w:tcW w:type="dxa" w:w="2880"/>
          </w:tcPr>
          <w:p>
            <w:pPr>
              <w:jc w:val="center"/>
            </w:pPr>
            <w:r>
              <w:rPr>
                <w:rFonts w:ascii="宋体" w:hAnsi="宋体" w:eastAsia="宋体"/>
                <w:b w:val="0"/>
                <w:sz w:val="21"/>
              </w:rPr>
              <w:t>~33.5 kbps</w:t>
            </w:r>
          </w:p>
        </w:tc>
      </w:tr>
      <w:tr>
        <w:tc>
          <w:tcPr>
            <w:tcW w:type="dxa" w:w="2880"/>
          </w:tcPr>
          <w:p>
            <w:pPr>
              <w:jc w:val="center"/>
            </w:pPr>
            <w:r>
              <w:rPr>
                <w:rFonts w:ascii="宋体" w:hAnsi="宋体" w:eastAsia="宋体"/>
                <w:b w:val="0"/>
                <w:sz w:val="21"/>
              </w:rPr>
              <w:t>安全密钥率（500km良好仰角晴天）</w:t>
            </w:r>
          </w:p>
        </w:tc>
        <w:tc>
          <w:tcPr>
            <w:tcW w:type="dxa" w:w="2880"/>
          </w:tcPr>
          <w:p>
            <w:pPr>
              <w:jc w:val="center"/>
            </w:pPr>
            <w:r>
              <w:rPr>
                <w:rFonts w:ascii="宋体" w:hAnsi="宋体" w:eastAsia="宋体"/>
                <w:b w:val="0"/>
                <w:sz w:val="21"/>
              </w:rPr>
              <w:t>&gt;5 kbps</w:t>
            </w:r>
          </w:p>
        </w:tc>
        <w:tc>
          <w:tcPr>
            <w:tcW w:type="dxa" w:w="2880"/>
          </w:tcPr>
          <w:p>
            <w:pPr>
              <w:jc w:val="center"/>
            </w:pPr>
            <w:r>
              <w:rPr>
                <w:rFonts w:ascii="宋体" w:hAnsi="宋体" w:eastAsia="宋体"/>
                <w:b w:val="0"/>
                <w:sz w:val="21"/>
              </w:rPr>
              <w:t>~8.4 kbps</w:t>
            </w:r>
          </w:p>
        </w:tc>
      </w:tr>
    </w:tbl>
    <w:p/>
    <w:p>
      <w:pPr>
        <w:pStyle w:val="Heading1"/>
        <w:spacing w:before="240" w:after="120"/>
        <w:jc w:val="center"/>
      </w:pPr>
      <w:r>
        <w:rPr>
          <w:rFonts w:ascii="黑体" w:hAnsi="黑体" w:eastAsia="黑体"/>
          <w:b/>
          <w:sz w:val="32"/>
        </w:rPr>
        <w:t>2. 设计与实现方案</w:t>
      </w:r>
    </w:p>
    <w:p>
      <w:pPr>
        <w:spacing w:line="360" w:lineRule="auto"/>
        <w:ind w:firstLine="432"/>
      </w:pPr>
      <w:r>
        <w:rPr>
          <w:rFonts w:ascii="Times New Roman" w:hAnsi="Times New Roman" w:eastAsia="宋体"/>
        </w:rPr>
        <w:t xml:space="preserve">--- </w:t>
      </w:r>
      <w:r>
        <w:rPr>
          <w:rFonts w:ascii="Times New Roman" w:hAnsi="Times New Roman" w:eastAsia="宋体"/>
          <w:i/>
        </w:rPr>
        <w:t>文档版本：v2.0（对应代码修订版）</w:t>
      </w:r>
      <w:r>
        <w:rPr>
          <w:rFonts w:ascii="Times New Roman" w:hAnsi="Times New Roman" w:eastAsia="宋体"/>
        </w:rPr>
        <w:t xml:space="preserve"> </w:t>
      </w:r>
      <w:r>
        <w:rPr>
          <w:rFonts w:ascii="Times New Roman" w:hAnsi="Times New Roman" w:eastAsia="宋体"/>
          <w:i/>
        </w:rPr>
        <w:t>修订内容：新增隐私放大教学演示、修正 PNS 攻击逻辑、安全阈值改为二元硬阈值判定、补充公式来源与课程关联说明</w:t>
      </w:r>
      <w:r>
        <w:rPr>
          <w:rFonts w:ascii="Times New Roman" w:hAnsi="Times New Roman" w:eastAsia="宋体"/>
        </w:rPr>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数值/范围</w:t>
            </w:r>
          </w:p>
        </w:tc>
        <w:tc>
          <w:tcPr>
            <w:tcW w:type="dxa" w:w="2880"/>
          </w:tcPr>
          <w:p>
            <w:r>
              <w:t>说明</w:t>
            </w:r>
          </w:p>
        </w:tc>
      </w:tr>
      <w:tr>
        <w:tc>
          <w:tcPr>
            <w:tcW w:type="dxa" w:w="2880"/>
          </w:tcPr>
          <w:p>
            <w:r>
              <w:t>脉冲重复频率</w:t>
            </w:r>
          </w:p>
        </w:tc>
        <w:tc>
          <w:tcPr>
            <w:tcW w:type="dxa" w:w="2880"/>
          </w:tcPr>
          <w:p>
            <w:r>
              <w:t>100 MHz</w:t>
            </w:r>
          </w:p>
        </w:tc>
        <w:tc>
          <w:tcPr>
            <w:tcW w:type="dxa" w:w="2880"/>
          </w:tcPr>
          <w:p>
            <w:r>
              <w:t>弱脉冲光源</w:t>
            </w:r>
          </w:p>
        </w:tc>
      </w:tr>
      <w:tr>
        <w:tc>
          <w:tcPr>
            <w:tcW w:type="dxa" w:w="2880"/>
          </w:tcPr>
          <w:p>
            <w:r>
              <w:t>平均光子数 $\mu$</w:t>
            </w:r>
          </w:p>
        </w:tc>
        <w:tc>
          <w:tcPr>
            <w:tcW w:type="dxa" w:w="2880"/>
          </w:tcPr>
          <w:p>
            <w:r>
              <w:t>0.8</w:t>
            </w:r>
          </w:p>
        </w:tc>
        <w:tc>
          <w:tcPr>
            <w:tcW w:type="dxa" w:w="2880"/>
          </w:tcPr>
          <w:p>
            <w:r>
              <w:t>兼顾计数率与多光子比例</w:t>
            </w:r>
          </w:p>
        </w:tc>
      </w:tr>
      <w:tr>
        <w:tc>
          <w:tcPr>
            <w:tcW w:type="dxa" w:w="2880"/>
          </w:tcPr>
          <w:p>
            <w:r>
              <w:t>探测器效率</w:t>
            </w:r>
          </w:p>
        </w:tc>
        <w:tc>
          <w:tcPr>
            <w:tcW w:type="dxa" w:w="2880"/>
          </w:tcPr>
          <w:p>
            <w:r>
              <w:t>40%</w:t>
            </w:r>
          </w:p>
        </w:tc>
        <w:tc>
          <w:tcPr>
            <w:tcW w:type="dxa" w:w="2880"/>
          </w:tcPr>
          <w:p>
            <w:r>
              <w:t>单光子探测器</w:t>
            </w:r>
          </w:p>
        </w:tc>
      </w:tr>
      <w:tr>
        <w:tc>
          <w:tcPr>
            <w:tcW w:type="dxa" w:w="2880"/>
          </w:tcPr>
          <w:p>
            <w:r>
              <w:t>最大可接受 QBER</w:t>
            </w:r>
          </w:p>
        </w:tc>
        <w:tc>
          <w:tcPr>
            <w:tcW w:type="dxa" w:w="2880"/>
          </w:tcPr>
          <w:p>
            <w:r>
              <w:t>11%</w:t>
            </w:r>
          </w:p>
        </w:tc>
        <w:tc>
          <w:tcPr>
            <w:tcW w:type="dxa" w:w="2880"/>
          </w:tcPr>
          <w:p>
            <w:r>
              <w:t>BB84 协议安全硬阈值</w:t>
            </w:r>
          </w:p>
        </w:tc>
      </w:tr>
      <w:tr>
        <w:tc>
          <w:tcPr>
            <w:tcW w:type="dxa" w:w="2880"/>
          </w:tcPr>
          <w:p>
            <w:r>
              <w:t>通信波长</w:t>
            </w:r>
          </w:p>
        </w:tc>
        <w:tc>
          <w:tcPr>
            <w:tcW w:type="dxa" w:w="2880"/>
          </w:tcPr>
          <w:p>
            <w:r>
              <w:t>850 nm</w:t>
            </w:r>
          </w:p>
        </w:tc>
        <w:tc>
          <w:tcPr>
            <w:tcW w:type="dxa" w:w="2880"/>
          </w:tcPr>
          <w:p>
            <w:r>
              <w:t>大气窗口</w:t>
            </w:r>
          </w:p>
        </w:tc>
      </w:tr>
      <w:tr>
        <w:tc>
          <w:tcPr>
            <w:tcW w:type="dxa" w:w="2880"/>
          </w:tcPr>
          <w:p>
            <w:r>
              <w:t>暗计数率</w:t>
            </w:r>
          </w:p>
        </w:tc>
        <w:tc>
          <w:tcPr>
            <w:tcW w:type="dxa" w:w="2880"/>
          </w:tcPr>
          <w:p>
            <w:r>
              <w:t>50 Hz</w:t>
            </w:r>
          </w:p>
        </w:tc>
        <w:tc>
          <w:tcPr>
            <w:tcW w:type="dxa" w:w="2880"/>
          </w:tcPr>
          <w:p>
            <w:r>
              <w:t>探测器暗噪声</w:t>
            </w:r>
          </w:p>
        </w:tc>
      </w:tr>
      <w:tr>
        <w:tc>
          <w:tcPr>
            <w:tcW w:type="dxa" w:w="2880"/>
          </w:tcPr>
          <w:p>
            <w:r>
              <w:t>安全密钥率（400 km 天顶晴天）</w:t>
            </w:r>
          </w:p>
        </w:tc>
        <w:tc>
          <w:tcPr>
            <w:tcW w:type="dxa" w:w="2880"/>
          </w:tcPr>
          <w:p>
            <w:r>
              <w:t>~33.5 kbps</w:t>
            </w:r>
          </w:p>
        </w:tc>
        <w:tc>
          <w:tcPr>
            <w:tcW w:type="dxa" w:w="2880"/>
          </w:tcPr>
          <w:p>
            <w:r>
              <w:t>实测值</w:t>
            </w:r>
          </w:p>
        </w:tc>
      </w:tr>
      <w:tr>
        <w:tc>
          <w:tcPr>
            <w:tcW w:type="dxa" w:w="2880"/>
          </w:tcPr>
          <w:p>
            <w:r>
              <w:t>单次 QKD 仿真延迟（10000 脉冲）</w:t>
            </w:r>
          </w:p>
        </w:tc>
        <w:tc>
          <w:tcPr>
            <w:tcW w:type="dxa" w:w="2880"/>
          </w:tcPr>
          <w:p>
            <w:r>
              <w:t>~5.6 ms</w:t>
            </w:r>
          </w:p>
        </w:tc>
        <w:tc>
          <w:tcPr>
            <w:tcW w:type="dxa" w:w="2880"/>
          </w:tcPr>
          <w:p>
            <w:r>
              <w:t>良好信道</w:t>
            </w:r>
          </w:p>
        </w:tc>
      </w:tr>
      <w:tr>
        <w:tc>
          <w:tcPr>
            <w:tcW w:type="dxa" w:w="2880"/>
          </w:tcPr>
          <w:p>
            <w:r>
              <w:t>支持时间点数</w:t>
            </w:r>
          </w:p>
        </w:tc>
        <w:tc>
          <w:tcPr>
            <w:tcW w:type="dxa" w:w="2880"/>
          </w:tcPr>
          <w:p>
            <w:r>
              <w:t>&gt;2000</w:t>
            </w:r>
          </w:p>
        </w:tc>
        <w:tc>
          <w:tcPr>
            <w:tcW w:type="dxa" w:w="2880"/>
          </w:tcPr>
          <w:p>
            <w:r>
              <w:t>90 分钟过境，60 秒步长</w:t>
            </w:r>
          </w:p>
        </w:tc>
      </w:tr>
    </w:tbl>
    <w:p>
      <w:pPr>
        <w:pStyle w:val="Heading3"/>
      </w:pPr>
      <w:r>
        <w:rPr>
          <w:b/>
          <w:sz w:val="24"/>
        </w:rPr>
        <w:t>2.3 技术指标</w:t>
      </w:r>
    </w:p>
    <w:p>
      <w:pPr>
        <w:spacing w:line="360" w:lineRule="auto"/>
        <w:ind w:firstLine="432"/>
      </w:pPr>
      <w:r>
        <w:rPr>
          <w:rFonts w:ascii="Times New Roman" w:hAnsi="Times New Roman" w:eastAsia="宋体"/>
        </w:rPr>
        <w:t>---</w:t>
      </w:r>
    </w:p>
    <w:p>
      <w:pPr>
        <w:pStyle w:val="ListBullet"/>
      </w:pPr>
      <w:r>
        <w:rPr>
          <w:rFonts w:ascii="Times New Roman" w:hAnsi="Times New Roman" w:eastAsia="宋体"/>
        </w:rPr>
        <w:t>PNS 攻击 + 启用诱骗态：系统检测到产额异常，改用 GLLP 保守公式计算，安全密钥率恢复但低于正常值。</w:t>
      </w:r>
    </w:p>
    <w:p>
      <w:pPr>
        <w:pStyle w:val="ListBullet"/>
      </w:pPr>
      <w:r>
        <w:rPr>
          <w:rFonts w:ascii="Times New Roman" w:hAnsi="Times New Roman" w:eastAsia="宋体"/>
        </w:rPr>
        <w:t>PNS 攻击 + 无诱骗态：QBER 正常（约 0.81%），但系统判定密钥不安全，安全密钥率强制归零并输出警告。</w:t>
      </w:r>
    </w:p>
    <w:p>
      <w:pPr>
        <w:pStyle w:val="ListBullet"/>
      </w:pPr>
      <w:r>
        <w:rPr>
          <w:rFonts w:ascii="Times New Roman" w:hAnsi="Times New Roman" w:eastAsia="宋体"/>
        </w:rPr>
        <w:t>光束分离 30% 分光比：QBER 维持约 0%，但 Eve 信息比例约 16.2%，隐私放大后安全密钥率显著下降。</w:t>
      </w:r>
    </w:p>
    <w:p>
      <w:pPr>
        <w:pStyle w:val="ListBullet"/>
      </w:pPr>
      <w:r>
        <w:rPr>
          <w:rFonts w:ascii="Times New Roman" w:hAnsi="Times New Roman" w:eastAsia="宋体"/>
        </w:rPr>
        <w:t>截获-重发 50% 强度：QBER 升至约 9.33%，接近 11% 安全边界，安全密钥率归零。</w:t>
      </w:r>
    </w:p>
    <w:p>
      <w:pPr>
        <w:spacing w:line="360" w:lineRule="auto"/>
        <w:ind w:firstLine="432"/>
      </w:pPr>
      <w:r>
        <w:rPr>
          <w:rFonts w:ascii="Times New Roman" w:hAnsi="Times New Roman" w:eastAsia="宋体"/>
        </w:rPr>
      </w:r>
      <w:r>
        <w:rPr>
          <w:rFonts w:ascii="Times New Roman" w:hAnsi="Times New Roman" w:eastAsia="宋体"/>
          <w:b/>
        </w:rPr>
        <w:t>攻击场景</w:t>
      </w:r>
      <w:r>
        <w:rPr>
          <w:rFonts w:ascii="Times New Roman" w:hAnsi="Times New Roman" w:eastAsia="宋体"/>
        </w:rPr>
      </w:r>
    </w:p>
    <w:p>
      <w:pPr>
        <w:pStyle w:val="ListBullet"/>
      </w:pPr>
      <w:r>
        <w:rPr>
          <w:rFonts w:ascii="Times New Roman" w:hAnsi="Times New Roman" w:eastAsia="宋体"/>
        </w:rPr>
        <w:t>恶劣信道（700 km，雨天）：QBER 约 22.6%，安全密钥率 0 kbps（超过 11% 阈值），安全等级 CRITICAL。</w:t>
      </w:r>
    </w:p>
    <w:p>
      <w:pPr>
        <w:pStyle w:val="ListBullet"/>
      </w:pPr>
      <w:r>
        <w:rPr>
          <w:rFonts w:ascii="Times New Roman" w:hAnsi="Times New Roman" w:eastAsia="宋体"/>
        </w:rPr>
        <w:t>中等信道（600 km，薄雾）：QBER 约 2.54%，安全密钥率约 0.5 kbps，安全等级 MEDIUM。</w:t>
      </w:r>
    </w:p>
    <w:p>
      <w:pPr>
        <w:pStyle w:val="ListBullet"/>
      </w:pPr>
      <w:r>
        <w:rPr>
          <w:rFonts w:ascii="Times New Roman" w:hAnsi="Times New Roman" w:eastAsia="宋体"/>
        </w:rPr>
        <w:t>良好信道（400 km 天顶，晴天）：QBER 约 0.65%，安全密钥率约 33.5 kbps，安全等级 HIGH。</w:t>
      </w:r>
    </w:p>
    <w:p>
      <w:pPr>
        <w:spacing w:line="360" w:lineRule="auto"/>
        <w:ind w:firstLine="432"/>
      </w:pPr>
      <w:r>
        <w:rPr>
          <w:rFonts w:ascii="Times New Roman" w:hAnsi="Times New Roman" w:eastAsia="宋体"/>
        </w:rPr>
        <w:t xml:space="preserve">系统在典型场景下的实测数据如下（测试方法见第 3 章）： </w:t>
      </w:r>
      <w:r>
        <w:rPr>
          <w:rFonts w:ascii="Times New Roman" w:hAnsi="Times New Roman" w:eastAsia="宋体"/>
          <w:b/>
        </w:rPr>
        <w:t>无攻击场景</w:t>
      </w:r>
      <w:r>
        <w:rPr>
          <w:rFonts w:ascii="Times New Roman" w:hAnsi="Times New Roman" w:eastAsia="宋体"/>
        </w:rPr>
      </w:r>
    </w:p>
    <w:p>
      <w:pPr>
        <w:pStyle w:val="Heading3"/>
      </w:pPr>
      <w:r>
        <w:rPr>
          <w:b/>
          <w:sz w:val="24"/>
        </w:rPr>
        <w:t>2.2 运行结果</w:t>
      </w:r>
    </w:p>
    <w:p>
      <w:pPr>
        <w:spacing w:line="360" w:lineRule="auto"/>
        <w:ind w:firstLine="432"/>
      </w:pPr>
      <w:r>
        <w:rPr>
          <w:rFonts w:ascii="Times New Roman" w:hAnsi="Times New Roman" w:eastAsia="宋体"/>
        </w:rPr>
        <w:t>---</w:t>
      </w:r>
    </w:p>
    <w:p>
      <w:pPr>
        <w:pStyle w:val="ListBullet"/>
      </w:pPr>
      <w:r>
        <w:rPr>
          <w:rFonts w:ascii="Times New Roman" w:hAnsi="Times New Roman" w:eastAsia="宋体"/>
        </w:rPr>
      </w:r>
      <w:r>
        <w:rPr>
          <w:rFonts w:ascii="Times New Roman" w:hAnsi="Times New Roman" w:eastAsia="宋体"/>
          <w:b/>
        </w:rPr>
        <w:t>与信息论基础的关联</w:t>
      </w:r>
      <w:r>
        <w:rPr>
          <w:rFonts w:ascii="Times New Roman" w:hAnsi="Times New Roman" w:eastAsia="宋体"/>
        </w:rPr>
        <w:t>：隐私放大直接使用课程中的二元熵函数 $H_2(x)$ 和熵的概念；诱骗态检测的产额比分析本质是概率论中的假设检验。</w:t>
      </w:r>
    </w:p>
    <w:p>
      <w:pPr>
        <w:pStyle w:val="ListBullet"/>
      </w:pPr>
      <w:r>
        <w:rPr>
          <w:rFonts w:ascii="Times New Roman" w:hAnsi="Times New Roman" w:eastAsia="宋体"/>
        </w:rPr>
      </w:r>
      <w:r>
        <w:rPr>
          <w:rFonts w:ascii="Times New Roman" w:hAnsi="Times New Roman" w:eastAsia="宋体"/>
          <w:b/>
        </w:rPr>
        <w:t>与密码分析技术的关联</w:t>
      </w:r>
      <w:r>
        <w:rPr>
          <w:rFonts w:ascii="Times New Roman" w:hAnsi="Times New Roman" w:eastAsia="宋体"/>
        </w:rPr>
        <w:t>：课程要求"养成从攻击角度质疑的习惯"。本作品从 Eve 视角实现了三类典型攻击并量化其影响：截获-重发对应主动篡改/中间人攻击思想，光束分离对应被动监听与信息泄露分析，PNS 对应实现漏洞分析。</w:t>
      </w:r>
    </w:p>
    <w:p>
      <w:pPr>
        <w:pStyle w:val="ListBullet"/>
      </w:pPr>
      <w:r>
        <w:rPr>
          <w:rFonts w:ascii="Times New Roman" w:hAnsi="Times New Roman" w:eastAsia="宋体"/>
        </w:rPr>
      </w:r>
      <w:r>
        <w:rPr>
          <w:rFonts w:ascii="Times New Roman" w:hAnsi="Times New Roman" w:eastAsia="宋体"/>
          <w:b/>
        </w:rPr>
        <w:t>与完善保密性（Perfect Secrecy）的关联</w:t>
      </w:r>
      <w:r>
        <w:rPr>
          <w:rFonts w:ascii="Times New Roman" w:hAnsi="Times New Roman" w:eastAsia="宋体"/>
        </w:rPr>
        <w:t>：课程中一次性便笺（OTP）的完善保密性基于密钥真随机性；BB84 利用量子测量塌缩产生真随机密钥，实现信息论意义下的无条件安全。二者都是"不依赖计算困难性"的安全。</w:t>
      </w:r>
    </w:p>
    <w:p>
      <w:pPr>
        <w:spacing w:line="360" w:lineRule="auto"/>
        <w:ind w:firstLine="432"/>
      </w:pPr>
      <w:r>
        <w:rPr>
          <w:rFonts w:ascii="Times New Roman" w:hAnsi="Times New Roman" w:eastAsia="宋体"/>
        </w:rPr>
        <w:t>本作品虽聚焦于量子密码前沿方向，但其核心思想、分析方法与工具均源于《密码学导论》课程内容：</w:t>
      </w:r>
    </w:p>
    <w:p>
      <w:pPr>
        <w:pStyle w:val="Heading4"/>
      </w:pPr>
      <w:r>
        <w:rPr>
          <w:b/>
          <w:sz w:val="22"/>
        </w:rPr>
        <w:t>（5）与课程知识的内在关联</w:t>
      </w:r>
    </w:p>
    <w:p>
      <w:pPr>
        <w:pStyle w:val="ListBullet"/>
      </w:pPr>
      <w:r>
        <w:rPr>
          <w:rFonts w:ascii="Times New Roman" w:hAnsi="Times New Roman" w:eastAsia="宋体"/>
        </w:rPr>
      </w:r>
      <w:r>
        <w:rPr>
          <w:rFonts w:ascii="Times New Roman" w:hAnsi="Times New Roman" w:eastAsia="宋体"/>
          <w:b/>
        </w:rPr>
        <w:t>信息分布条形图</w:t>
      </w:r>
      <w:r>
        <w:rPr>
          <w:rFonts w:ascii="Times New Roman" w:hAnsi="Times New Roman" w:eastAsia="宋体"/>
        </w:rPr>
        <w:t>：用 Plotly 图表对比原始密钥、Eve 知道的位数、误码位数、压缩损失与最终安全密钥长度。</w:t>
      </w:r>
    </w:p>
    <w:p>
      <w:pPr>
        <w:pStyle w:val="ListBullet"/>
      </w:pPr>
      <w:r>
        <w:rPr>
          <w:rFonts w:ascii="Times New Roman" w:hAnsi="Times New Roman" w:eastAsia="宋体"/>
        </w:rPr>
      </w:r>
      <w:r>
        <w:rPr>
          <w:rFonts w:ascii="Times New Roman" w:hAnsi="Times New Roman" w:eastAsia="宋体"/>
          <w:b/>
        </w:rPr>
        <w:t>信息论公式推导</w:t>
      </w:r>
      <w:r>
        <w:rPr>
          <w:rFonts w:ascii="Times New Roman" w:hAnsi="Times New Roman" w:eastAsia="宋体"/>
        </w:rPr>
        <w:t>：实时计算并展示 $m = n \times [1 - 2H_2(\text{QBER}) - 2\tau]$ 的每一步；</w:t>
      </w:r>
    </w:p>
    <w:p>
      <w:pPr>
        <w:pStyle w:val="ListBullet"/>
      </w:pPr>
      <w:r>
        <w:rPr>
          <w:rFonts w:ascii="Times New Roman" w:hAnsi="Times New Roman" w:eastAsia="宋体"/>
        </w:rPr>
      </w:r>
      <w:r>
        <w:rPr>
          <w:rFonts w:ascii="Times New Roman" w:hAnsi="Times New Roman" w:eastAsia="宋体"/>
          <w:b/>
        </w:rPr>
        <w:t>随机线性组合过程</w:t>
      </w:r>
      <w:r>
        <w:rPr>
          <w:rFonts w:ascii="Times New Roman" w:hAnsi="Times New Roman" w:eastAsia="宋体"/>
        </w:rPr>
        <w:t>：逐行展示每个安全密钥位由哪些原始位 XOR 组合得到；</w:t>
      </w:r>
    </w:p>
    <w:p>
      <w:pPr>
        <w:pStyle w:val="ListBullet"/>
      </w:pPr>
      <w:r>
        <w:rPr>
          <w:rFonts w:ascii="Times New Roman" w:hAnsi="Times New Roman" w:eastAsia="宋体"/>
        </w:rPr>
      </w:r>
      <w:r>
        <w:rPr>
          <w:rFonts w:ascii="Times New Roman" w:hAnsi="Times New Roman" w:eastAsia="宋体"/>
          <w:b/>
        </w:rPr>
        <w:t>颜色标注体系</w:t>
      </w:r>
      <w:r>
        <w:rPr>
          <w:rFonts w:ascii="Times New Roman" w:hAnsi="Times New Roman" w:eastAsia="宋体"/>
        </w:rPr>
        <w:t>：绿色表示仅 Alice/Bob 知道，红色表示 Eve 也知道，黄色表示 Alice/Bob 不一致（误码）；</w:t>
      </w:r>
    </w:p>
    <w:p>
      <w:pPr>
        <w:pStyle w:val="ListBullet"/>
      </w:pPr>
      <w:r>
        <w:rPr>
          <w:rFonts w:ascii="Times New Roman" w:hAnsi="Times New Roman" w:eastAsia="宋体"/>
        </w:rPr>
      </w:r>
      <w:r>
        <w:rPr>
          <w:rFonts w:ascii="Times New Roman" w:hAnsi="Times New Roman" w:eastAsia="宋体"/>
          <w:b/>
        </w:rPr>
        <w:t>三视角密钥对比</w:t>
      </w:r>
      <w:r>
        <w:rPr>
          <w:rFonts w:ascii="Times New Roman" w:hAnsi="Times New Roman" w:eastAsia="宋体"/>
        </w:rPr>
        <w:t>：分别展示 Alice 的原始密钥、Eve 的已知信息（未知位标记为"?"）、Bob 的含误码密钥；</w:t>
      </w:r>
    </w:p>
    <w:p>
      <w:pPr>
        <w:spacing w:line="360" w:lineRule="auto"/>
        <w:ind w:firstLine="432"/>
      </w:pPr>
      <w:r>
        <w:rPr>
          <w:rFonts w:ascii="Times New Roman" w:hAnsi="Times New Roman" w:eastAsia="宋体"/>
        </w:rPr>
        <w:t>为直观展示隐私放大的信息论本质，系统新增了独立的教学演示界面。该模块以可视化方式呈现：</w:t>
      </w:r>
    </w:p>
    <w:p>
      <w:pPr>
        <w:pStyle w:val="Heading4"/>
      </w:pPr>
      <w:r>
        <w:rPr>
          <w:b/>
          <w:sz w:val="22"/>
        </w:rPr>
        <w:t>（4）隐私放大教学演示模块</w:t>
      </w:r>
    </w:p>
    <w:p>
      <w:pPr>
        <w:spacing w:line="360" w:lineRule="auto"/>
        <w:ind w:firstLine="432"/>
      </w:pPr>
      <w:r>
        <w:rPr>
          <w:rFonts w:ascii="Times New Roman" w:hAnsi="Times New Roman" w:eastAsia="宋体"/>
        </w:rPr>
        <w:t>系统因此采用基于</w:t>
      </w:r>
      <w:r>
        <w:rPr>
          <w:rFonts w:ascii="Times New Roman" w:hAnsi="Times New Roman" w:eastAsia="宋体"/>
          <w:b/>
        </w:rPr>
        <w:t>硬阈值</w:t>
      </w:r>
      <w:r>
        <w:rPr>
          <w:rFonts w:ascii="Times New Roman" w:hAnsi="Times New Roman" w:eastAsia="宋体"/>
        </w:rPr>
        <w:t>的安全等级评估，而非连续打分。对于一次卫星过境（含数千个时间点），系统统计 QBER &lt; 11% 的时间占比作为"安全时段"，并同时显示 QBER 的最小值、最大值与范围，避免平均值掩盖极端时刻的安全风险。</w:t>
      </w:r>
    </w:p>
    <w:p>
      <w:pPr>
        <w:pStyle w:val="ListBullet"/>
      </w:pPr>
      <w:r>
        <w:rPr>
          <w:rFonts w:ascii="Times New Roman" w:hAnsi="Times New Roman" w:eastAsia="宋体"/>
        </w:rPr>
      </w:r>
      <w:r>
        <w:rPr>
          <w:rFonts w:ascii="Times New Roman" w:hAnsi="Times New Roman" w:eastAsia="宋体"/>
          <w:b/>
        </w:rPr>
        <w:t>QBER $\geq$ 11%</w:t>
      </w:r>
      <w:r>
        <w:rPr>
          <w:rFonts w:ascii="Times New Roman" w:hAnsi="Times New Roman" w:eastAsia="宋体"/>
        </w:rPr>
        <w:t>：该时刻</w:t>
      </w:r>
      <w:r>
        <w:rPr>
          <w:rFonts w:ascii="Times New Roman" w:hAnsi="Times New Roman" w:eastAsia="宋体"/>
          <w:b/>
        </w:rPr>
        <w:t>完全不可行</w:t>
      </w:r>
      <w:r>
        <w:rPr>
          <w:rFonts w:ascii="Times New Roman" w:hAnsi="Times New Roman" w:eastAsia="宋体"/>
        </w:rPr>
        <w:t>（Holevo 界限制），安全密钥率强制归零。</w:t>
      </w:r>
    </w:p>
    <w:p>
      <w:pPr>
        <w:pStyle w:val="ListBullet"/>
      </w:pPr>
      <w:r>
        <w:rPr>
          <w:rFonts w:ascii="Times New Roman" w:hAnsi="Times New Roman" w:eastAsia="宋体"/>
        </w:rPr>
      </w:r>
      <w:r>
        <w:rPr>
          <w:rFonts w:ascii="Times New Roman" w:hAnsi="Times New Roman" w:eastAsia="宋体"/>
          <w:b/>
        </w:rPr>
        <w:t>QBER &lt; 11%</w:t>
      </w:r>
      <w:r>
        <w:rPr>
          <w:rFonts w:ascii="Times New Roman" w:hAnsi="Times New Roman" w:eastAsia="宋体"/>
        </w:rPr>
        <w:t>：该时刻可通过隐私放大提取安全密钥；</w:t>
      </w:r>
    </w:p>
    <w:p>
      <w:pPr>
        <w:spacing w:line="360" w:lineRule="auto"/>
        <w:ind w:firstLine="432"/>
      </w:pPr>
      <w:r>
        <w:rPr>
          <w:rFonts w:ascii="Times New Roman" w:hAnsi="Times New Roman" w:eastAsia="宋体"/>
        </w:rPr>
        <w:t>隐私放大的信息论本质是利用</w:t>
      </w:r>
      <w:r>
        <w:rPr>
          <w:rFonts w:ascii="Times New Roman" w:hAnsi="Times New Roman" w:eastAsia="宋体"/>
          <w:b/>
        </w:rPr>
        <w:t>通用哈希函数</w:t>
      </w:r>
      <w:r>
        <w:rPr>
          <w:rFonts w:ascii="Times New Roman" w:hAnsi="Times New Roman" w:eastAsia="宋体"/>
        </w:rPr>
        <w:t xml:space="preserve">（或 Toeplitz 矩阵）将长串映射为短串。每个输出位由大量输入位的随机线性组合（XOR）构成。Eve 即使知道部分原始位，由于不知道组合方式，也无法推断出任何一位安全密钥——这类似于"将部分信息通过压缩变为无信息"。 </w:t>
      </w:r>
      <w:r>
        <w:rPr>
          <w:rFonts w:ascii="Times New Roman" w:hAnsi="Times New Roman" w:eastAsia="宋体"/>
          <w:b/>
        </w:rPr>
        <w:t>安全阈值的二元判定</w:t>
      </w:r>
      <w:r>
        <w:rPr>
          <w:rFonts w:ascii="Times New Roman" w:hAnsi="Times New Roman" w:eastAsia="宋体"/>
        </w:rPr>
        <w:t xml:space="preserve"> BB84 协议的安全判定是严格的二元阈值：</w:t>
      </w:r>
    </w:p>
    <w:p>
      <w:pPr>
        <w:pStyle w:val="ListBullet"/>
      </w:pPr>
      <w:r>
        <w:rPr>
          <w:rFonts w:ascii="Times New Roman" w:hAnsi="Times New Roman" w:eastAsia="宋体"/>
        </w:rPr>
        <w:t>$2\tau$：Eve 信息比例的保守消除开销（$\tau$ 为 Eve 已知信息比例）。</w:t>
      </w:r>
    </w:p>
    <w:p>
      <w:pPr>
        <w:pStyle w:val="ListBullet"/>
      </w:pPr>
      <w:r>
        <w:rPr>
          <w:rFonts w:ascii="Times New Roman" w:hAnsi="Times New Roman" w:eastAsia="宋体"/>
        </w:rPr>
        <w:t>$2H_2(\text{QBER})$：第一项为纠错过程需公开的奇偶校验信息，第二项为消除"Eve 听到纠错过程"带来的信息泄露；</w:t>
      </w:r>
    </w:p>
    <w:p>
      <w:pPr>
        <w:pStyle w:val="ListBullet"/>
      </w:pPr>
      <w:r>
        <w:rPr>
          <w:rFonts w:ascii="Times New Roman" w:hAnsi="Times New Roman" w:eastAsia="宋体"/>
        </w:rPr>
        <w:t>$H_2(x) = -x\log_2 x - (1-x)\log_2(1-x)$：二元熵函数；</w:t>
      </w:r>
    </w:p>
    <w:p>
      <w:pPr>
        <w:pStyle w:val="ListBullet"/>
      </w:pPr>
      <w:r>
        <w:rPr>
          <w:rFonts w:ascii="Times New Roman" w:hAnsi="Times New Roman" w:eastAsia="宋体"/>
        </w:rPr>
        <w:t>$n$：筛选后密钥长度；</w:t>
      </w:r>
    </w:p>
    <w:p>
      <w:pPr>
        <w:spacing w:line="360" w:lineRule="auto"/>
        <w:ind w:firstLine="432"/>
      </w:pPr>
      <w:r>
        <w:rPr>
          <w:rFonts w:ascii="Times New Roman" w:hAnsi="Times New Roman" w:eastAsia="宋体"/>
        </w:rPr>
        <w:t xml:space="preserve">系统实现了三类典型量子密码攻击及配套防御机制，构成完整的攻防闭环。 </w:t>
      </w:r>
      <w:r>
        <w:rPr>
          <w:rFonts w:ascii="Times New Roman" w:hAnsi="Times New Roman" w:eastAsia="宋体"/>
          <w:b/>
        </w:rPr>
        <w:t>截获-重发攻击（Intercept-Resend）</w:t>
      </w:r>
      <w:r>
        <w:rPr>
          <w:rFonts w:ascii="Times New Roman" w:hAnsi="Times New Roman" w:eastAsia="宋体"/>
        </w:rPr>
        <w:t xml:space="preserve"> Eve 以概率 $p_{\text{attack}}$ 拦截光脉冲，随机选择基测量后重新制备光子发送给 Bob。当 Eve 的基与 Alice 不同时，引入 50% 误码；基一致时不引入误码。平均引入误码为 $0.25 \cdot p_{\text{attack}}$。此类攻击最显著的特征是 </w:t>
      </w:r>
      <w:r>
        <w:rPr>
          <w:rFonts w:ascii="Times New Roman" w:hAnsi="Times New Roman" w:eastAsia="宋体"/>
          <w:b/>
        </w:rPr>
        <w:t>QBER 异常升高</w:t>
      </w:r>
      <w:r>
        <w:rPr>
          <w:rFonts w:ascii="Times New Roman" w:hAnsi="Times New Roman" w:eastAsia="宋体"/>
        </w:rPr>
        <w:t xml:space="preserve">，当 QBER 超过 11% 时，BB84 协议无法提取安全密钥，通信双方可据此检测攻击。 </w:t>
      </w:r>
      <w:r>
        <w:rPr>
          <w:rFonts w:ascii="Times New Roman" w:hAnsi="Times New Roman" w:eastAsia="宋体"/>
          <w:b/>
        </w:rPr>
        <w:t>光束分离攻击（Beam-Splitting）</w:t>
      </w:r>
      <w:r>
        <w:rPr>
          <w:rFonts w:ascii="Times New Roman" w:hAnsi="Times New Roman" w:eastAsia="宋体"/>
        </w:rPr>
        <w:t xml:space="preserve"> Eve 在信道中插入分束器，分离出比例 $r$ 的光强进行测量，其余转发给 Bob。关键特性是</w:t>
      </w:r>
      <w:r>
        <w:rPr>
          <w:rFonts w:ascii="Times New Roman" w:hAnsi="Times New Roman" w:eastAsia="宋体"/>
          <w:b/>
        </w:rPr>
        <w:t>不引入误码</w:t>
      </w:r>
      <w:r>
        <w:rPr>
          <w:rFonts w:ascii="Times New Roman" w:hAnsi="Times New Roman" w:eastAsia="宋体"/>
        </w:rPr>
        <w:t>，Bob 收到的光子态未被破坏，因此无法通过 QBER 检测。防御必须依赖</w:t>
      </w:r>
      <w:r>
        <w:rPr>
          <w:rFonts w:ascii="Times New Roman" w:hAnsi="Times New Roman" w:eastAsia="宋体"/>
          <w:b/>
        </w:rPr>
        <w:t>隐私放大</w:t>
      </w:r>
      <w:r>
        <w:rPr>
          <w:rFonts w:ascii="Times New Roman" w:hAnsi="Times New Roman" w:eastAsia="宋体"/>
        </w:rPr>
        <w:t xml:space="preserve">：通过压缩密钥长度消除 Eve 的信息优势。 </w:t>
      </w:r>
      <w:r>
        <w:rPr>
          <w:rFonts w:ascii="Times New Roman" w:hAnsi="Times New Roman" w:eastAsia="宋体"/>
          <w:b/>
        </w:rPr>
        <w:t>光子数分离攻击（PNS）</w:t>
      </w:r>
      <w:r>
        <w:rPr>
          <w:rFonts w:ascii="Times New Roman" w:hAnsi="Times New Roman" w:eastAsia="宋体"/>
        </w:rPr>
        <w:t xml:space="preserve"> 针对弱脉冲光源的多光子态缺陷。Eve 测量每个脉冲的光子数，对 $n \geq 2$ 的多光子态分离出一个光子存入量子存储器，待 Alice 和 Bob 公开基选择后，用正确基测量存储光子，从而</w:t>
      </w:r>
      <w:r>
        <w:rPr>
          <w:rFonts w:ascii="Times New Roman" w:hAnsi="Times New Roman" w:eastAsia="宋体"/>
          <w:b/>
        </w:rPr>
        <w:t>无误差地获取信息</w:t>
      </w:r>
      <w:r>
        <w:rPr>
          <w:rFonts w:ascii="Times New Roman" w:hAnsi="Times New Roman" w:eastAsia="宋体"/>
        </w:rPr>
        <w:t xml:space="preserve">。 </w:t>
      </w:r>
      <w:r>
        <w:rPr>
          <w:rFonts w:ascii="Times New Roman" w:hAnsi="Times New Roman" w:eastAsia="宋体"/>
          <w:b/>
        </w:rPr>
        <w:t>PNS 攻击的核心特殊性</w:t>
      </w:r>
      <w:r>
        <w:rPr>
          <w:rFonts w:ascii="Times New Roman" w:hAnsi="Times New Roman" w:eastAsia="宋体"/>
        </w:rPr>
        <w:t>：它不引入误码，QBER 不会升高。这意味着</w:t>
      </w:r>
      <w:r>
        <w:rPr>
          <w:rFonts w:ascii="Times New Roman" w:hAnsi="Times New Roman" w:eastAsia="宋体"/>
          <w:b/>
        </w:rPr>
        <w:t>如果没有诱骗态协议，系统完全无法察觉 PNS 攻击的存在</w:t>
      </w:r>
      <w:r>
        <w:rPr>
          <w:rFonts w:ascii="Times New Roman" w:hAnsi="Times New Roman" w:eastAsia="宋体"/>
        </w:rPr>
        <w:t xml:space="preserve">，会继续生成密钥，但所有密钥在信息论上均不安全。本系统对此做了严格处理：当遭受 PNS 攻击但未启用诱骗态时，安全密钥率强制归零，并在报告中输出明确警告。 </w:t>
      </w:r>
      <w:r>
        <w:rPr>
          <w:rFonts w:ascii="Times New Roman" w:hAnsi="Times New Roman" w:eastAsia="宋体"/>
          <w:b/>
        </w:rPr>
        <w:t>诱骗态协议（Decoy State Protocol）</w:t>
      </w:r>
      <w:r>
        <w:rPr>
          <w:rFonts w:ascii="Times New Roman" w:hAnsi="Times New Roman" w:eastAsia="宋体"/>
        </w:rPr>
        <w:t xml:space="preserve"> 诱骗态是检测 PNS 攻击的核心手段。Alice 随机发射三种强度脉冲：信号态（强度 $\mu$，用于生成密钥）、诱骗态（强度 $\nu &lt; \mu$）、真空态（强度 0）。PNS 攻击会改变不同强度脉冲的产额（探测概率）比例：Eve 倾向于对多光子态分离光子，导致信号态与诱骗态的产额比异常升高。系统通过监测产额比检测攻击，当产额比超过预期值 1.2 倍时报警。 检测到 PNS 攻击后，系统不直接中断通信，而是改用 </w:t>
      </w:r>
      <w:r>
        <w:rPr>
          <w:rFonts w:ascii="Times New Roman" w:hAnsi="Times New Roman" w:eastAsia="宋体"/>
          <w:b/>
        </w:rPr>
        <w:t>GLLP 保守公式</w:t>
      </w:r>
      <w:r>
        <w:rPr>
          <w:rFonts w:ascii="Times New Roman" w:hAnsi="Times New Roman" w:eastAsia="宋体"/>
        </w:rPr>
        <w:t xml:space="preserve"> 计算安全密钥率——假设所有多光子态均被 Eve 拿到，只从单光子贡献部分提取安全密钥。 </w:t>
      </w:r>
      <w:r>
        <w:rPr>
          <w:rFonts w:ascii="Times New Roman" w:hAnsi="Times New Roman" w:eastAsia="宋体"/>
          <w:b/>
        </w:rPr>
        <w:t>隐私放大（Privacy Amplification）</w:t>
      </w:r>
      <w:r>
        <w:rPr>
          <w:rFonts w:ascii="Times New Roman" w:hAnsi="Times New Roman" w:eastAsia="宋体"/>
        </w:rPr>
        <w:t xml:space="preserve"> 即使 Eve 通过光束分离等无噪攻击获取了部分信息，通信双方仍可通过压缩密钥长度，使 Eve 对最终密钥的信息量趋近于零。本系统采用 GLLP 简化公式计算安全密钥长度： $$m = n \times [1 - 2H_2(\text{QBER}) - 2\tau]$$ 其中：</w:t>
      </w:r>
    </w:p>
    <w:p>
      <w:pPr>
        <w:pStyle w:val="Heading4"/>
      </w:pPr>
      <w:r>
        <w:rPr>
          <w:b/>
          <w:sz w:val="22"/>
        </w:rPr>
        <w:t>（3）攻击-防御体系</w:t>
      </w:r>
    </w:p>
    <w:p>
      <w:pPr>
        <w:spacing w:line="360" w:lineRule="auto"/>
        <w:ind w:firstLine="432"/>
      </w:pPr>
      <w:r>
        <w:rPr>
          <w:rFonts w:ascii="Times New Roman" w:hAnsi="Times New Roman" w:eastAsia="宋体"/>
        </w:rPr>
      </w:r>
      <w:r>
        <w:rPr>
          <w:rFonts w:ascii="Times New Roman" w:hAnsi="Times New Roman" w:eastAsia="宋体"/>
          <w:b/>
        </w:rPr>
        <w:t>泊松光源模型</w:t>
      </w:r>
      <w:r>
        <w:rPr>
          <w:rFonts w:ascii="Times New Roman" w:hAnsi="Times New Roman" w:eastAsia="宋体"/>
        </w:rPr>
        <w:t xml:space="preserve"> 实际 QKD 系统多采用弱相干光脉冲模拟单光子源，光子数分布为： $$P(n) = \frac{\mu^n e^{-\mu}}{n!}$$ $\mu$ 的选取需权衡计数率与多光子比例：$\mu$ 过大则多光子态比例升高（易受 PNS 攻击），过小则探测计数率低。 </w:t>
      </w:r>
      <w:r>
        <w:rPr>
          <w:rFonts w:ascii="Times New Roman" w:hAnsi="Times New Roman" w:eastAsia="宋体"/>
          <w:b/>
        </w:rPr>
        <w:t>QBER 来源</w:t>
      </w:r>
      <w:r>
        <w:rPr>
          <w:rFonts w:ascii="Times New Roman" w:hAnsi="Times New Roman" w:eastAsia="宋体"/>
        </w:rPr>
        <w:t xml:space="preserve"> 量子误码率由三部分组成： $$\text{QBER}_{\text{total}} = \text{QBER}_{\text{optical}} + \text{QBER}_{\text{dark}} + \text{QBER}_{\text{Eve}}$$ 光学误码（偏振漂移、对准误差）约 0.5%；暗计数误码在低透射率信道下成为主导；攻击引入误码因攻击类型而异。</w:t>
      </w:r>
    </w:p>
    <w:p>
      <w:pPr>
        <w:pStyle w:val="ListBullet"/>
      </w:pPr>
      <w:r>
        <w:rPr>
          <w:rFonts w:ascii="Times New Roman" w:hAnsi="Times New Roman" w:eastAsia="宋体"/>
        </w:rPr>
      </w:r>
      <w:r>
        <w:rPr>
          <w:rFonts w:ascii="Times New Roman" w:hAnsi="Times New Roman" w:eastAsia="宋体"/>
          <w:b/>
        </w:rPr>
        <w:t>隐私放大</w:t>
      </w:r>
      <w:r>
        <w:rPr>
          <w:rFonts w:ascii="Times New Roman" w:hAnsi="Times New Roman" w:eastAsia="宋体"/>
        </w:rPr>
        <w:t>：根据 QBER 和 Eve 信息比例压缩密钥，得到最终安全密钥。</w:t>
      </w:r>
    </w:p>
    <w:p>
      <w:pPr>
        <w:pStyle w:val="ListBullet"/>
      </w:pPr>
      <w:r>
        <w:rPr>
          <w:rFonts w:ascii="Times New Roman" w:hAnsi="Times New Roman" w:eastAsia="宋体"/>
        </w:rPr>
      </w:r>
      <w:r>
        <w:rPr>
          <w:rFonts w:ascii="Times New Roman" w:hAnsi="Times New Roman" w:eastAsia="宋体"/>
          <w:b/>
        </w:rPr>
        <w:t>误码计算</w:t>
      </w:r>
      <w:r>
        <w:rPr>
          <w:rFonts w:ascii="Times New Roman" w:hAnsi="Times New Roman" w:eastAsia="宋体"/>
        </w:rPr>
        <w:t>：统计筛选后比特不一致比例，得到量子误码率 QBER；</w:t>
      </w:r>
    </w:p>
    <w:p>
      <w:pPr>
        <w:pStyle w:val="ListBullet"/>
      </w:pPr>
      <w:r>
        <w:rPr>
          <w:rFonts w:ascii="Times New Roman" w:hAnsi="Times New Roman" w:eastAsia="宋体"/>
        </w:rPr>
      </w:r>
      <w:r>
        <w:rPr>
          <w:rFonts w:ascii="Times New Roman" w:hAnsi="Times New Roman" w:eastAsia="宋体"/>
          <w:b/>
        </w:rPr>
        <w:t>筛选（Sifting）</w:t>
      </w:r>
      <w:r>
        <w:rPr>
          <w:rFonts w:ascii="Times New Roman" w:hAnsi="Times New Roman" w:eastAsia="宋体"/>
        </w:rPr>
        <w:t>：保留基匹配且探测器响应的比特；</w:t>
      </w:r>
    </w:p>
    <w:p>
      <w:pPr>
        <w:spacing w:line="360" w:lineRule="auto"/>
        <w:ind w:firstLine="432"/>
      </w:pPr>
      <w:r>
        <w:rPr>
          <w:rFonts w:ascii="Times New Roman" w:hAnsi="Times New Roman" w:eastAsia="宋体"/>
        </w:rPr>
        <w:t xml:space="preserve">BB84 协议由 Bennett 和 Brassard 于 1984 年提出，利用量子力学基本原理实现信息论安全的密钥分发。系统仿真严格遵循协议四步： </w:t>
      </w:r>
      <w:r>
        <w:rPr>
          <w:rFonts w:ascii="Times New Roman" w:hAnsi="Times New Roman" w:eastAsia="宋体"/>
          <w:b/>
        </w:rPr>
        <w:t>Step 1：Alice 制备</w:t>
      </w:r>
      <w:r>
        <w:rPr>
          <w:rFonts w:ascii="Times New Roman" w:hAnsi="Times New Roman" w:eastAsia="宋体"/>
        </w:rPr>
        <w:t xml:space="preserve"> Alice 随机生成比特序列 $a_i \in \{0,1\}$ 和基序列 $b_i^{(A)} \in \{Z,X\}$，其中 Z 基编码 $\{|0\rangle,|1\rangle\}$，X 基编码 $\{|+\rangle,|-\rangle\}$。每个光脉冲的光子数服从泊松分布 $n_i \sim \text{Poisson}(\mu)$，$\mu$ 为平均光子数（系统取 0.8）。 </w:t>
      </w:r>
      <w:r>
        <w:rPr>
          <w:rFonts w:ascii="Times New Roman" w:hAnsi="Times New Roman" w:eastAsia="宋体"/>
          <w:b/>
        </w:rPr>
        <w:t>Step 2：信道传输</w:t>
      </w:r>
      <w:r>
        <w:rPr>
          <w:rFonts w:ascii="Times New Roman" w:hAnsi="Times New Roman" w:eastAsia="宋体"/>
        </w:rPr>
        <w:t xml:space="preserve"> 光子通过星地自由空间信道传输。信道透射率 $T$ 由三部分构成： $$T = T_{\text{fs}} \times T_{\text{atm}} \times \eta_{\text{opt}}$$ 其中 $T_{\text{fs}}$ 为自由空间损耗（按距离平方反比缩放），$T_{\text{atm}}$ 为大气衰减（基于仰角修正的有效路径计算），$\eta_{\text{opt}}$ 为系统光学效率。 </w:t>
      </w:r>
      <w:r>
        <w:rPr>
          <w:rFonts w:ascii="Times New Roman" w:hAnsi="Times New Roman" w:eastAsia="宋体"/>
          <w:b/>
        </w:rPr>
        <w:t>Step 3：Bob 测量</w:t>
      </w:r>
      <w:r>
        <w:rPr>
          <w:rFonts w:ascii="Times New Roman" w:hAnsi="Times New Roman" w:eastAsia="宋体"/>
        </w:rPr>
        <w:t xml:space="preserve"> Bob 随机选择基进行测量。探测器以效率 $\eta_{\text{det}}$（40%）响应光子，暗计数率 $R_{\text{dark}}$（50 Hz）引入额外噪声。 </w:t>
      </w:r>
      <w:r>
        <w:rPr>
          <w:rFonts w:ascii="Times New Roman" w:hAnsi="Times New Roman" w:eastAsia="宋体"/>
          <w:b/>
        </w:rPr>
        <w:t>Step 4：筛选与后处理</w:t>
      </w:r>
      <w:r>
        <w:rPr>
          <w:rFonts w:ascii="Times New Roman" w:hAnsi="Times New Roman" w:eastAsia="宋体"/>
        </w:rPr>
      </w:r>
    </w:p>
    <w:p>
      <w:pPr>
        <w:pStyle w:val="Heading4"/>
      </w:pPr>
      <w:r>
        <w:rPr>
          <w:b/>
          <w:sz w:val="22"/>
        </w:rPr>
        <w:t>（2）BB84 协议仿真流程</w:t>
      </w:r>
    </w:p>
    <w:p>
      <w:pPr>
        <w:spacing w:line="360" w:lineRule="auto"/>
        <w:ind w:firstLine="432"/>
      </w:pPr>
      <w:r>
        <w:rPr>
          <w:rFonts w:ascii="Times New Roman" w:hAnsi="Times New Roman" w:eastAsia="宋体"/>
        </w:rPr>
        <w:t>模块间数据流为：TLE 星历与气象 API → 轨道/气象模块 → 信道模型计算透射率 → BB84 协议模块（可选插入 Eve 攻击）→ 安全决策模块（隐私放大/诱骗态检测）→ 可视化输出。</w:t>
      </w:r>
    </w:p>
    <w:p>
      <w:pPr>
        <w:pStyle w:val="ListBullet"/>
      </w:pPr>
      <w:r>
        <w:rPr>
          <w:rFonts w:ascii="Times New Roman" w:hAnsi="Times New Roman" w:eastAsia="宋体"/>
        </w:rPr>
      </w:r>
      <w:r>
        <w:rPr>
          <w:rFonts w:ascii="Times New Roman" w:hAnsi="Times New Roman" w:eastAsia="宋体"/>
          <w:b/>
        </w:rPr>
        <w:t>数据与可视化层</w:t>
      </w:r>
      <w:r>
        <w:rPr>
          <w:rFonts w:ascii="Times New Roman" w:hAnsi="Times New Roman" w:eastAsia="宋体"/>
        </w:rPr>
        <w:t>：负责实时计算链路参数并生成 Plotly 图表。</w:t>
      </w:r>
    </w:p>
    <w:p>
      <w:pPr>
        <w:pStyle w:val="ListBullet"/>
      </w:pPr>
      <w:r>
        <w:rPr>
          <w:rFonts w:ascii="Times New Roman" w:hAnsi="Times New Roman" w:eastAsia="宋体"/>
        </w:rPr>
      </w:r>
      <w:r>
        <w:rPr>
          <w:rFonts w:ascii="Times New Roman" w:hAnsi="Times New Roman" w:eastAsia="宋体"/>
          <w:b/>
        </w:rPr>
        <w:t>核心仿真引擎层</w:t>
      </w:r>
      <w:r>
        <w:rPr>
          <w:rFonts w:ascii="Times New Roman" w:hAnsi="Times New Roman" w:eastAsia="宋体"/>
        </w:rPr>
        <w:t>：包含轨道动力学模块、气象数据模块、信道传输模型、BB84 协议模块、Eve 攻击模拟模块、安全决策模块六大核心组件。</w:t>
      </w:r>
    </w:p>
    <w:p>
      <w:pPr>
        <w:pStyle w:val="ListBullet"/>
      </w:pPr>
      <w:r>
        <w:rPr>
          <w:rFonts w:ascii="Times New Roman" w:hAnsi="Times New Roman" w:eastAsia="宋体"/>
        </w:rPr>
      </w:r>
      <w:r>
        <w:rPr>
          <w:rFonts w:ascii="Times New Roman" w:hAnsi="Times New Roman" w:eastAsia="宋体"/>
          <w:b/>
        </w:rPr>
        <w:t>用户交互层</w:t>
      </w:r>
      <w:r>
        <w:rPr>
          <w:rFonts w:ascii="Times New Roman" w:hAnsi="Times New Roman" w:eastAsia="宋体"/>
        </w:rPr>
        <w:t>：基于 Gradio 框架构建 Web 界面，提供参数控制与结果可视化。</w:t>
      </w:r>
    </w:p>
    <w:p>
      <w:pPr>
        <w:spacing w:line="360" w:lineRule="auto"/>
        <w:ind w:firstLine="432"/>
      </w:pPr>
      <w:r>
        <w:rPr>
          <w:rFonts w:ascii="Times New Roman" w:hAnsi="Times New Roman" w:eastAsia="宋体"/>
        </w:rPr>
        <w:t>系统采用分层模块化架构，自上而下分为三层：用户交互层、核心仿真引擎层、数据与可视化层。</w:t>
      </w:r>
    </w:p>
    <w:p>
      <w:pPr>
        <w:pStyle w:val="Heading4"/>
      </w:pPr>
      <w:r>
        <w:rPr>
          <w:b/>
          <w:sz w:val="22"/>
        </w:rPr>
        <w:t>（1）系统架构</w:t>
      </w:r>
    </w:p>
    <w:p>
      <w:pPr>
        <w:pStyle w:val="Heading3"/>
      </w:pPr>
      <w:r>
        <w:rPr>
          <w:b/>
          <w:sz w:val="24"/>
        </w:rPr>
        <w:t>2.1 实现原理</w:t>
      </w:r>
    </w:p>
    <w:p>
      <w:pPr>
        <w:pStyle w:val="Heading2"/>
      </w:pPr>
      <w:r>
        <w:rPr>
          <w:b/>
          <w:sz w:val="28"/>
        </w:rPr>
        <w:t>2. 设计与实现方案</w:t>
      </w:r>
    </w:p>
    <w:p>
      <w:pPr>
        <w:pStyle w:val="Heading2"/>
        <w:spacing w:before="240" w:after="120"/>
      </w:pPr>
      <w:r>
        <w:rPr>
          <w:rFonts w:ascii="黑体" w:hAnsi="黑体" w:eastAsia="黑体"/>
          <w:b/>
          <w:sz w:val="28"/>
        </w:rPr>
        <w:t>2.2 运行结果</w:t>
      </w:r>
    </w:p>
    <w:p>
      <w:pPr>
        <w:spacing w:line="360" w:lineRule="auto" w:after="120"/>
        <w:ind w:firstLine="720"/>
      </w:pPr>
      <w:r>
        <w:rPr>
          <w:rFonts w:ascii="宋体" w:hAnsi="宋体" w:eastAsia="宋体"/>
          <w:b w:val="0"/>
          <w:sz w:val="21"/>
        </w:rPr>
        <w:t>系统运行后的典型场景实测数据如下：</w:t>
      </w:r>
    </w:p>
    <w:p>
      <w:pPr>
        <w:pStyle w:val="ListBullet"/>
        <w:spacing w:line="360" w:lineRule="auto" w:after="60"/>
        <w:ind w:left="720"/>
      </w:pPr>
      <w:r>
        <w:rPr>
          <w:rFonts w:ascii="宋体" w:hAnsi="宋体" w:eastAsia="宋体"/>
          <w:b w:val="0"/>
          <w:sz w:val="21"/>
        </w:rPr>
        <w:t>无攻击理想场景（透射率100%）：QBER约0.29%，筛选密钥率约14000 kbps，安全等级HIGH。此场景用于验证协议正确性，实际星地链路中不可达到。</w:t>
      </w:r>
    </w:p>
    <w:p>
      <w:pPr>
        <w:pStyle w:val="ListBullet"/>
        <w:spacing w:line="360" w:lineRule="auto" w:after="60"/>
        <w:ind w:left="720"/>
      </w:pPr>
      <w:r>
        <w:rPr>
          <w:rFonts w:ascii="宋体" w:hAnsi="宋体" w:eastAsia="宋体"/>
          <w:b w:val="0"/>
          <w:sz w:val="21"/>
        </w:rPr>
        <w:t>无攻击良好信道（透射率10%，约400km天顶）：QBER约0.65%，筛选密钥率约1550 kbps。经隐私放大后安全密钥率约33.5 kbps（由信道模型估算）。</w:t>
      </w:r>
    </w:p>
    <w:p>
      <w:pPr>
        <w:pStyle w:val="ListBullet"/>
        <w:spacing w:line="360" w:lineRule="auto" w:after="60"/>
        <w:ind w:left="720"/>
      </w:pPr>
      <w:r>
        <w:rPr>
          <w:rFonts w:ascii="宋体" w:hAnsi="宋体" w:eastAsia="宋体"/>
          <w:b w:val="0"/>
          <w:sz w:val="21"/>
        </w:rPr>
        <w:t>截获-重发攻击50%强度：QBER升至约9.33%，Eve信息比例约39.3%，系统安全等级降至LOW，安全密钥长度归零。</w:t>
      </w:r>
    </w:p>
    <w:p>
      <w:pPr>
        <w:pStyle w:val="ListBullet"/>
        <w:spacing w:line="360" w:lineRule="auto" w:after="60"/>
        <w:ind w:left="720"/>
      </w:pPr>
      <w:r>
        <w:rPr>
          <w:rFonts w:ascii="宋体" w:hAnsi="宋体" w:eastAsia="宋体"/>
          <w:b w:val="0"/>
          <w:sz w:val="21"/>
        </w:rPr>
        <w:t>光束分离攻击30%分光比：QBER维持约0%，但Eve信息比例约16.2%，隐私放大后安全密钥率显著下降。</w:t>
      </w:r>
    </w:p>
    <w:p>
      <w:pPr>
        <w:pStyle w:val="ListBullet"/>
        <w:spacing w:line="360" w:lineRule="auto" w:after="60"/>
        <w:ind w:left="720"/>
      </w:pPr>
      <w:r>
        <w:rPr>
          <w:rFonts w:ascii="宋体" w:hAnsi="宋体" w:eastAsia="宋体"/>
          <w:b w:val="0"/>
          <w:sz w:val="21"/>
        </w:rPr>
        <w:t>PNS攻击：QBER约0.81%，Eve信息比例约14.5%，系统可通过诱骗态协议检测产额异常。</w:t>
      </w:r>
    </w:p>
    <w:p>
      <w:pPr>
        <w:pStyle w:val="Heading2"/>
        <w:spacing w:before="240" w:after="120"/>
      </w:pPr>
      <w:r>
        <w:rPr>
          <w:rFonts w:ascii="黑体" w:hAnsi="黑体" w:eastAsia="黑体"/>
          <w:b/>
          <w:sz w:val="28"/>
        </w:rPr>
        <w:t>2.3 技术指标</w:t>
      </w:r>
    </w:p>
    <w:p>
      <w:pPr>
        <w:spacing w:line="360" w:lineRule="auto" w:after="120"/>
        <w:ind w:firstLine="720"/>
      </w:pPr>
      <w:r>
        <w:rPr>
          <w:rFonts w:ascii="宋体" w:hAnsi="宋体" w:eastAsia="宋体"/>
          <w:b w:val="0"/>
          <w:sz w:val="21"/>
        </w:rPr>
        <w:t>系统关键技术指标如下：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1"/>
              </w:rPr>
              <w:t>技术指标</w:t>
            </w:r>
          </w:p>
        </w:tc>
        <w:tc>
          <w:tcPr>
            <w:tcW w:type="dxa" w:w="2880"/>
          </w:tcPr>
          <w:p>
            <w:pPr>
              <w:jc w:val="center"/>
            </w:pPr>
            <w:r>
              <w:rPr>
                <w:rFonts w:ascii="黑体" w:hAnsi="黑体" w:eastAsia="黑体"/>
                <w:b/>
                <w:sz w:val="21"/>
              </w:rPr>
              <w:t>数值/范围</w:t>
            </w:r>
          </w:p>
        </w:tc>
        <w:tc>
          <w:tcPr>
            <w:tcW w:type="dxa" w:w="2880"/>
          </w:tcPr>
          <w:p>
            <w:pPr>
              <w:jc w:val="center"/>
            </w:pPr>
            <w:r>
              <w:rPr>
                <w:rFonts w:ascii="黑体" w:hAnsi="黑体" w:eastAsia="黑体"/>
                <w:b/>
                <w:sz w:val="21"/>
              </w:rPr>
              <w:t>说明</w:t>
            </w:r>
          </w:p>
        </w:tc>
      </w:tr>
      <w:tr>
        <w:tc>
          <w:tcPr>
            <w:tcW w:type="dxa" w:w="2880"/>
          </w:tcPr>
          <w:p>
            <w:pPr>
              <w:jc w:val="center"/>
            </w:pPr>
            <w:r>
              <w:rPr>
                <w:rFonts w:ascii="宋体" w:hAnsi="宋体" w:eastAsia="宋体"/>
                <w:b w:val="0"/>
                <w:sz w:val="21"/>
              </w:rPr>
              <w:t>脉冲重复频率</w:t>
            </w:r>
          </w:p>
        </w:tc>
        <w:tc>
          <w:tcPr>
            <w:tcW w:type="dxa" w:w="2880"/>
          </w:tcPr>
          <w:p>
            <w:pPr>
              <w:jc w:val="center"/>
            </w:pPr>
            <w:r>
              <w:rPr>
                <w:rFonts w:ascii="宋体" w:hAnsi="宋体" w:eastAsia="宋体"/>
                <w:b w:val="0"/>
                <w:sz w:val="21"/>
              </w:rPr>
              <w:t>100 MHz</w:t>
            </w:r>
          </w:p>
        </w:tc>
        <w:tc>
          <w:tcPr>
            <w:tcW w:type="dxa" w:w="2880"/>
          </w:tcPr>
          <w:p>
            <w:pPr>
              <w:jc w:val="center"/>
            </w:pPr>
            <w:r>
              <w:rPr>
                <w:rFonts w:ascii="宋体" w:hAnsi="宋体" w:eastAsia="宋体"/>
                <w:b w:val="0"/>
                <w:sz w:val="21"/>
              </w:rPr>
              <w:t>弱脉冲光源</w:t>
            </w:r>
          </w:p>
        </w:tc>
      </w:tr>
      <w:tr>
        <w:tc>
          <w:tcPr>
            <w:tcW w:type="dxa" w:w="2880"/>
          </w:tcPr>
          <w:p>
            <w:pPr>
              <w:jc w:val="center"/>
            </w:pPr>
            <w:r>
              <w:rPr>
                <w:rFonts w:ascii="宋体" w:hAnsi="宋体" w:eastAsia="宋体"/>
                <w:b w:val="0"/>
                <w:sz w:val="21"/>
              </w:rPr>
              <w:t>平均光子数 mu</w:t>
            </w:r>
          </w:p>
        </w:tc>
        <w:tc>
          <w:tcPr>
            <w:tcW w:type="dxa" w:w="2880"/>
          </w:tcPr>
          <w:p>
            <w:pPr>
              <w:jc w:val="center"/>
            </w:pPr>
            <w:r>
              <w:rPr>
                <w:rFonts w:ascii="宋体" w:hAnsi="宋体" w:eastAsia="宋体"/>
                <w:b w:val="0"/>
                <w:sz w:val="21"/>
              </w:rPr>
              <w:t>0.8</w:t>
            </w:r>
          </w:p>
        </w:tc>
        <w:tc>
          <w:tcPr>
            <w:tcW w:type="dxa" w:w="2880"/>
          </w:tcPr>
          <w:p>
            <w:pPr>
              <w:jc w:val="center"/>
            </w:pPr>
            <w:r>
              <w:rPr>
                <w:rFonts w:ascii="宋体" w:hAnsi="宋体" w:eastAsia="宋体"/>
                <w:b w:val="0"/>
                <w:sz w:val="21"/>
              </w:rPr>
              <w:t>兼顾计数率与多光子比例</w:t>
            </w:r>
          </w:p>
        </w:tc>
      </w:tr>
      <w:tr>
        <w:tc>
          <w:tcPr>
            <w:tcW w:type="dxa" w:w="2880"/>
          </w:tcPr>
          <w:p>
            <w:pPr>
              <w:jc w:val="center"/>
            </w:pPr>
            <w:r>
              <w:rPr>
                <w:rFonts w:ascii="宋体" w:hAnsi="宋体" w:eastAsia="宋体"/>
                <w:b w:val="0"/>
                <w:sz w:val="21"/>
              </w:rPr>
              <w:t>探测器效率</w:t>
            </w:r>
          </w:p>
        </w:tc>
        <w:tc>
          <w:tcPr>
            <w:tcW w:type="dxa" w:w="2880"/>
          </w:tcPr>
          <w:p>
            <w:pPr>
              <w:jc w:val="center"/>
            </w:pPr>
            <w:r>
              <w:rPr>
                <w:rFonts w:ascii="宋体" w:hAnsi="宋体" w:eastAsia="宋体"/>
                <w:b w:val="0"/>
                <w:sz w:val="21"/>
              </w:rPr>
              <w:t>40%</w:t>
            </w:r>
          </w:p>
        </w:tc>
        <w:tc>
          <w:tcPr>
            <w:tcW w:type="dxa" w:w="2880"/>
          </w:tcPr>
          <w:p>
            <w:pPr>
              <w:jc w:val="center"/>
            </w:pPr>
            <w:r>
              <w:rPr>
                <w:rFonts w:ascii="宋体" w:hAnsi="宋体" w:eastAsia="宋体"/>
                <w:b w:val="0"/>
                <w:sz w:val="21"/>
              </w:rPr>
              <w:t>单光子探测器</w:t>
            </w:r>
          </w:p>
        </w:tc>
      </w:tr>
      <w:tr>
        <w:tc>
          <w:tcPr>
            <w:tcW w:type="dxa" w:w="2880"/>
          </w:tcPr>
          <w:p>
            <w:pPr>
              <w:jc w:val="center"/>
            </w:pPr>
            <w:r>
              <w:rPr>
                <w:rFonts w:ascii="宋体" w:hAnsi="宋体" w:eastAsia="宋体"/>
                <w:b w:val="0"/>
                <w:sz w:val="21"/>
              </w:rPr>
              <w:t>最大可接受QBER</w:t>
            </w:r>
          </w:p>
        </w:tc>
        <w:tc>
          <w:tcPr>
            <w:tcW w:type="dxa" w:w="2880"/>
          </w:tcPr>
          <w:p>
            <w:pPr>
              <w:jc w:val="center"/>
            </w:pPr>
            <w:r>
              <w:rPr>
                <w:rFonts w:ascii="宋体" w:hAnsi="宋体" w:eastAsia="宋体"/>
                <w:b w:val="0"/>
                <w:sz w:val="21"/>
              </w:rPr>
              <w:t>11%</w:t>
            </w:r>
          </w:p>
        </w:tc>
        <w:tc>
          <w:tcPr>
            <w:tcW w:type="dxa" w:w="2880"/>
          </w:tcPr>
          <w:p>
            <w:pPr>
              <w:jc w:val="center"/>
            </w:pPr>
            <w:r>
              <w:rPr>
                <w:rFonts w:ascii="宋体" w:hAnsi="宋体" w:eastAsia="宋体"/>
                <w:b w:val="0"/>
                <w:sz w:val="21"/>
              </w:rPr>
              <w:t>BB84协议安全阈值</w:t>
            </w:r>
          </w:p>
        </w:tc>
      </w:tr>
      <w:tr>
        <w:tc>
          <w:tcPr>
            <w:tcW w:type="dxa" w:w="2880"/>
          </w:tcPr>
          <w:p>
            <w:pPr>
              <w:jc w:val="center"/>
            </w:pPr>
            <w:r>
              <w:rPr>
                <w:rFonts w:ascii="宋体" w:hAnsi="宋体" w:eastAsia="宋体"/>
                <w:b w:val="0"/>
                <w:sz w:val="21"/>
              </w:rPr>
              <w:t>通信波长</w:t>
            </w:r>
          </w:p>
        </w:tc>
        <w:tc>
          <w:tcPr>
            <w:tcW w:type="dxa" w:w="2880"/>
          </w:tcPr>
          <w:p>
            <w:pPr>
              <w:jc w:val="center"/>
            </w:pPr>
            <w:r>
              <w:rPr>
                <w:rFonts w:ascii="宋体" w:hAnsi="宋体" w:eastAsia="宋体"/>
                <w:b w:val="0"/>
                <w:sz w:val="21"/>
              </w:rPr>
              <w:t>850 nm</w:t>
            </w:r>
          </w:p>
        </w:tc>
        <w:tc>
          <w:tcPr>
            <w:tcW w:type="dxa" w:w="2880"/>
          </w:tcPr>
          <w:p>
            <w:pPr>
              <w:jc w:val="center"/>
            </w:pPr>
            <w:r>
              <w:rPr>
                <w:rFonts w:ascii="宋体" w:hAnsi="宋体" w:eastAsia="宋体"/>
                <w:b w:val="0"/>
                <w:sz w:val="21"/>
              </w:rPr>
              <w:t>大气窗口</w:t>
            </w:r>
          </w:p>
        </w:tc>
      </w:tr>
      <w:tr>
        <w:tc>
          <w:tcPr>
            <w:tcW w:type="dxa" w:w="2880"/>
          </w:tcPr>
          <w:p>
            <w:pPr>
              <w:jc w:val="center"/>
            </w:pPr>
            <w:r>
              <w:rPr>
                <w:rFonts w:ascii="宋体" w:hAnsi="宋体" w:eastAsia="宋体"/>
                <w:b w:val="0"/>
                <w:sz w:val="21"/>
              </w:rPr>
              <w:t>暗计数率</w:t>
            </w:r>
          </w:p>
        </w:tc>
        <w:tc>
          <w:tcPr>
            <w:tcW w:type="dxa" w:w="2880"/>
          </w:tcPr>
          <w:p>
            <w:pPr>
              <w:jc w:val="center"/>
            </w:pPr>
            <w:r>
              <w:rPr>
                <w:rFonts w:ascii="宋体" w:hAnsi="宋体" w:eastAsia="宋体"/>
                <w:b w:val="0"/>
                <w:sz w:val="21"/>
              </w:rPr>
              <w:t>50 Hz</w:t>
            </w:r>
          </w:p>
        </w:tc>
        <w:tc>
          <w:tcPr>
            <w:tcW w:type="dxa" w:w="2880"/>
          </w:tcPr>
          <w:p>
            <w:pPr>
              <w:jc w:val="center"/>
            </w:pPr>
            <w:r>
              <w:rPr>
                <w:rFonts w:ascii="宋体" w:hAnsi="宋体" w:eastAsia="宋体"/>
                <w:b w:val="0"/>
                <w:sz w:val="21"/>
              </w:rPr>
              <w:t>探测器暗噪声</w:t>
            </w:r>
          </w:p>
        </w:tc>
      </w:tr>
    </w:tbl>
    <w:p/>
    <w:p>
      <w:pPr>
        <w:pStyle w:val="Heading1"/>
        <w:spacing w:before="240" w:after="120"/>
        <w:jc w:val="center"/>
      </w:pPr>
      <w:r>
        <w:rPr>
          <w:rFonts w:ascii="黑体" w:hAnsi="黑体" w:eastAsia="黑体"/>
          <w:b/>
          <w:sz w:val="32"/>
        </w:rPr>
        <w:t>3. 系统测试与结果</w:t>
      </w:r>
    </w:p>
    <w:p>
      <w:pPr>
        <w:pStyle w:val="Heading2"/>
        <w:spacing w:before="240" w:after="120"/>
      </w:pPr>
      <w:r>
        <w:rPr>
          <w:rFonts w:ascii="黑体" w:hAnsi="黑体" w:eastAsia="黑体"/>
          <w:b/>
          <w:sz w:val="28"/>
        </w:rPr>
        <w:t>3.1 测试方案</w:t>
      </w:r>
    </w:p>
    <w:p>
      <w:pPr>
        <w:spacing w:line="360" w:lineRule="auto" w:after="120"/>
        <w:ind w:firstLine="720"/>
      </w:pPr>
      <w:r>
        <w:rPr>
          <w:rFonts w:ascii="宋体" w:hAnsi="宋体" w:eastAsia="宋体"/>
          <w:b w:val="0"/>
          <w:sz w:val="21"/>
        </w:rPr>
        <w:t>测试采用模块化分级策略：单元测试覆盖各独立模块（QKD核心、攻击模块、防御模块），集成测试验证全链路数据流，性能测试通过多次运行取统计平均。测试环境：Python 3.11，NumPy 1.26，Gradio 3.50+，Windows操作系统。性能测试使用time.perf_counter()计时，每项运行10次取均值与标准差。</w:t>
      </w:r>
    </w:p>
    <w:p>
      <w:pPr>
        <w:pStyle w:val="Heading2"/>
        <w:spacing w:before="240" w:after="120"/>
      </w:pPr>
      <w:r>
        <w:rPr>
          <w:rFonts w:ascii="黑体" w:hAnsi="黑体" w:eastAsia="黑体"/>
          <w:b/>
          <w:sz w:val="28"/>
        </w:rPr>
        <w:t>3.2 功能测试</w:t>
      </w:r>
    </w:p>
    <w:p>
      <w:pPr>
        <w:spacing w:line="360" w:lineRule="auto" w:after="120"/>
        <w:ind w:firstLine="720"/>
      </w:pPr>
      <w:r>
        <w:rPr>
          <w:rFonts w:ascii="宋体" w:hAnsi="宋体" w:eastAsia="宋体"/>
          <w:b w:val="0"/>
          <w:sz w:val="21"/>
        </w:rPr>
        <w:t>功能测试结果汇总：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1"/>
              </w:rPr>
              <w:t>测试项</w:t>
            </w:r>
          </w:p>
        </w:tc>
        <w:tc>
          <w:tcPr>
            <w:tcW w:type="dxa" w:w="2880"/>
          </w:tcPr>
          <w:p>
            <w:pPr>
              <w:jc w:val="center"/>
            </w:pPr>
            <w:r>
              <w:rPr>
                <w:rFonts w:ascii="黑体" w:hAnsi="黑体" w:eastAsia="黑体"/>
                <w:b/>
                <w:sz w:val="21"/>
              </w:rPr>
              <w:t>测试方法</w:t>
            </w:r>
          </w:p>
        </w:tc>
        <w:tc>
          <w:tcPr>
            <w:tcW w:type="dxa" w:w="2880"/>
          </w:tcPr>
          <w:p>
            <w:pPr>
              <w:jc w:val="center"/>
            </w:pPr>
            <w:r>
              <w:rPr>
                <w:rFonts w:ascii="黑体" w:hAnsi="黑体" w:eastAsia="黑体"/>
                <w:b/>
                <w:sz w:val="21"/>
              </w:rPr>
              <w:t>通过标准/结果</w:t>
            </w:r>
          </w:p>
        </w:tc>
      </w:tr>
      <w:tr>
        <w:tc>
          <w:tcPr>
            <w:tcW w:type="dxa" w:w="2880"/>
          </w:tcPr>
          <w:p>
            <w:pPr>
              <w:jc w:val="center"/>
            </w:pPr>
            <w:r>
              <w:rPr>
                <w:rFonts w:ascii="宋体" w:hAnsi="宋体" w:eastAsia="宋体"/>
                <w:b w:val="0"/>
                <w:sz w:val="21"/>
              </w:rPr>
              <w:t>基础QKD仿真</w:t>
            </w:r>
          </w:p>
        </w:tc>
        <w:tc>
          <w:tcPr>
            <w:tcW w:type="dxa" w:w="2880"/>
          </w:tcPr>
          <w:p>
            <w:pPr>
              <w:jc w:val="center"/>
            </w:pPr>
            <w:r>
              <w:rPr>
                <w:rFonts w:ascii="宋体" w:hAnsi="宋体" w:eastAsia="宋体"/>
                <w:b w:val="0"/>
                <w:sz w:val="21"/>
              </w:rPr>
              <w:t>运行10000脉冲无攻击场景</w:t>
            </w:r>
          </w:p>
        </w:tc>
        <w:tc>
          <w:tcPr>
            <w:tcW w:type="dxa" w:w="2880"/>
          </w:tcPr>
          <w:p>
            <w:pPr>
              <w:jc w:val="center"/>
            </w:pPr>
            <w:r>
              <w:rPr>
                <w:rFonts w:ascii="宋体" w:hAnsi="宋体" w:eastAsia="宋体"/>
                <w:b w:val="0"/>
                <w:sz w:val="21"/>
              </w:rPr>
              <w:t>QBER&lt;1%，筛选密钥率&gt;0，通过</w:t>
            </w:r>
          </w:p>
        </w:tc>
      </w:tr>
      <w:tr>
        <w:tc>
          <w:tcPr>
            <w:tcW w:type="dxa" w:w="2880"/>
          </w:tcPr>
          <w:p>
            <w:pPr>
              <w:jc w:val="center"/>
            </w:pPr>
            <w:r>
              <w:rPr>
                <w:rFonts w:ascii="宋体" w:hAnsi="宋体" w:eastAsia="宋体"/>
                <w:b w:val="0"/>
                <w:sz w:val="21"/>
              </w:rPr>
              <w:t>攻击检测</w:t>
            </w:r>
          </w:p>
        </w:tc>
        <w:tc>
          <w:tcPr>
            <w:tcW w:type="dxa" w:w="2880"/>
          </w:tcPr>
          <w:p>
            <w:pPr>
              <w:jc w:val="center"/>
            </w:pPr>
            <w:r>
              <w:rPr>
                <w:rFonts w:ascii="宋体" w:hAnsi="宋体" w:eastAsia="宋体"/>
                <w:b w:val="0"/>
                <w:sz w:val="21"/>
              </w:rPr>
              <w:t>分别启用三类攻击</w:t>
            </w:r>
          </w:p>
        </w:tc>
        <w:tc>
          <w:tcPr>
            <w:tcW w:type="dxa" w:w="2880"/>
          </w:tcPr>
          <w:p>
            <w:pPr>
              <w:jc w:val="center"/>
            </w:pPr>
            <w:r>
              <w:rPr>
                <w:rFonts w:ascii="宋体" w:hAnsi="宋体" w:eastAsia="宋体"/>
                <w:b w:val="0"/>
                <w:sz w:val="21"/>
              </w:rPr>
              <w:t>截获重发QBER&gt;9%（50%强度），通过</w:t>
            </w:r>
          </w:p>
        </w:tc>
      </w:tr>
      <w:tr>
        <w:tc>
          <w:tcPr>
            <w:tcW w:type="dxa" w:w="2880"/>
          </w:tcPr>
          <w:p>
            <w:pPr>
              <w:jc w:val="center"/>
            </w:pPr>
            <w:r>
              <w:rPr>
                <w:rFonts w:ascii="宋体" w:hAnsi="宋体" w:eastAsia="宋体"/>
                <w:b w:val="0"/>
                <w:sz w:val="21"/>
              </w:rPr>
              <w:t>隐私放大</w:t>
            </w:r>
          </w:p>
        </w:tc>
        <w:tc>
          <w:tcPr>
            <w:tcW w:type="dxa" w:w="2880"/>
          </w:tcPr>
          <w:p>
            <w:pPr>
              <w:jc w:val="center"/>
            </w:pPr>
            <w:r>
              <w:rPr>
                <w:rFonts w:ascii="宋体" w:hAnsi="宋体" w:eastAsia="宋体"/>
                <w:b w:val="0"/>
                <w:sz w:val="21"/>
              </w:rPr>
              <w:t>光束分离攻击+隐私放大</w:t>
            </w:r>
          </w:p>
        </w:tc>
        <w:tc>
          <w:tcPr>
            <w:tcW w:type="dxa" w:w="2880"/>
          </w:tcPr>
          <w:p>
            <w:pPr>
              <w:jc w:val="center"/>
            </w:pPr>
            <w:r>
              <w:rPr>
                <w:rFonts w:ascii="宋体" w:hAnsi="宋体" w:eastAsia="宋体"/>
                <w:b w:val="0"/>
                <w:sz w:val="21"/>
              </w:rPr>
              <w:t>QBER&lt;11%时返回安全密钥长度，通过</w:t>
            </w:r>
          </w:p>
        </w:tc>
      </w:tr>
      <w:tr>
        <w:tc>
          <w:tcPr>
            <w:tcW w:type="dxa" w:w="2880"/>
          </w:tcPr>
          <w:p>
            <w:pPr>
              <w:jc w:val="center"/>
            </w:pPr>
            <w:r>
              <w:rPr>
                <w:rFonts w:ascii="宋体" w:hAnsi="宋体" w:eastAsia="宋体"/>
                <w:b w:val="0"/>
                <w:sz w:val="21"/>
              </w:rPr>
              <w:t>诱骗态检测</w:t>
            </w:r>
          </w:p>
        </w:tc>
        <w:tc>
          <w:tcPr>
            <w:tcW w:type="dxa" w:w="2880"/>
          </w:tcPr>
          <w:p>
            <w:pPr>
              <w:jc w:val="center"/>
            </w:pPr>
            <w:r>
              <w:rPr>
                <w:rFonts w:ascii="宋体" w:hAnsi="宋体" w:eastAsia="宋体"/>
                <w:b w:val="0"/>
                <w:sz w:val="21"/>
              </w:rPr>
              <w:t>PNS攻击下比较产额比</w:t>
            </w:r>
          </w:p>
        </w:tc>
        <w:tc>
          <w:tcPr>
            <w:tcW w:type="dxa" w:w="2880"/>
          </w:tcPr>
          <w:p>
            <w:pPr>
              <w:jc w:val="center"/>
            </w:pPr>
            <w:r>
              <w:rPr>
                <w:rFonts w:ascii="宋体" w:hAnsi="宋体" w:eastAsia="宋体"/>
                <w:b w:val="0"/>
                <w:sz w:val="21"/>
              </w:rPr>
              <w:t>产额比异常时正确报警，通过</w:t>
            </w:r>
          </w:p>
        </w:tc>
      </w:tr>
      <w:tr>
        <w:tc>
          <w:tcPr>
            <w:tcW w:type="dxa" w:w="2880"/>
          </w:tcPr>
          <w:p>
            <w:pPr>
              <w:jc w:val="center"/>
            </w:pPr>
            <w:r>
              <w:rPr>
                <w:rFonts w:ascii="宋体" w:hAnsi="宋体" w:eastAsia="宋体"/>
                <w:b w:val="0"/>
                <w:sz w:val="21"/>
              </w:rPr>
              <w:t>信道模型</w:t>
            </w:r>
          </w:p>
        </w:tc>
        <w:tc>
          <w:tcPr>
            <w:tcW w:type="dxa" w:w="2880"/>
          </w:tcPr>
          <w:p>
            <w:pPr>
              <w:jc w:val="center"/>
            </w:pPr>
            <w:r>
              <w:rPr>
                <w:rFonts w:ascii="宋体" w:hAnsi="宋体" w:eastAsia="宋体"/>
                <w:b w:val="0"/>
                <w:sz w:val="21"/>
              </w:rPr>
              <w:t>不同距离/仰角/天气组合</w:t>
            </w:r>
          </w:p>
        </w:tc>
        <w:tc>
          <w:tcPr>
            <w:tcW w:type="dxa" w:w="2880"/>
          </w:tcPr>
          <w:p>
            <w:pPr>
              <w:jc w:val="center"/>
            </w:pPr>
            <w:r>
              <w:rPr>
                <w:rFonts w:ascii="宋体" w:hAnsi="宋体" w:eastAsia="宋体"/>
                <w:b w:val="0"/>
                <w:sz w:val="21"/>
              </w:rPr>
              <w:t>QBER和密钥率随信道恶化递减，通过</w:t>
            </w:r>
          </w:p>
        </w:tc>
      </w:tr>
    </w:tbl>
    <w:p/>
    <w:p>
      <w:pPr>
        <w:pStyle w:val="Heading2"/>
        <w:spacing w:before="240" w:after="120"/>
      </w:pPr>
      <w:r>
        <w:rPr>
          <w:rFonts w:ascii="黑体" w:hAnsi="黑体" w:eastAsia="黑体"/>
          <w:b/>
          <w:sz w:val="28"/>
        </w:rPr>
        <w:t>3.3 性能测试</w:t>
      </w:r>
    </w:p>
    <w:p>
      <w:pPr>
        <w:spacing w:line="360" w:lineRule="auto" w:after="120"/>
        <w:ind w:firstLine="720"/>
      </w:pPr>
      <w:r>
        <w:rPr>
          <w:rFonts w:ascii="宋体" w:hAnsi="宋体" w:eastAsia="宋体"/>
          <w:b w:val="0"/>
          <w:sz w:val="21"/>
        </w:rPr>
        <w:t>性能测试重点关注QKD核心计算延迟，测试结果如下：</w:t>
      </w:r>
    </w:p>
    <w:p>
      <w:pPr>
        <w:pStyle w:val="ListBullet"/>
        <w:spacing w:line="360" w:lineRule="auto" w:after="60"/>
        <w:ind w:left="720"/>
      </w:pPr>
      <w:r>
        <w:rPr>
          <w:rFonts w:ascii="宋体" w:hAnsi="宋体" w:eastAsia="宋体"/>
          <w:b w:val="0"/>
          <w:sz w:val="21"/>
        </w:rPr>
        <w:t>单次QKD仿真（10000脉冲）：在良好信道（透射率10%）下平均耗时约5.6 +/- 0.2 ms；在理想信道（透射率100%）下平均耗时约16.6 +/- 0.7 ms。差异主要源于理想信道下更多光子需要逐个模拟传输。</w:t>
      </w:r>
    </w:p>
    <w:p>
      <w:pPr>
        <w:pStyle w:val="ListBullet"/>
        <w:spacing w:line="360" w:lineRule="auto" w:after="60"/>
        <w:ind w:left="720"/>
      </w:pPr>
      <w:r>
        <w:rPr>
          <w:rFonts w:ascii="宋体" w:hAnsi="宋体" w:eastAsia="宋体"/>
          <w:b w:val="0"/>
          <w:sz w:val="21"/>
        </w:rPr>
        <w:t>攻击场景额外开销：截获-重发攻击增加约0.5ms（6.1ms vs 5.6ms），光束分离和PNS攻击几乎无额外开销，因为攻击逻辑为向量化NumPy操作。</w:t>
      </w:r>
    </w:p>
    <w:p>
      <w:pPr>
        <w:pStyle w:val="ListBullet"/>
        <w:spacing w:line="360" w:lineRule="auto" w:after="60"/>
        <w:ind w:left="720"/>
      </w:pPr>
      <w:r>
        <w:rPr>
          <w:rFonts w:ascii="宋体" w:hAnsi="宋体" w:eastAsia="宋体"/>
          <w:b w:val="0"/>
          <w:sz w:val="21"/>
        </w:rPr>
        <w:t>内存占用：单次仿真峰值内存增量可忽略（&lt;10MB），90分钟过境时间线（约5400点）缓存峰值约150-200MB。</w:t>
      </w:r>
    </w:p>
    <w:p>
      <w:pPr>
        <w:pStyle w:val="Heading2"/>
        <w:spacing w:before="240" w:after="120"/>
      </w:pPr>
      <w:r>
        <w:rPr>
          <w:rFonts w:ascii="黑体" w:hAnsi="黑体" w:eastAsia="黑体"/>
          <w:b/>
          <w:sz w:val="28"/>
        </w:rPr>
        <w:t>3.4 测试数据与结果</w:t>
      </w:r>
    </w:p>
    <w:p>
      <w:pPr>
        <w:spacing w:line="360" w:lineRule="auto" w:after="120"/>
        <w:ind w:firstLine="720"/>
      </w:pPr>
      <w:r>
        <w:rPr>
          <w:rFonts w:ascii="宋体" w:hAnsi="宋体" w:eastAsia="宋体"/>
          <w:b w:val="0"/>
          <w:sz w:val="21"/>
        </w:rPr>
        <w:t>表4给出了不同信道条件下的实测数据（10000脉冲仿真）：</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1"/>
              </w:rPr>
              <w:t>场景</w:t>
            </w:r>
          </w:p>
        </w:tc>
        <w:tc>
          <w:tcPr>
            <w:tcW w:type="dxa" w:w="1728"/>
          </w:tcPr>
          <w:p>
            <w:pPr>
              <w:jc w:val="center"/>
            </w:pPr>
            <w:r>
              <w:rPr>
                <w:rFonts w:ascii="黑体" w:hAnsi="黑体" w:eastAsia="黑体"/>
                <w:b/>
                <w:sz w:val="21"/>
              </w:rPr>
              <w:t>透射率</w:t>
            </w:r>
          </w:p>
        </w:tc>
        <w:tc>
          <w:tcPr>
            <w:tcW w:type="dxa" w:w="1728"/>
          </w:tcPr>
          <w:p>
            <w:pPr>
              <w:jc w:val="center"/>
            </w:pPr>
            <w:r>
              <w:rPr>
                <w:rFonts w:ascii="黑体" w:hAnsi="黑体" w:eastAsia="黑体"/>
                <w:b/>
                <w:sz w:val="21"/>
              </w:rPr>
              <w:t>QBER</w:t>
            </w:r>
          </w:p>
        </w:tc>
        <w:tc>
          <w:tcPr>
            <w:tcW w:type="dxa" w:w="1728"/>
          </w:tcPr>
          <w:p>
            <w:pPr>
              <w:jc w:val="center"/>
            </w:pPr>
            <w:r>
              <w:rPr>
                <w:rFonts w:ascii="黑体" w:hAnsi="黑体" w:eastAsia="黑体"/>
                <w:b/>
                <w:sz w:val="21"/>
              </w:rPr>
              <w:t>筛选密钥率</w:t>
            </w:r>
          </w:p>
        </w:tc>
        <w:tc>
          <w:tcPr>
            <w:tcW w:type="dxa" w:w="1728"/>
          </w:tcPr>
          <w:p>
            <w:pPr>
              <w:jc w:val="center"/>
            </w:pPr>
            <w:r>
              <w:rPr>
                <w:rFonts w:ascii="黑体" w:hAnsi="黑体" w:eastAsia="黑体"/>
                <w:b/>
                <w:sz w:val="21"/>
              </w:rPr>
              <w:t>Eve信息比例</w:t>
            </w:r>
          </w:p>
        </w:tc>
      </w:tr>
      <w:tr>
        <w:tc>
          <w:tcPr>
            <w:tcW w:type="dxa" w:w="1728"/>
          </w:tcPr>
          <w:p>
            <w:pPr>
              <w:jc w:val="center"/>
            </w:pPr>
            <w:r>
              <w:rPr>
                <w:rFonts w:ascii="宋体" w:hAnsi="宋体" w:eastAsia="宋体"/>
                <w:b w:val="0"/>
                <w:sz w:val="21"/>
              </w:rPr>
              <w:t>理想信道</w:t>
            </w:r>
          </w:p>
        </w:tc>
        <w:tc>
          <w:tcPr>
            <w:tcW w:type="dxa" w:w="1728"/>
          </w:tcPr>
          <w:p>
            <w:pPr>
              <w:jc w:val="center"/>
            </w:pPr>
            <w:r>
              <w:rPr>
                <w:rFonts w:ascii="宋体" w:hAnsi="宋体" w:eastAsia="宋体"/>
                <w:b w:val="0"/>
                <w:sz w:val="21"/>
              </w:rPr>
              <w:t>100%</w:t>
            </w:r>
          </w:p>
        </w:tc>
        <w:tc>
          <w:tcPr>
            <w:tcW w:type="dxa" w:w="1728"/>
          </w:tcPr>
          <w:p>
            <w:pPr>
              <w:jc w:val="center"/>
            </w:pPr>
            <w:r>
              <w:rPr>
                <w:rFonts w:ascii="宋体" w:hAnsi="宋体" w:eastAsia="宋体"/>
                <w:b w:val="0"/>
                <w:sz w:val="21"/>
              </w:rPr>
              <w:t>0.29%</w:t>
            </w:r>
          </w:p>
        </w:tc>
        <w:tc>
          <w:tcPr>
            <w:tcW w:type="dxa" w:w="1728"/>
          </w:tcPr>
          <w:p>
            <w:pPr>
              <w:jc w:val="center"/>
            </w:pPr>
            <w:r>
              <w:rPr>
                <w:rFonts w:ascii="宋体" w:hAnsi="宋体" w:eastAsia="宋体"/>
                <w:b w:val="0"/>
                <w:sz w:val="21"/>
              </w:rPr>
              <w:t>~14000 kbps</w:t>
            </w:r>
          </w:p>
        </w:tc>
        <w:tc>
          <w:tcPr>
            <w:tcW w:type="dxa" w:w="1728"/>
          </w:tcPr>
          <w:p>
            <w:pPr>
              <w:jc w:val="center"/>
            </w:pPr>
            <w:r>
              <w:rPr>
                <w:rFonts w:ascii="宋体" w:hAnsi="宋体" w:eastAsia="宋体"/>
                <w:b w:val="0"/>
                <w:sz w:val="21"/>
              </w:rPr>
              <w:t>0%</w:t>
            </w:r>
          </w:p>
        </w:tc>
      </w:tr>
      <w:tr>
        <w:tc>
          <w:tcPr>
            <w:tcW w:type="dxa" w:w="1728"/>
          </w:tcPr>
          <w:p>
            <w:pPr>
              <w:jc w:val="center"/>
            </w:pPr>
            <w:r>
              <w:rPr>
                <w:rFonts w:ascii="宋体" w:hAnsi="宋体" w:eastAsia="宋体"/>
                <w:b w:val="0"/>
                <w:sz w:val="21"/>
              </w:rPr>
              <w:t>良好信道（400km天顶）</w:t>
            </w:r>
          </w:p>
        </w:tc>
        <w:tc>
          <w:tcPr>
            <w:tcW w:type="dxa" w:w="1728"/>
          </w:tcPr>
          <w:p>
            <w:pPr>
              <w:jc w:val="center"/>
            </w:pPr>
            <w:r>
              <w:rPr>
                <w:rFonts w:ascii="宋体" w:hAnsi="宋体" w:eastAsia="宋体"/>
                <w:b w:val="0"/>
                <w:sz w:val="21"/>
              </w:rPr>
              <w:t>10%</w:t>
            </w:r>
          </w:p>
        </w:tc>
        <w:tc>
          <w:tcPr>
            <w:tcW w:type="dxa" w:w="1728"/>
          </w:tcPr>
          <w:p>
            <w:pPr>
              <w:jc w:val="center"/>
            </w:pPr>
            <w:r>
              <w:rPr>
                <w:rFonts w:ascii="宋体" w:hAnsi="宋体" w:eastAsia="宋体"/>
                <w:b w:val="0"/>
                <w:sz w:val="21"/>
              </w:rPr>
              <w:t>0.65%</w:t>
            </w:r>
          </w:p>
        </w:tc>
        <w:tc>
          <w:tcPr>
            <w:tcW w:type="dxa" w:w="1728"/>
          </w:tcPr>
          <w:p>
            <w:pPr>
              <w:jc w:val="center"/>
            </w:pPr>
            <w:r>
              <w:rPr>
                <w:rFonts w:ascii="宋体" w:hAnsi="宋体" w:eastAsia="宋体"/>
                <w:b w:val="0"/>
                <w:sz w:val="21"/>
              </w:rPr>
              <w:t>~1550 kbps</w:t>
            </w:r>
          </w:p>
        </w:tc>
        <w:tc>
          <w:tcPr>
            <w:tcW w:type="dxa" w:w="1728"/>
          </w:tcPr>
          <w:p>
            <w:pPr>
              <w:jc w:val="center"/>
            </w:pPr>
            <w:r>
              <w:rPr>
                <w:rFonts w:ascii="宋体" w:hAnsi="宋体" w:eastAsia="宋体"/>
                <w:b w:val="0"/>
                <w:sz w:val="21"/>
              </w:rPr>
              <w:t>0%</w:t>
            </w:r>
          </w:p>
        </w:tc>
      </w:tr>
      <w:tr>
        <w:tc>
          <w:tcPr>
            <w:tcW w:type="dxa" w:w="1728"/>
          </w:tcPr>
          <w:p>
            <w:pPr>
              <w:jc w:val="center"/>
            </w:pPr>
            <w:r>
              <w:rPr>
                <w:rFonts w:ascii="宋体" w:hAnsi="宋体" w:eastAsia="宋体"/>
                <w:b w:val="0"/>
                <w:sz w:val="21"/>
              </w:rPr>
              <w:t>中等信道（1%透射率）</w:t>
            </w:r>
          </w:p>
        </w:tc>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0.00%</w:t>
            </w:r>
          </w:p>
        </w:tc>
        <w:tc>
          <w:tcPr>
            <w:tcW w:type="dxa" w:w="1728"/>
          </w:tcPr>
          <w:p>
            <w:pPr>
              <w:jc w:val="center"/>
            </w:pPr>
            <w:r>
              <w:rPr>
                <w:rFonts w:ascii="宋体" w:hAnsi="宋体" w:eastAsia="宋体"/>
                <w:b w:val="0"/>
                <w:sz w:val="21"/>
              </w:rPr>
              <w:t>~180 kbps</w:t>
            </w:r>
          </w:p>
        </w:tc>
        <w:tc>
          <w:tcPr>
            <w:tcW w:type="dxa" w:w="1728"/>
          </w:tcPr>
          <w:p>
            <w:pPr>
              <w:jc w:val="center"/>
            </w:pPr>
            <w:r>
              <w:rPr>
                <w:rFonts w:ascii="宋体" w:hAnsi="宋体" w:eastAsia="宋体"/>
                <w:b w:val="0"/>
                <w:sz w:val="21"/>
              </w:rPr>
              <w:t>0%</w:t>
            </w:r>
          </w:p>
        </w:tc>
      </w:tr>
      <w:tr>
        <w:tc>
          <w:tcPr>
            <w:tcW w:type="dxa" w:w="1728"/>
          </w:tcPr>
          <w:p>
            <w:pPr>
              <w:jc w:val="center"/>
            </w:pPr>
            <w:r>
              <w:rPr>
                <w:rFonts w:ascii="宋体" w:hAnsi="宋体" w:eastAsia="宋体"/>
                <w:b w:val="0"/>
                <w:sz w:val="21"/>
              </w:rPr>
              <w:t>较差信道（0.1%透射率）</w:t>
            </w:r>
          </w:p>
        </w:tc>
        <w:tc>
          <w:tcPr>
            <w:tcW w:type="dxa" w:w="1728"/>
          </w:tcPr>
          <w:p>
            <w:pPr>
              <w:jc w:val="center"/>
            </w:pPr>
            <w:r>
              <w:rPr>
                <w:rFonts w:ascii="宋体" w:hAnsi="宋体" w:eastAsia="宋体"/>
                <w:b w:val="0"/>
                <w:sz w:val="21"/>
              </w:rPr>
              <w:t>0.1%</w:t>
            </w:r>
          </w:p>
        </w:tc>
        <w:tc>
          <w:tcPr>
            <w:tcW w:type="dxa" w:w="1728"/>
          </w:tcPr>
          <w:p>
            <w:pPr>
              <w:jc w:val="center"/>
            </w:pPr>
            <w:r>
              <w:rPr>
                <w:rFonts w:ascii="宋体" w:hAnsi="宋体" w:eastAsia="宋体"/>
                <w:b w:val="0"/>
                <w:sz w:val="21"/>
              </w:rPr>
              <w:t>0.00%</w:t>
            </w:r>
          </w:p>
        </w:tc>
        <w:tc>
          <w:tcPr>
            <w:tcW w:type="dxa" w:w="1728"/>
          </w:tcPr>
          <w:p>
            <w:pPr>
              <w:jc w:val="center"/>
            </w:pPr>
            <w:r>
              <w:rPr>
                <w:rFonts w:ascii="宋体" w:hAnsi="宋体" w:eastAsia="宋体"/>
                <w:b w:val="0"/>
                <w:sz w:val="21"/>
              </w:rPr>
              <w:t>0 kbps</w:t>
            </w:r>
          </w:p>
        </w:tc>
        <w:tc>
          <w:tcPr>
            <w:tcW w:type="dxa" w:w="1728"/>
          </w:tcPr>
          <w:p>
            <w:pPr>
              <w:jc w:val="center"/>
            </w:pPr>
            <w:r>
              <w:rPr>
                <w:rFonts w:ascii="宋体" w:hAnsi="宋体" w:eastAsia="宋体"/>
                <w:b w:val="0"/>
                <w:sz w:val="21"/>
              </w:rPr>
              <w:t>0%</w:t>
            </w:r>
          </w:p>
        </w:tc>
      </w:tr>
      <w:tr>
        <w:tc>
          <w:tcPr>
            <w:tcW w:type="dxa" w:w="1728"/>
          </w:tcPr>
          <w:p>
            <w:pPr>
              <w:jc w:val="center"/>
            </w:pPr>
            <w:r>
              <w:rPr>
                <w:rFonts w:ascii="宋体" w:hAnsi="宋体" w:eastAsia="宋体"/>
                <w:b w:val="0"/>
                <w:sz w:val="21"/>
              </w:rPr>
              <w:t>截获重发 50%</w:t>
            </w:r>
          </w:p>
        </w:tc>
        <w:tc>
          <w:tcPr>
            <w:tcW w:type="dxa" w:w="1728"/>
          </w:tcPr>
          <w:p>
            <w:pPr>
              <w:jc w:val="center"/>
            </w:pPr>
            <w:r>
              <w:rPr>
                <w:rFonts w:ascii="宋体" w:hAnsi="宋体" w:eastAsia="宋体"/>
                <w:b w:val="0"/>
                <w:sz w:val="21"/>
              </w:rPr>
              <w:t>10%</w:t>
            </w:r>
          </w:p>
        </w:tc>
        <w:tc>
          <w:tcPr>
            <w:tcW w:type="dxa" w:w="1728"/>
          </w:tcPr>
          <w:p>
            <w:pPr>
              <w:jc w:val="center"/>
            </w:pPr>
            <w:r>
              <w:rPr>
                <w:rFonts w:ascii="宋体" w:hAnsi="宋体" w:eastAsia="宋体"/>
                <w:b w:val="0"/>
                <w:sz w:val="21"/>
              </w:rPr>
              <w:t>9.33%</w:t>
            </w:r>
          </w:p>
        </w:tc>
        <w:tc>
          <w:tcPr>
            <w:tcW w:type="dxa" w:w="1728"/>
          </w:tcPr>
          <w:p>
            <w:pPr>
              <w:jc w:val="center"/>
            </w:pPr>
            <w:r>
              <w:rPr>
                <w:rFonts w:ascii="宋体" w:hAnsi="宋体" w:eastAsia="宋体"/>
                <w:b w:val="0"/>
                <w:sz w:val="21"/>
              </w:rPr>
              <w:t>~1500 kbps</w:t>
            </w:r>
          </w:p>
        </w:tc>
        <w:tc>
          <w:tcPr>
            <w:tcW w:type="dxa" w:w="1728"/>
          </w:tcPr>
          <w:p>
            <w:pPr>
              <w:jc w:val="center"/>
            </w:pPr>
            <w:r>
              <w:rPr>
                <w:rFonts w:ascii="宋体" w:hAnsi="宋体" w:eastAsia="宋体"/>
                <w:b w:val="0"/>
                <w:sz w:val="21"/>
              </w:rPr>
              <w:t>~39.3%</w:t>
            </w:r>
          </w:p>
        </w:tc>
      </w:tr>
      <w:tr>
        <w:tc>
          <w:tcPr>
            <w:tcW w:type="dxa" w:w="1728"/>
          </w:tcPr>
          <w:p>
            <w:pPr>
              <w:jc w:val="center"/>
            </w:pPr>
            <w:r>
              <w:rPr>
                <w:rFonts w:ascii="宋体" w:hAnsi="宋体" w:eastAsia="宋体"/>
                <w:b w:val="0"/>
                <w:sz w:val="21"/>
              </w:rPr>
              <w:t>光束分离 30%</w:t>
            </w:r>
          </w:p>
        </w:tc>
        <w:tc>
          <w:tcPr>
            <w:tcW w:type="dxa" w:w="1728"/>
          </w:tcPr>
          <w:p>
            <w:pPr>
              <w:jc w:val="center"/>
            </w:pPr>
            <w:r>
              <w:rPr>
                <w:rFonts w:ascii="宋体" w:hAnsi="宋体" w:eastAsia="宋体"/>
                <w:b w:val="0"/>
                <w:sz w:val="21"/>
              </w:rPr>
              <w:t>10%</w:t>
            </w:r>
          </w:p>
        </w:tc>
        <w:tc>
          <w:tcPr>
            <w:tcW w:type="dxa" w:w="1728"/>
          </w:tcPr>
          <w:p>
            <w:pPr>
              <w:jc w:val="center"/>
            </w:pPr>
            <w:r>
              <w:rPr>
                <w:rFonts w:ascii="宋体" w:hAnsi="宋体" w:eastAsia="宋体"/>
                <w:b w:val="0"/>
                <w:sz w:val="21"/>
              </w:rPr>
              <w:t>0.00%</w:t>
            </w:r>
          </w:p>
        </w:tc>
        <w:tc>
          <w:tcPr>
            <w:tcW w:type="dxa" w:w="1728"/>
          </w:tcPr>
          <w:p>
            <w:pPr>
              <w:jc w:val="center"/>
            </w:pPr>
            <w:r>
              <w:rPr>
                <w:rFonts w:ascii="宋体" w:hAnsi="宋体" w:eastAsia="宋体"/>
                <w:b w:val="0"/>
                <w:sz w:val="21"/>
              </w:rPr>
              <w:t>~1210 kbps</w:t>
            </w:r>
          </w:p>
        </w:tc>
        <w:tc>
          <w:tcPr>
            <w:tcW w:type="dxa" w:w="1728"/>
          </w:tcPr>
          <w:p>
            <w:pPr>
              <w:jc w:val="center"/>
            </w:pPr>
            <w:r>
              <w:rPr>
                <w:rFonts w:ascii="宋体" w:hAnsi="宋体" w:eastAsia="宋体"/>
                <w:b w:val="0"/>
                <w:sz w:val="21"/>
              </w:rPr>
              <w:t>~16.2%</w:t>
            </w:r>
          </w:p>
        </w:tc>
      </w:tr>
      <w:tr>
        <w:tc>
          <w:tcPr>
            <w:tcW w:type="dxa" w:w="1728"/>
          </w:tcPr>
          <w:p>
            <w:pPr>
              <w:jc w:val="center"/>
            </w:pPr>
            <w:r>
              <w:rPr>
                <w:rFonts w:ascii="宋体" w:hAnsi="宋体" w:eastAsia="宋体"/>
                <w:b w:val="0"/>
                <w:sz w:val="21"/>
              </w:rPr>
              <w:t>PNS攻击</w:t>
            </w:r>
          </w:p>
        </w:tc>
        <w:tc>
          <w:tcPr>
            <w:tcW w:type="dxa" w:w="1728"/>
          </w:tcPr>
          <w:p>
            <w:pPr>
              <w:jc w:val="center"/>
            </w:pPr>
            <w:r>
              <w:rPr>
                <w:rFonts w:ascii="宋体" w:hAnsi="宋体" w:eastAsia="宋体"/>
                <w:b w:val="0"/>
                <w:sz w:val="21"/>
              </w:rPr>
              <w:t>10%</w:t>
            </w:r>
          </w:p>
        </w:tc>
        <w:tc>
          <w:tcPr>
            <w:tcW w:type="dxa" w:w="1728"/>
          </w:tcPr>
          <w:p>
            <w:pPr>
              <w:jc w:val="center"/>
            </w:pPr>
            <w:r>
              <w:rPr>
                <w:rFonts w:ascii="宋体" w:hAnsi="宋体" w:eastAsia="宋体"/>
                <w:b w:val="0"/>
                <w:sz w:val="21"/>
              </w:rPr>
              <w:t>0.81%</w:t>
            </w:r>
          </w:p>
        </w:tc>
        <w:tc>
          <w:tcPr>
            <w:tcW w:type="dxa" w:w="1728"/>
          </w:tcPr>
          <w:p>
            <w:pPr>
              <w:jc w:val="center"/>
            </w:pPr>
            <w:r>
              <w:rPr>
                <w:rFonts w:ascii="宋体" w:hAnsi="宋体" w:eastAsia="宋体"/>
                <w:b w:val="0"/>
                <w:sz w:val="21"/>
              </w:rPr>
              <w:t>~1230 kbps</w:t>
            </w:r>
          </w:p>
        </w:tc>
        <w:tc>
          <w:tcPr>
            <w:tcW w:type="dxa" w:w="1728"/>
          </w:tcPr>
          <w:p>
            <w:pPr>
              <w:jc w:val="center"/>
            </w:pPr>
            <w:r>
              <w:rPr>
                <w:rFonts w:ascii="宋体" w:hAnsi="宋体" w:eastAsia="宋体"/>
                <w:b w:val="0"/>
                <w:sz w:val="21"/>
              </w:rPr>
              <w:t>~14.5%</w:t>
            </w:r>
          </w:p>
        </w:tc>
      </w:tr>
    </w:tbl>
    <w:p/>
    <w:p>
      <w:pPr>
        <w:spacing w:line="360" w:lineRule="auto" w:after="120"/>
        <w:ind w:firstLine="720"/>
      </w:pPr>
      <w:r>
        <w:rPr>
          <w:rFonts w:ascii="宋体" w:hAnsi="宋体" w:eastAsia="宋体"/>
          <w:b w:val="0"/>
          <w:sz w:val="21"/>
        </w:rPr>
        <w:t>表5给出了不同星地链路场景的信道分析结果（由channel_model模块计算）：</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1"/>
              </w:rPr>
              <w:t>场景</w:t>
            </w:r>
          </w:p>
        </w:tc>
        <w:tc>
          <w:tcPr>
            <w:tcW w:type="dxa" w:w="1728"/>
          </w:tcPr>
          <w:p>
            <w:pPr>
              <w:jc w:val="center"/>
            </w:pPr>
            <w:r>
              <w:rPr>
                <w:rFonts w:ascii="黑体" w:hAnsi="黑体" w:eastAsia="黑体"/>
                <w:b/>
                <w:sz w:val="21"/>
              </w:rPr>
              <w:t>距离/仰角</w:t>
            </w:r>
          </w:p>
        </w:tc>
        <w:tc>
          <w:tcPr>
            <w:tcW w:type="dxa" w:w="1728"/>
          </w:tcPr>
          <w:p>
            <w:pPr>
              <w:jc w:val="center"/>
            </w:pPr>
            <w:r>
              <w:rPr>
                <w:rFonts w:ascii="黑体" w:hAnsi="黑体" w:eastAsia="黑体"/>
                <w:b/>
                <w:sz w:val="21"/>
              </w:rPr>
              <w:t>总透射率</w:t>
            </w:r>
          </w:p>
        </w:tc>
        <w:tc>
          <w:tcPr>
            <w:tcW w:type="dxa" w:w="1728"/>
          </w:tcPr>
          <w:p>
            <w:pPr>
              <w:jc w:val="center"/>
            </w:pPr>
            <w:r>
              <w:rPr>
                <w:rFonts w:ascii="黑体" w:hAnsi="黑体" w:eastAsia="黑体"/>
                <w:b/>
                <w:sz w:val="21"/>
              </w:rPr>
              <w:t>QBER</w:t>
            </w:r>
          </w:p>
        </w:tc>
        <w:tc>
          <w:tcPr>
            <w:tcW w:type="dxa" w:w="1728"/>
          </w:tcPr>
          <w:p>
            <w:pPr>
              <w:jc w:val="center"/>
            </w:pPr>
            <w:r>
              <w:rPr>
                <w:rFonts w:ascii="黑体" w:hAnsi="黑体" w:eastAsia="黑体"/>
                <w:b/>
                <w:sz w:val="21"/>
              </w:rPr>
              <w:t>安全密钥率</w:t>
            </w:r>
          </w:p>
        </w:tc>
      </w:tr>
      <w:tr>
        <w:tc>
          <w:tcPr>
            <w:tcW w:type="dxa" w:w="1728"/>
          </w:tcPr>
          <w:p>
            <w:pPr>
              <w:jc w:val="center"/>
            </w:pPr>
            <w:r>
              <w:rPr>
                <w:rFonts w:ascii="宋体" w:hAnsi="宋体" w:eastAsia="宋体"/>
                <w:b w:val="0"/>
                <w:sz w:val="21"/>
              </w:rPr>
              <w:t>天顶，晴天</w:t>
            </w:r>
          </w:p>
        </w:tc>
        <w:tc>
          <w:tcPr>
            <w:tcW w:type="dxa" w:w="1728"/>
          </w:tcPr>
          <w:p>
            <w:pPr>
              <w:jc w:val="center"/>
            </w:pPr>
            <w:r>
              <w:rPr>
                <w:rFonts w:ascii="宋体" w:hAnsi="宋体" w:eastAsia="宋体"/>
                <w:b w:val="0"/>
                <w:sz w:val="21"/>
              </w:rPr>
              <w:t>400km / 90deg</w:t>
            </w:r>
          </w:p>
        </w:tc>
        <w:tc>
          <w:tcPr>
            <w:tcW w:type="dxa" w:w="1728"/>
          </w:tcPr>
          <w:p>
            <w:pPr>
              <w:jc w:val="center"/>
            </w:pPr>
            <w:r>
              <w:rPr>
                <w:rFonts w:ascii="宋体" w:hAnsi="宋体" w:eastAsia="宋体"/>
                <w:b w:val="0"/>
                <w:sz w:val="21"/>
              </w:rPr>
              <w:t>~1.00e-3</w:t>
            </w:r>
          </w:p>
        </w:tc>
        <w:tc>
          <w:tcPr>
            <w:tcW w:type="dxa" w:w="1728"/>
          </w:tcPr>
          <w:p>
            <w:pPr>
              <w:jc w:val="center"/>
            </w:pPr>
            <w:r>
              <w:rPr>
                <w:rFonts w:ascii="宋体" w:hAnsi="宋体" w:eastAsia="宋体"/>
                <w:b w:val="0"/>
                <w:sz w:val="21"/>
              </w:rPr>
              <w:t>~1.03%</w:t>
            </w:r>
          </w:p>
        </w:tc>
        <w:tc>
          <w:tcPr>
            <w:tcW w:type="dxa" w:w="1728"/>
          </w:tcPr>
          <w:p>
            <w:pPr>
              <w:jc w:val="center"/>
            </w:pPr>
            <w:r>
              <w:rPr>
                <w:rFonts w:ascii="宋体" w:hAnsi="宋体" w:eastAsia="宋体"/>
                <w:b w:val="0"/>
                <w:sz w:val="21"/>
              </w:rPr>
              <w:t>~33.5 kbps</w:t>
            </w:r>
          </w:p>
        </w:tc>
      </w:tr>
      <w:tr>
        <w:tc>
          <w:tcPr>
            <w:tcW w:type="dxa" w:w="1728"/>
          </w:tcPr>
          <w:p>
            <w:pPr>
              <w:jc w:val="center"/>
            </w:pPr>
            <w:r>
              <w:rPr>
                <w:rFonts w:ascii="宋体" w:hAnsi="宋体" w:eastAsia="宋体"/>
                <w:b w:val="0"/>
                <w:sz w:val="21"/>
              </w:rPr>
              <w:t>良好仰角，晴天</w:t>
            </w:r>
          </w:p>
        </w:tc>
        <w:tc>
          <w:tcPr>
            <w:tcW w:type="dxa" w:w="1728"/>
          </w:tcPr>
          <w:p>
            <w:pPr>
              <w:jc w:val="center"/>
            </w:pPr>
            <w:r>
              <w:rPr>
                <w:rFonts w:ascii="宋体" w:hAnsi="宋体" w:eastAsia="宋体"/>
                <w:b w:val="0"/>
                <w:sz w:val="21"/>
              </w:rPr>
              <w:t>500km / 30deg</w:t>
            </w:r>
          </w:p>
        </w:tc>
        <w:tc>
          <w:tcPr>
            <w:tcW w:type="dxa" w:w="1728"/>
          </w:tcPr>
          <w:p>
            <w:pPr>
              <w:jc w:val="center"/>
            </w:pPr>
            <w:r>
              <w:rPr>
                <w:rFonts w:ascii="宋体" w:hAnsi="宋体" w:eastAsia="宋体"/>
                <w:b w:val="0"/>
                <w:sz w:val="21"/>
              </w:rPr>
              <w:t>~2.56e-4</w:t>
            </w:r>
          </w:p>
        </w:tc>
        <w:tc>
          <w:tcPr>
            <w:tcW w:type="dxa" w:w="1728"/>
          </w:tcPr>
          <w:p>
            <w:pPr>
              <w:jc w:val="center"/>
            </w:pPr>
            <w:r>
              <w:rPr>
                <w:rFonts w:ascii="宋体" w:hAnsi="宋体" w:eastAsia="宋体"/>
                <w:b w:val="0"/>
                <w:sz w:val="21"/>
              </w:rPr>
              <w:t>~1.12%</w:t>
            </w:r>
          </w:p>
        </w:tc>
        <w:tc>
          <w:tcPr>
            <w:tcW w:type="dxa" w:w="1728"/>
          </w:tcPr>
          <w:p>
            <w:pPr>
              <w:jc w:val="center"/>
            </w:pPr>
            <w:r>
              <w:rPr>
                <w:rFonts w:ascii="宋体" w:hAnsi="宋体" w:eastAsia="宋体"/>
                <w:b w:val="0"/>
                <w:sz w:val="21"/>
              </w:rPr>
              <w:t>~8.4 kbps</w:t>
            </w:r>
          </w:p>
        </w:tc>
      </w:tr>
      <w:tr>
        <w:tc>
          <w:tcPr>
            <w:tcW w:type="dxa" w:w="1728"/>
          </w:tcPr>
          <w:p>
            <w:pPr>
              <w:jc w:val="center"/>
            </w:pPr>
            <w:r>
              <w:rPr>
                <w:rFonts w:ascii="宋体" w:hAnsi="宋体" w:eastAsia="宋体"/>
                <w:b w:val="0"/>
                <w:sz w:val="21"/>
              </w:rPr>
              <w:t>中等仰角，薄雾</w:t>
            </w:r>
          </w:p>
        </w:tc>
        <w:tc>
          <w:tcPr>
            <w:tcW w:type="dxa" w:w="1728"/>
          </w:tcPr>
          <w:p>
            <w:pPr>
              <w:jc w:val="center"/>
            </w:pPr>
            <w:r>
              <w:rPr>
                <w:rFonts w:ascii="宋体" w:hAnsi="宋体" w:eastAsia="宋体"/>
                <w:b w:val="0"/>
                <w:sz w:val="21"/>
              </w:rPr>
              <w:t>600km / 20deg</w:t>
            </w:r>
          </w:p>
        </w:tc>
        <w:tc>
          <w:tcPr>
            <w:tcW w:type="dxa" w:w="1728"/>
          </w:tcPr>
          <w:p>
            <w:pPr>
              <w:jc w:val="center"/>
            </w:pPr>
            <w:r>
              <w:rPr>
                <w:rFonts w:ascii="宋体" w:hAnsi="宋体" w:eastAsia="宋体"/>
                <w:b w:val="0"/>
                <w:sz w:val="21"/>
              </w:rPr>
              <w:t>~1.97e-5</w:t>
            </w:r>
          </w:p>
        </w:tc>
        <w:tc>
          <w:tcPr>
            <w:tcW w:type="dxa" w:w="1728"/>
          </w:tcPr>
          <w:p>
            <w:pPr>
              <w:jc w:val="center"/>
            </w:pPr>
            <w:r>
              <w:rPr>
                <w:rFonts w:ascii="宋体" w:hAnsi="宋体" w:eastAsia="宋体"/>
                <w:b w:val="0"/>
                <w:sz w:val="21"/>
              </w:rPr>
              <w:t>~2.54%</w:t>
            </w:r>
          </w:p>
        </w:tc>
        <w:tc>
          <w:tcPr>
            <w:tcW w:type="dxa" w:w="1728"/>
          </w:tcPr>
          <w:p>
            <w:pPr>
              <w:jc w:val="center"/>
            </w:pPr>
            <w:r>
              <w:rPr>
                <w:rFonts w:ascii="宋体" w:hAnsi="宋体" w:eastAsia="宋体"/>
                <w:b w:val="0"/>
                <w:sz w:val="21"/>
              </w:rPr>
              <w:t>~0.5 kbps</w:t>
            </w:r>
          </w:p>
        </w:tc>
      </w:tr>
      <w:tr>
        <w:tc>
          <w:tcPr>
            <w:tcW w:type="dxa" w:w="1728"/>
          </w:tcPr>
          <w:p>
            <w:pPr>
              <w:jc w:val="center"/>
            </w:pPr>
            <w:r>
              <w:rPr>
                <w:rFonts w:ascii="宋体" w:hAnsi="宋体" w:eastAsia="宋体"/>
                <w:b w:val="0"/>
                <w:sz w:val="21"/>
              </w:rPr>
              <w:t>低仰角，雨天</w:t>
            </w:r>
          </w:p>
        </w:tc>
        <w:tc>
          <w:tcPr>
            <w:tcW w:type="dxa" w:w="1728"/>
          </w:tcPr>
          <w:p>
            <w:pPr>
              <w:jc w:val="center"/>
            </w:pPr>
            <w:r>
              <w:rPr>
                <w:rFonts w:ascii="宋体" w:hAnsi="宋体" w:eastAsia="宋体"/>
                <w:b w:val="0"/>
                <w:sz w:val="21"/>
              </w:rPr>
              <w:t>700km / 10deg</w:t>
            </w:r>
          </w:p>
        </w:tc>
        <w:tc>
          <w:tcPr>
            <w:tcW w:type="dxa" w:w="1728"/>
          </w:tcPr>
          <w:p>
            <w:pPr>
              <w:jc w:val="center"/>
            </w:pPr>
            <w:r>
              <w:rPr>
                <w:rFonts w:ascii="宋体" w:hAnsi="宋体" w:eastAsia="宋体"/>
                <w:b w:val="0"/>
                <w:sz w:val="21"/>
              </w:rPr>
              <w:t>~8.23e-7</w:t>
            </w:r>
          </w:p>
        </w:tc>
        <w:tc>
          <w:tcPr>
            <w:tcW w:type="dxa" w:w="1728"/>
          </w:tcPr>
          <w:p>
            <w:pPr>
              <w:jc w:val="center"/>
            </w:pPr>
            <w:r>
              <w:rPr>
                <w:rFonts w:ascii="宋体" w:hAnsi="宋体" w:eastAsia="宋体"/>
                <w:b w:val="0"/>
                <w:sz w:val="21"/>
              </w:rPr>
              <w:t>~22.6%</w:t>
            </w:r>
          </w:p>
        </w:tc>
        <w:tc>
          <w:tcPr>
            <w:tcW w:type="dxa" w:w="1728"/>
          </w:tcPr>
          <w:p>
            <w:pPr>
              <w:jc w:val="center"/>
            </w:pPr>
            <w:r>
              <w:rPr>
                <w:rFonts w:ascii="宋体" w:hAnsi="宋体" w:eastAsia="宋体"/>
                <w:b w:val="0"/>
                <w:sz w:val="21"/>
              </w:rPr>
              <w:t>0 kbps</w:t>
            </w:r>
          </w:p>
        </w:tc>
      </w:tr>
    </w:tbl>
    <w:p/>
    <w:p>
      <w:pPr>
        <w:spacing w:line="360" w:lineRule="auto" w:after="120"/>
        <w:ind w:firstLine="720"/>
      </w:pPr>
      <w:r>
        <w:rPr>
          <w:rFonts w:ascii="宋体" w:hAnsi="宋体" w:eastAsia="宋体"/>
          <w:b w:val="0"/>
          <w:sz w:val="21"/>
        </w:rPr>
        <w:t>从测试数据可以看出：在400km天顶晴天条件下，系统可维持约33.5 kbps的安全密钥率；随着仰角降低和天气恶化，大气衰减显著增加，安全密钥率快速下降；当QBER超过11%安全阈值时（如700km雨天场景，QBER约22.6%），安全密钥率归零，系统正确判定通信不可行。截获-重发攻击在50%强度下即可将QBER推高至9.33%，接近安全边界，对BB84协议构成显著威胁。</w:t>
      </w:r>
    </w:p>
    <w:p>
      <w:pPr>
        <w:pStyle w:val="Heading1"/>
        <w:spacing w:before="240" w:after="120"/>
        <w:jc w:val="center"/>
      </w:pPr>
      <w:r>
        <w:rPr>
          <w:rFonts w:ascii="黑体" w:hAnsi="黑体" w:eastAsia="黑体"/>
          <w:b/>
          <w:sz w:val="32"/>
        </w:rPr>
        <w:t>4. 应用前景</w:t>
      </w:r>
    </w:p>
    <w:p>
      <w:pPr>
        <w:spacing w:line="360" w:lineRule="auto" w:after="120"/>
        <w:ind w:firstLine="720"/>
      </w:pPr>
      <w:r>
        <w:rPr>
          <w:rFonts w:ascii="宋体" w:hAnsi="宋体" w:eastAsia="宋体"/>
          <w:b w:val="0"/>
          <w:sz w:val="21"/>
        </w:rPr>
        <w:t>本系统在星地量子通信网络规划与密码技术应用方面具有明确的工程价值：</w:t>
      </w:r>
    </w:p>
    <w:p>
      <w:pPr>
        <w:pStyle w:val="ListBullet"/>
        <w:spacing w:line="360" w:lineRule="auto" w:after="60"/>
        <w:ind w:left="720"/>
      </w:pPr>
      <w:r>
        <w:rPr>
          <w:rFonts w:ascii="宋体" w:hAnsi="宋体" w:eastAsia="宋体"/>
          <w:b w:val="0"/>
          <w:sz w:val="21"/>
        </w:rPr>
        <w:t>地面站选址优化：通过仿真不同地理位置（海拔、气候条件）下的链路性能，辅助决策者选择最优地面站布设方案。例如，系统显示高海拔站点相比沿海地区具有更低的大气衰减和更稳定的晴天天数。</w:t>
      </w:r>
    </w:p>
    <w:p>
      <w:pPr>
        <w:pStyle w:val="ListBullet"/>
        <w:spacing w:line="360" w:lineRule="auto" w:after="60"/>
        <w:ind w:left="720"/>
      </w:pPr>
      <w:r>
        <w:rPr>
          <w:rFonts w:ascii="宋体" w:hAnsi="宋体" w:eastAsia="宋体"/>
          <w:b w:val="0"/>
          <w:sz w:val="21"/>
        </w:rPr>
        <w:t>过境窗口预测：结合真实TLE星历和天气预报，提前预测未来数天的可用通信窗口，为密钥分发任务调度提供依据。</w:t>
      </w:r>
    </w:p>
    <w:p>
      <w:pPr>
        <w:pStyle w:val="ListBullet"/>
        <w:spacing w:line="360" w:lineRule="auto" w:after="60"/>
        <w:ind w:left="720"/>
      </w:pPr>
      <w:r>
        <w:rPr>
          <w:rFonts w:ascii="宋体" w:hAnsi="宋体" w:eastAsia="宋体"/>
          <w:b w:val="0"/>
          <w:sz w:val="21"/>
        </w:rPr>
        <w:t>安全策略预演：在实际发射前，通过仿真评估不同攻击场景下的系统表现，制定针对性的防御预案（如动态切换诱骗态强度、调整隐私放大参数）。</w:t>
      </w:r>
    </w:p>
    <w:p>
      <w:pPr>
        <w:pStyle w:val="ListBullet"/>
        <w:spacing w:line="360" w:lineRule="auto" w:after="60"/>
        <w:ind w:left="720"/>
      </w:pPr>
      <w:r>
        <w:rPr>
          <w:rFonts w:ascii="宋体" w:hAnsi="宋体" w:eastAsia="宋体"/>
          <w:b w:val="0"/>
          <w:sz w:val="21"/>
        </w:rPr>
        <w:t>教学与科普：系统交互式界面直观展示量子密码的基本原理和攻击手段，适合作为密码学、量子信息科学相关课程的教学辅助工具。</w:t>
      </w:r>
    </w:p>
    <w:p>
      <w:pPr>
        <w:pStyle w:val="Heading1"/>
        <w:spacing w:before="240" w:after="120"/>
        <w:jc w:val="center"/>
      </w:pPr>
      <w:r>
        <w:rPr>
          <w:rFonts w:ascii="黑体" w:hAnsi="黑体" w:eastAsia="黑体"/>
          <w:b/>
          <w:sz w:val="32"/>
        </w:rPr>
        <w:t>5. 结论</w:t>
      </w:r>
    </w:p>
    <w:p>
      <w:pPr>
        <w:spacing w:line="360" w:lineRule="auto" w:after="120"/>
        <w:ind w:firstLine="720"/>
      </w:pPr>
      <w:r>
        <w:rPr>
          <w:rFonts w:ascii="宋体" w:hAnsi="宋体" w:eastAsia="宋体"/>
          <w:b w:val="0"/>
          <w:sz w:val="21"/>
        </w:rPr>
        <w:t>本作品设计并实现了一个集成真实轨道数据、实时气象信息、完整BB84协议仿真和攻防体系的星地QKD链路仿真平台。主要创新点包括：（1）真实数据驱动，将TLE轨道计算与Open-Meteo气象API深度集成；（2）完整的攻防闭环，覆盖三类典型量子密码攻击及对应防御机制；（3）自适应安全决策引擎，实现多维度安全评估与策略推荐；（4）交互式可视化界面，降低量子密码仿真工具的使用门槛。</w:t>
      </w:r>
    </w:p>
    <w:p>
      <w:pPr>
        <w:spacing w:line="360" w:lineRule="auto" w:after="120"/>
        <w:ind w:firstLine="720"/>
      </w:pPr>
      <w:r>
        <w:rPr>
          <w:rFonts w:ascii="宋体" w:hAnsi="宋体" w:eastAsia="宋体"/>
          <w:b w:val="0"/>
          <w:sz w:val="21"/>
        </w:rPr>
        <w:t>实测结果表明，系统在典型星地链路场景下（400km天顶晴天）可实现约33.5 kbps的安全密钥率，单次10000脉冲仿真延迟约5-17 ms，满足实时交互需求。局限性方面，当前QKD物理模型做了适当简化（如忽略偏振态在大气中的随机旋转、未实现完整的误码纠错Cascade协议），未来工作将引入更精细的信道模型（包括大气湍流引起的波前畸变和偏振漂移），并探索GPU并行化以支持更大规模的蒙特卡洛仿真。</w:t>
      </w:r>
    </w:p>
    <w:p>
      <w:r>
        <w:br w:type="page"/>
      </w:r>
    </w:p>
    <w:p>
      <w:pPr>
        <w:pStyle w:val="Heading1"/>
        <w:spacing w:before="240" w:after="120"/>
        <w:jc w:val="center"/>
      </w:pPr>
      <w:r>
        <w:rPr>
          <w:rFonts w:ascii="黑体" w:hAnsi="黑体" w:eastAsia="黑体"/>
          <w:b/>
          <w:sz w:val="32"/>
        </w:rPr>
        <w:t>参考文献</w:t>
      </w:r>
    </w:p>
    <w:p>
      <w:pPr>
        <w:spacing w:line="360" w:lineRule="auto" w:after="60"/>
        <w:ind w:firstLine="0" w:left="720"/>
      </w:pPr>
      <w:r>
        <w:rPr>
          <w:rFonts w:ascii="宋体" w:hAnsi="宋体" w:eastAsia="宋体"/>
          <w:b w:val="0"/>
          <w:sz w:val="21"/>
        </w:rPr>
        <w:t>[1] Gisin N, Ribordy G, Tittel W, et al. Quantum cryptography[J]. Reviews of Modern Physics, 2002, 74(1): 145.</w:t>
      </w:r>
    </w:p>
    <w:p>
      <w:pPr>
        <w:spacing w:line="360" w:lineRule="auto" w:after="60"/>
        <w:ind w:firstLine="0" w:left="720"/>
      </w:pPr>
      <w:r>
        <w:rPr>
          <w:rFonts w:ascii="宋体" w:hAnsi="宋体" w:eastAsia="宋体"/>
          <w:b w:val="0"/>
          <w:sz w:val="21"/>
        </w:rPr>
        <w:t>[2] Wang X B. Beating the photon-number-splitting attack in practical quantum cryptography[J]. Physical Review Letters, 2005, 94(23): 230503.</w:t>
      </w:r>
    </w:p>
    <w:p>
      <w:pPr>
        <w:spacing w:line="360" w:lineRule="auto" w:after="60"/>
        <w:ind w:firstLine="0" w:left="720"/>
      </w:pPr>
      <w:r>
        <w:rPr>
          <w:rFonts w:ascii="宋体" w:hAnsi="宋体" w:eastAsia="宋体"/>
          <w:b w:val="0"/>
          <w:sz w:val="21"/>
        </w:rPr>
        <w:t>[3] Lo H K, Ma X, Chen K. Decoy state quantum key distribution[J]. Physical Review Letters, 2005, 94(23): 230504.</w:t>
      </w:r>
    </w:p>
    <w:p>
      <w:pPr>
        <w:spacing w:line="360" w:lineRule="auto" w:after="60"/>
        <w:ind w:firstLine="0" w:left="720"/>
      </w:pPr>
      <w:r>
        <w:rPr>
          <w:rFonts w:ascii="宋体" w:hAnsi="宋体" w:eastAsia="宋体"/>
          <w:b w:val="0"/>
          <w:sz w:val="21"/>
        </w:rPr>
        <w:t>[4] Liao S K, Cai W Q, Liu W Y, et al. Satellite-to-ground quantum key distribution[J]. Nature, 2017, 549(7670): 43-47.</w:t>
      </w:r>
    </w:p>
    <w:p>
      <w:pPr>
        <w:spacing w:line="360" w:lineRule="auto" w:after="60"/>
        <w:ind w:firstLine="0" w:left="720"/>
      </w:pPr>
      <w:r>
        <w:rPr>
          <w:rFonts w:ascii="宋体" w:hAnsi="宋体" w:eastAsia="宋体"/>
          <w:b w:val="0"/>
          <w:sz w:val="21"/>
        </w:rPr>
        <w:t>[5] Yin J, Li Y H, Liao S K, et al. Entanglement-based secure quantum cryptography over 1,120 kilometres[J]. Nature, 2020, 582(7813): 501-505.</w:t>
      </w:r>
    </w:p>
    <w:p>
      <w:pPr>
        <w:spacing w:line="360" w:lineRule="auto" w:after="60"/>
        <w:ind w:firstLine="0" w:left="720"/>
      </w:pPr>
      <w:r>
        <w:rPr>
          <w:rFonts w:ascii="宋体" w:hAnsi="宋体" w:eastAsia="宋体"/>
          <w:b w:val="0"/>
          <w:sz w:val="21"/>
        </w:rPr>
        <w:t>[6] Scarani V, Bechmann-Pasquinucci H, Cerf N J, et al. The security of practical quantum key distribution[J]. Reviews of Modern Physics, 2009, 81(3): 1301.</w:t>
      </w:r>
    </w:p>
    <w:p>
      <w:pPr>
        <w:spacing w:line="360" w:lineRule="auto" w:after="60"/>
        <w:ind w:firstLine="0" w:left="720"/>
      </w:pPr>
      <w:r>
        <w:rPr>
          <w:rFonts w:ascii="宋体" w:hAnsi="宋体" w:eastAsia="宋体"/>
          <w:b w:val="0"/>
          <w:sz w:val="21"/>
        </w:rPr>
        <w:t>[7] 潘建伟. 量子通信现状与展望[J]. 科学通报, 2021, 66(13): 1545-1558.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