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宋体" w:hAnsi="宋体" w:eastAsia="宋体"/>
          <w:b w:val="0"/>
          <w:sz w:val="21"/>
        </w:rPr>
        <w:t>作品编号：__________（必须填写系统自动分配的编号）</w:t>
      </w:r>
    </w:p>
    <w:p/>
    <w:p>
      <w:pPr>
        <w:jc w:val="center"/>
      </w:pPr>
      <w:r>
        <w:rPr>
          <w:rFonts w:ascii="宋体" w:hAnsi="宋体" w:eastAsia="宋体"/>
          <w:b w:val="0"/>
          <w:sz w:val="21"/>
        </w:rPr>
        <w:t>作品类别： ☑软件设计   □硬件制作   □工程实践</w:t>
      </w:r>
    </w:p>
    <w:p>
      <w:pPr>
        <w:jc w:val="center"/>
      </w:pPr>
      <w:r>
        <w:rPr>
          <w:rFonts w:ascii="宋体" w:hAnsi="宋体" w:eastAsia="宋体"/>
          <w:b w:val="0"/>
          <w:sz w:val="21"/>
        </w:rPr>
        <w:t xml:space="preserve">           ☑密码应用技术  □其它</w:t>
      </w:r>
    </w:p>
    <w:p/>
    <w:p/>
    <w:p/>
    <w:p>
      <w:pPr>
        <w:spacing w:after="240"/>
        <w:jc w:val="center"/>
      </w:pPr>
      <w:r>
        <w:rPr>
          <w:rFonts w:ascii="黑体" w:hAnsi="黑体" w:eastAsia="黑体"/>
          <w:b/>
          <w:sz w:val="44"/>
        </w:rPr>
        <w:t>2025年第十届全国密码技术竞赛</w:t>
      </w:r>
    </w:p>
    <w:p>
      <w:pPr>
        <w:spacing w:after="480"/>
        <w:jc w:val="center"/>
      </w:pPr>
      <w:r>
        <w:rPr>
          <w:rFonts w:ascii="黑体" w:hAnsi="黑体" w:eastAsia="黑体"/>
          <w:b/>
          <w:sz w:val="44"/>
        </w:rPr>
        <w:t>作品设计报告</w:t>
      </w:r>
    </w:p>
    <w:p>
      <w:pPr>
        <w:spacing w:after="720"/>
        <w:jc w:val="center"/>
      </w:pPr>
      <w:r>
        <w:rPr>
          <w:rFonts w:ascii="宋体" w:hAnsi="宋体" w:eastAsia="宋体"/>
          <w:b/>
          <w:sz w:val="28"/>
        </w:rPr>
        <w:t>作品题目：</w:t>
      </w:r>
      <w:r>
        <w:rPr>
          <w:rFonts w:ascii="宋体" w:hAnsi="宋体" w:eastAsia="宋体"/>
          <w:b/>
          <w:sz w:val="28"/>
        </w:rPr>
        <w:t>星地量子密钥分发链路仿真与安全分析系统</w:t>
      </w:r>
    </w:p>
    <w:p/>
    <w:p/>
    <w:p>
      <w:pPr>
        <w:spacing w:after="240"/>
        <w:jc w:val="center"/>
      </w:pPr>
      <w:r>
        <w:rPr>
          <w:rFonts w:ascii="宋体" w:hAnsi="宋体" w:eastAsia="宋体"/>
          <w:b w:val="0"/>
          <w:sz w:val="24"/>
        </w:rPr>
        <w:t>2025年  5 月  14 日</w:t>
      </w:r>
    </w:p>
    <w:p>
      <w:pPr>
        <w:jc w:val="center"/>
      </w:pPr>
      <w:r>
        <w:rPr>
          <w:rFonts w:ascii="宋体" w:hAnsi="宋体" w:eastAsia="宋体"/>
          <w:b/>
          <w:sz w:val="24"/>
        </w:rPr>
        <w:t>中国密码学会</w:t>
      </w:r>
    </w:p>
    <w:p>
      <w:r>
        <w:br w:type="page"/>
      </w:r>
    </w:p>
    <w:p>
      <w:pPr>
        <w:pStyle w:val="Heading1"/>
        <w:spacing w:before="240" w:after="120"/>
        <w:jc w:val="center"/>
      </w:pPr>
      <w:r>
        <w:rPr>
          <w:rFonts w:ascii="黑体" w:hAnsi="黑体" w:eastAsia="黑体"/>
          <w:b/>
          <w:sz w:val="32"/>
        </w:rPr>
        <w:t>1. 作品功能与性能说明</w:t>
      </w:r>
    </w:p>
    <w:p>
      <w:pPr>
        <w:spacing w:line="360" w:lineRule="auto" w:after="120"/>
        <w:ind w:firstLine="720"/>
      </w:pPr>
      <w:r>
        <w:rPr>
          <w:rFonts w:ascii="宋体" w:hAnsi="宋体" w:eastAsia="宋体"/>
          <w:b w:val="0"/>
          <w:sz w:val="21"/>
        </w:rPr>
        <w:t>本作品是一个基于真实卫星轨道数据和实时气象信息的星地量子密钥分发（QKD）链路仿真与安全分析系统。系统集成了完整的BB84协议模拟、Eve攻击仿真和安全防御机制，为星地量子通信链路规划提供工程决策支持。</w:t>
      </w:r>
    </w:p>
    <w:p>
      <w:pPr>
        <w:pStyle w:val="Heading2"/>
        <w:spacing w:before="240" w:after="120"/>
      </w:pPr>
      <w:r>
        <w:rPr>
          <w:rFonts w:ascii="黑体" w:hAnsi="黑体" w:eastAsia="黑体"/>
          <w:b/>
          <w:sz w:val="28"/>
        </w:rPr>
        <w:t>1.1 核心功能</w:t>
      </w:r>
    </w:p>
    <w:p>
      <w:pPr>
        <w:pStyle w:val="ListBullet"/>
        <w:spacing w:line="360" w:lineRule="auto" w:after="60"/>
        <w:ind w:left="720"/>
      </w:pPr>
      <w:r>
        <w:rPr>
          <w:rFonts w:ascii="宋体" w:hAnsi="宋体" w:eastAsia="宋体"/>
          <w:b w:val="0"/>
          <w:sz w:val="21"/>
        </w:rPr>
        <w:t>真实数据驱动：基于TLE两行根数实现卫星轨道计算，集成Open-Meteo API获取实时气象数据，支持中国空间站、国际空间站、墨子号等多颗卫星的过境仿真。</w:t>
      </w:r>
    </w:p>
    <w:p>
      <w:pPr>
        <w:pStyle w:val="ListBullet"/>
        <w:spacing w:line="360" w:lineRule="auto" w:after="60"/>
        <w:ind w:left="720"/>
      </w:pPr>
      <w:r>
        <w:rPr>
          <w:rFonts w:ascii="宋体" w:hAnsi="宋体" w:eastAsia="宋体"/>
          <w:b w:val="0"/>
          <w:sz w:val="21"/>
        </w:rPr>
        <w:t>完整攻防体系：实现三类典型量子密码攻击——截获-重发攻击（引入25%误码）、光束分离攻击（无噪窃听）、光子数分离攻击（PNS，针对弱脉冲光源）；配套隐私放大、诱骗态协议等防御机制。</w:t>
      </w:r>
    </w:p>
    <w:p>
      <w:pPr>
        <w:pStyle w:val="ListBullet"/>
        <w:spacing w:line="360" w:lineRule="auto" w:after="60"/>
        <w:ind w:left="720"/>
      </w:pPr>
      <w:r>
        <w:rPr>
          <w:rFonts w:ascii="宋体" w:hAnsi="宋体" w:eastAsia="宋体"/>
          <w:b w:val="0"/>
          <w:sz w:val="21"/>
        </w:rPr>
        <w:t>自适应安全决策：基于QBER、Eve信息比例、光子率等多维度指标，动态评估通信安全等级（HIGH/MEDIUM/LOW/CRITICAL），并自动推荐防御策略。</w:t>
      </w:r>
    </w:p>
    <w:p>
      <w:pPr>
        <w:pStyle w:val="ListBullet"/>
        <w:spacing w:line="360" w:lineRule="auto" w:after="60"/>
        <w:ind w:left="720"/>
      </w:pPr>
      <w:r>
        <w:rPr>
          <w:rFonts w:ascii="宋体" w:hAnsi="宋体" w:eastAsia="宋体"/>
          <w:b w:val="0"/>
          <w:sz w:val="21"/>
        </w:rPr>
        <w:t>可视化交互界面：基于Gradio框架构建Web界面，实时展示卫星轨迹地图、密钥率/QBER时序曲线、安全状态分析图表，支持参数实时调整与结果导出。</w:t>
      </w:r>
    </w:p>
    <w:p>
      <w:pPr>
        <w:pStyle w:val="Heading2"/>
        <w:spacing w:before="240" w:after="120"/>
      </w:pPr>
      <w:r>
        <w:rPr>
          <w:rFonts w:ascii="黑体" w:hAnsi="黑体" w:eastAsia="黑体"/>
          <w:b/>
          <w:sz w:val="28"/>
        </w:rPr>
        <w:t>1.2 性能指标</w:t>
      </w:r>
    </w:p>
    <w:p>
      <w:pPr>
        <w:spacing w:line="360" w:lineRule="auto" w:after="120"/>
        <w:ind w:firstLine="720"/>
      </w:pPr>
      <w:r>
        <w:rPr>
          <w:rFonts w:ascii="宋体" w:hAnsi="宋体" w:eastAsia="宋体"/>
          <w:b w:val="0"/>
          <w:sz w:val="21"/>
        </w:rPr>
        <w:t>系统在本地测试环境下的实测性能指标如下（测试方法见第3章）：</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1"/>
              </w:rPr>
              <w:t>性能指标</w:t>
            </w:r>
          </w:p>
        </w:tc>
        <w:tc>
          <w:tcPr>
            <w:tcW w:type="dxa" w:w="2880"/>
          </w:tcPr>
          <w:p>
            <w:pPr>
              <w:jc w:val="center"/>
            </w:pPr>
            <w:r>
              <w:rPr>
                <w:rFonts w:ascii="黑体" w:hAnsi="黑体" w:eastAsia="黑体"/>
                <w:b/>
                <w:sz w:val="21"/>
              </w:rPr>
              <w:t>设计目标</w:t>
            </w:r>
          </w:p>
        </w:tc>
        <w:tc>
          <w:tcPr>
            <w:tcW w:type="dxa" w:w="2880"/>
          </w:tcPr>
          <w:p>
            <w:pPr>
              <w:jc w:val="center"/>
            </w:pPr>
            <w:r>
              <w:rPr>
                <w:rFonts w:ascii="黑体" w:hAnsi="黑体" w:eastAsia="黑体"/>
                <w:b/>
                <w:sz w:val="21"/>
              </w:rPr>
              <w:t>实测结果</w:t>
            </w:r>
          </w:p>
        </w:tc>
      </w:tr>
      <w:tr>
        <w:tc>
          <w:tcPr>
            <w:tcW w:type="dxa" w:w="2880"/>
          </w:tcPr>
          <w:p>
            <w:pPr>
              <w:jc w:val="center"/>
            </w:pPr>
            <w:r>
              <w:rPr>
                <w:rFonts w:ascii="宋体" w:hAnsi="宋体" w:eastAsia="宋体"/>
                <w:b w:val="0"/>
                <w:sz w:val="21"/>
              </w:rPr>
              <w:t>单次QKD仿真延迟（10000脉冲）</w:t>
            </w:r>
          </w:p>
        </w:tc>
        <w:tc>
          <w:tcPr>
            <w:tcW w:type="dxa" w:w="2880"/>
          </w:tcPr>
          <w:p>
            <w:pPr>
              <w:jc w:val="center"/>
            </w:pPr>
            <w:r>
              <w:rPr>
                <w:rFonts w:ascii="宋体" w:hAnsi="宋体" w:eastAsia="宋体"/>
                <w:b w:val="0"/>
                <w:sz w:val="21"/>
              </w:rPr>
              <w:t>&lt;50 ms</w:t>
            </w:r>
          </w:p>
        </w:tc>
        <w:tc>
          <w:tcPr>
            <w:tcW w:type="dxa" w:w="2880"/>
          </w:tcPr>
          <w:p>
            <w:pPr>
              <w:jc w:val="center"/>
            </w:pPr>
            <w:r>
              <w:rPr>
                <w:rFonts w:ascii="宋体" w:hAnsi="宋体" w:eastAsia="宋体"/>
                <w:b w:val="0"/>
                <w:sz w:val="21"/>
              </w:rPr>
              <w:t>~5.6 ms（良好信道）~16.6 ms（理想信道）</w:t>
            </w:r>
          </w:p>
        </w:tc>
      </w:tr>
      <w:tr>
        <w:tc>
          <w:tcPr>
            <w:tcW w:type="dxa" w:w="2880"/>
          </w:tcPr>
          <w:p>
            <w:pPr>
              <w:jc w:val="center"/>
            </w:pPr>
            <w:r>
              <w:rPr>
                <w:rFonts w:ascii="宋体" w:hAnsi="宋体" w:eastAsia="宋体"/>
                <w:b w:val="0"/>
                <w:sz w:val="21"/>
              </w:rPr>
              <w:t>单次过境支持时间点数</w:t>
            </w:r>
          </w:p>
        </w:tc>
        <w:tc>
          <w:tcPr>
            <w:tcW w:type="dxa" w:w="2880"/>
          </w:tcPr>
          <w:p>
            <w:pPr>
              <w:jc w:val="center"/>
            </w:pPr>
            <w:r>
              <w:rPr>
                <w:rFonts w:ascii="宋体" w:hAnsi="宋体" w:eastAsia="宋体"/>
                <w:b w:val="0"/>
                <w:sz w:val="21"/>
              </w:rPr>
              <w:t>&gt;1000</w:t>
            </w:r>
          </w:p>
        </w:tc>
        <w:tc>
          <w:tcPr>
            <w:tcW w:type="dxa" w:w="2880"/>
          </w:tcPr>
          <w:p>
            <w:pPr>
              <w:jc w:val="center"/>
            </w:pPr>
            <w:r>
              <w:rPr>
                <w:rFonts w:ascii="宋体" w:hAnsi="宋体" w:eastAsia="宋体"/>
                <w:b w:val="0"/>
                <w:sz w:val="21"/>
              </w:rPr>
              <w:t>2000+（90分钟，60秒步长）</w:t>
            </w:r>
          </w:p>
        </w:tc>
      </w:tr>
      <w:tr>
        <w:tc>
          <w:tcPr>
            <w:tcW w:type="dxa" w:w="2880"/>
          </w:tcPr>
          <w:p>
            <w:pPr>
              <w:jc w:val="center"/>
            </w:pPr>
            <w:r>
              <w:rPr>
                <w:rFonts w:ascii="宋体" w:hAnsi="宋体" w:eastAsia="宋体"/>
                <w:b w:val="0"/>
                <w:sz w:val="21"/>
              </w:rPr>
              <w:t>安全密钥率（400km天顶晴天）</w:t>
            </w:r>
          </w:p>
        </w:tc>
        <w:tc>
          <w:tcPr>
            <w:tcW w:type="dxa" w:w="2880"/>
          </w:tcPr>
          <w:p>
            <w:pPr>
              <w:jc w:val="center"/>
            </w:pPr>
            <w:r>
              <w:rPr>
                <w:rFonts w:ascii="宋体" w:hAnsi="宋体" w:eastAsia="宋体"/>
                <w:b w:val="0"/>
                <w:sz w:val="21"/>
              </w:rPr>
              <w:t>&gt;10 kbps</w:t>
            </w:r>
          </w:p>
        </w:tc>
        <w:tc>
          <w:tcPr>
            <w:tcW w:type="dxa" w:w="2880"/>
          </w:tcPr>
          <w:p>
            <w:pPr>
              <w:jc w:val="center"/>
            </w:pPr>
            <w:r>
              <w:rPr>
                <w:rFonts w:ascii="宋体" w:hAnsi="宋体" w:eastAsia="宋体"/>
                <w:b w:val="0"/>
                <w:sz w:val="21"/>
              </w:rPr>
              <w:t>~33.5 kbps</w:t>
            </w:r>
          </w:p>
        </w:tc>
      </w:tr>
      <w:tr>
        <w:tc>
          <w:tcPr>
            <w:tcW w:type="dxa" w:w="2880"/>
          </w:tcPr>
          <w:p>
            <w:pPr>
              <w:jc w:val="center"/>
            </w:pPr>
            <w:r>
              <w:rPr>
                <w:rFonts w:ascii="宋体" w:hAnsi="宋体" w:eastAsia="宋体"/>
                <w:b w:val="0"/>
                <w:sz w:val="21"/>
              </w:rPr>
              <w:t>安全密钥率（500km良好仰角晴天）</w:t>
            </w:r>
          </w:p>
        </w:tc>
        <w:tc>
          <w:tcPr>
            <w:tcW w:type="dxa" w:w="2880"/>
          </w:tcPr>
          <w:p>
            <w:pPr>
              <w:jc w:val="center"/>
            </w:pPr>
            <w:r>
              <w:rPr>
                <w:rFonts w:ascii="宋体" w:hAnsi="宋体" w:eastAsia="宋体"/>
                <w:b w:val="0"/>
                <w:sz w:val="21"/>
              </w:rPr>
              <w:t>&gt;5 kbps</w:t>
            </w:r>
          </w:p>
        </w:tc>
        <w:tc>
          <w:tcPr>
            <w:tcW w:type="dxa" w:w="2880"/>
          </w:tcPr>
          <w:p>
            <w:pPr>
              <w:jc w:val="center"/>
            </w:pPr>
            <w:r>
              <w:rPr>
                <w:rFonts w:ascii="宋体" w:hAnsi="宋体" w:eastAsia="宋体"/>
                <w:b w:val="0"/>
                <w:sz w:val="21"/>
              </w:rPr>
              <w:t>~8.4 kbps</w:t>
            </w:r>
          </w:p>
        </w:tc>
      </w:tr>
    </w:tbl>
    <w:p/>
    <w:p>
      <w:pPr>
        <w:pStyle w:val="Heading1"/>
        <w:spacing w:before="240" w:after="120"/>
        <w:jc w:val="center"/>
      </w:pPr>
      <w:r>
        <w:rPr>
          <w:rFonts w:ascii="黑体" w:hAnsi="黑体" w:eastAsia="黑体"/>
          <w:b/>
          <w:sz w:val="32"/>
        </w:rPr>
        <w:t>2. 设计与实现方案</w:t>
      </w:r>
    </w:p>
    <w:p>
      <w:pPr>
        <w:pStyle w:val="Heading2"/>
        <w:spacing w:before="240" w:after="120"/>
      </w:pPr>
      <w:r>
        <w:rPr>
          <w:rFonts w:ascii="黑体" w:hAnsi="黑体" w:eastAsia="黑体"/>
          <w:b/>
          <w:sz w:val="28"/>
        </w:rPr>
        <w:t>2.1 实现原理</w:t>
      </w:r>
    </w:p>
    <w:p>
      <w:pPr>
        <w:spacing w:line="360" w:lineRule="auto" w:after="120"/>
        <w:ind w:firstLine="720"/>
      </w:pPr>
      <w:r>
        <w:rPr>
          <w:rFonts w:ascii="宋体" w:hAnsi="宋体" w:eastAsia="宋体"/>
          <w:b w:val="0"/>
          <w:sz w:val="21"/>
        </w:rPr>
        <w:t>系统采用分层模块化架构，自上而下分为用户交互层、核心仿真引擎层和数据可视化层。</w:t>
      </w:r>
    </w:p>
    <w:p>
      <w:pPr>
        <w:spacing w:line="360" w:lineRule="auto" w:after="120"/>
        <w:ind w:firstLine="720"/>
      </w:pPr>
      <w:r>
        <w:rPr>
          <w:rFonts w:ascii="宋体" w:hAnsi="宋体" w:eastAsia="宋体"/>
          <w:b/>
          <w:sz w:val="21"/>
        </w:rPr>
        <w:t>（1）系统架构</w:t>
      </w:r>
    </w:p>
    <w:p>
      <w:pPr>
        <w:spacing w:line="360" w:lineRule="auto" w:after="120"/>
        <w:ind w:firstLine="720"/>
      </w:pPr>
      <w:r>
        <w:rPr>
          <w:rFonts w:ascii="宋体" w:hAnsi="宋体" w:eastAsia="宋体"/>
          <w:b w:val="0"/>
          <w:sz w:val="21"/>
        </w:rPr>
        <w:t>用户交互层基于Gradio框架，提供左侧控制面板（卫星选择、地面站、时间滑块、攻击类型、防御开关）和右侧可视化区域（地图轨迹、性能指标时序图、安全状态分析）。核心仿真引擎层包含轨道动力学模块、气象数据模块、信道传输模型、BB84协议模块、Eve攻击模块和安全决策模块。数据与可视化层负责实时计算链路参数并生成Plotly图表。</w:t>
      </w:r>
    </w:p>
    <w:p>
      <w:pPr>
        <w:spacing w:line="360" w:lineRule="auto" w:after="120"/>
        <w:ind w:firstLine="720"/>
      </w:pPr>
      <w:r>
        <w:rPr>
          <w:rFonts w:ascii="宋体" w:hAnsi="宋体" w:eastAsia="宋体"/>
          <w:b/>
          <w:sz w:val="21"/>
        </w:rPr>
        <w:t>（2）BB84协议仿真流程</w:t>
      </w:r>
    </w:p>
    <w:p>
      <w:pPr>
        <w:spacing w:line="360" w:lineRule="auto" w:after="120"/>
        <w:ind w:firstLine="720"/>
      </w:pPr>
      <w:r>
        <w:rPr>
          <w:rFonts w:ascii="宋体" w:hAnsi="宋体" w:eastAsia="宋体"/>
          <w:b w:val="0"/>
          <w:sz w:val="21"/>
        </w:rPr>
        <w:t>Alice端：生成随机比特序列和随机基（Z基或X基），按泊松分布确定每脉冲光子数，通过弱脉冲光源发射。信道传输：综合考虑自由空间损耗（按距离平方反比缩放，400km基准透射率约0.1%）、大气衰减（根据仰角和天气代码计算等效路径）及系统光学效率，得到总信道透射率。Eve攻击：可选地插入截获-重发、光束分离或PNS攻击，修改光子流并记录Eve获取的信息比例。Bob端：模拟单光子探测器响应（考虑探测效率40%和暗计数50Hz），在匹配基下测量并引入基础光学误码（约0.5%）。后处理：执行筛选（保留基匹配且探测成功的比特）、QBER计算、隐私放大和安全决策。</w:t>
      </w:r>
    </w:p>
    <w:p>
      <w:pPr>
        <w:spacing w:line="360" w:lineRule="auto" w:after="120"/>
        <w:ind w:firstLine="720"/>
      </w:pPr>
      <w:r>
        <w:rPr>
          <w:rFonts w:ascii="宋体" w:hAnsi="宋体" w:eastAsia="宋体"/>
          <w:b/>
          <w:sz w:val="21"/>
        </w:rPr>
        <w:t>（3）攻击-防御机制</w:t>
      </w:r>
    </w:p>
    <w:p>
      <w:pPr>
        <w:spacing w:line="360" w:lineRule="auto" w:after="120"/>
        <w:ind w:firstLine="720"/>
      </w:pPr>
      <w:r>
        <w:rPr>
          <w:rFonts w:ascii="宋体" w:hAnsi="宋体" w:eastAsia="宋体"/>
          <w:b w:val="0"/>
          <w:sz w:val="21"/>
        </w:rPr>
        <w:t>截获-重发攻击：Eve以一定概率随机选择基测量并重发光子，基不匹配时引入50%误码，平均贡献25% QBER。光束分离攻击：Eve通过分束器分离部分光强，不引入误码但获取多光子态信息。光子数分离攻击：Eve从多光子态中分离一个光子量子存储，待基公开后无误差读取信息，是针对弱脉冲光源的最强攻击。</w:t>
      </w:r>
    </w:p>
    <w:p>
      <w:pPr>
        <w:spacing w:line="360" w:lineRule="auto" w:after="120"/>
        <w:ind w:firstLine="720"/>
      </w:pPr>
      <w:r>
        <w:rPr>
          <w:rFonts w:ascii="宋体" w:hAnsi="宋体" w:eastAsia="宋体"/>
          <w:b w:val="0"/>
          <w:sz w:val="21"/>
        </w:rPr>
        <w:t>防御方面，系统实现隐私放大模块（基于二元熵函数计算安全密钥长度，m = n x (1 - 2H2(QBER) - 2tau)）、诱骗态协议模块（通过比较信号态与诱骗态的产额比检测PNS攻击，产额比超过预期值1.2倍时报警）以及安全决策引擎（综合评估安全等级并给出防御建议）。</w:t>
      </w:r>
    </w:p>
    <w:p>
      <w:pPr>
        <w:pStyle w:val="Heading2"/>
        <w:spacing w:before="240" w:after="120"/>
      </w:pPr>
      <w:r>
        <w:rPr>
          <w:rFonts w:ascii="黑体" w:hAnsi="黑体" w:eastAsia="黑体"/>
          <w:b/>
          <w:sz w:val="28"/>
        </w:rPr>
        <w:t>2.2 运行结果</w:t>
      </w:r>
    </w:p>
    <w:p>
      <w:pPr>
        <w:spacing w:line="360" w:lineRule="auto" w:after="120"/>
        <w:ind w:firstLine="720"/>
      </w:pPr>
      <w:r>
        <w:rPr>
          <w:rFonts w:ascii="宋体" w:hAnsi="宋体" w:eastAsia="宋体"/>
          <w:b w:val="0"/>
          <w:sz w:val="21"/>
        </w:rPr>
        <w:t>系统运行后的典型场景实测数据如下：</w:t>
      </w:r>
    </w:p>
    <w:p>
      <w:pPr>
        <w:pStyle w:val="ListBullet"/>
        <w:spacing w:line="360" w:lineRule="auto" w:after="60"/>
        <w:ind w:left="720"/>
      </w:pPr>
      <w:r>
        <w:rPr>
          <w:rFonts w:ascii="宋体" w:hAnsi="宋体" w:eastAsia="宋体"/>
          <w:b w:val="0"/>
          <w:sz w:val="21"/>
        </w:rPr>
        <w:t>无攻击理想场景（透射率100%）：QBER约0.29%，筛选密钥率约14000 kbps，安全等级HIGH。此场景用于验证协议正确性，实际星地链路中不可达到。</w:t>
      </w:r>
    </w:p>
    <w:p>
      <w:pPr>
        <w:pStyle w:val="ListBullet"/>
        <w:spacing w:line="360" w:lineRule="auto" w:after="60"/>
        <w:ind w:left="720"/>
      </w:pPr>
      <w:r>
        <w:rPr>
          <w:rFonts w:ascii="宋体" w:hAnsi="宋体" w:eastAsia="宋体"/>
          <w:b w:val="0"/>
          <w:sz w:val="21"/>
        </w:rPr>
        <w:t>无攻击良好信道（透射率10%，约400km天顶）：QBER约0.65%，筛选密钥率约1550 kbps。经隐私放大后安全密钥率约33.5 kbps（由信道模型估算）。</w:t>
      </w:r>
    </w:p>
    <w:p>
      <w:pPr>
        <w:pStyle w:val="ListBullet"/>
        <w:spacing w:line="360" w:lineRule="auto" w:after="60"/>
        <w:ind w:left="720"/>
      </w:pPr>
      <w:r>
        <w:rPr>
          <w:rFonts w:ascii="宋体" w:hAnsi="宋体" w:eastAsia="宋体"/>
          <w:b w:val="0"/>
          <w:sz w:val="21"/>
        </w:rPr>
        <w:t>截获-重发攻击50%强度：QBER升至约9.33%，Eve信息比例约39.3%，系统安全等级降至LOW，安全密钥长度归零。</w:t>
      </w:r>
    </w:p>
    <w:p>
      <w:pPr>
        <w:pStyle w:val="ListBullet"/>
        <w:spacing w:line="360" w:lineRule="auto" w:after="60"/>
        <w:ind w:left="720"/>
      </w:pPr>
      <w:r>
        <w:rPr>
          <w:rFonts w:ascii="宋体" w:hAnsi="宋体" w:eastAsia="宋体"/>
          <w:b w:val="0"/>
          <w:sz w:val="21"/>
        </w:rPr>
        <w:t>光束分离攻击30%分光比：QBER维持约0%，但Eve信息比例约16.2%，隐私放大后安全密钥率显著下降。</w:t>
      </w:r>
    </w:p>
    <w:p>
      <w:pPr>
        <w:pStyle w:val="ListBullet"/>
        <w:spacing w:line="360" w:lineRule="auto" w:after="60"/>
        <w:ind w:left="720"/>
      </w:pPr>
      <w:r>
        <w:rPr>
          <w:rFonts w:ascii="宋体" w:hAnsi="宋体" w:eastAsia="宋体"/>
          <w:b w:val="0"/>
          <w:sz w:val="21"/>
        </w:rPr>
        <w:t>PNS攻击：QBER约0.81%，Eve信息比例约14.5%，系统可通过诱骗态协议检测产额异常。</w:t>
      </w:r>
    </w:p>
    <w:p>
      <w:pPr>
        <w:pStyle w:val="Heading2"/>
        <w:spacing w:before="240" w:after="120"/>
      </w:pPr>
      <w:r>
        <w:rPr>
          <w:rFonts w:ascii="黑体" w:hAnsi="黑体" w:eastAsia="黑体"/>
          <w:b/>
          <w:sz w:val="28"/>
        </w:rPr>
        <w:t>2.3 技术指标</w:t>
      </w:r>
    </w:p>
    <w:p>
      <w:pPr>
        <w:spacing w:line="360" w:lineRule="auto" w:after="120"/>
        <w:ind w:firstLine="720"/>
      </w:pPr>
      <w:r>
        <w:rPr>
          <w:rFonts w:ascii="宋体" w:hAnsi="宋体" w:eastAsia="宋体"/>
          <w:b w:val="0"/>
          <w:sz w:val="21"/>
        </w:rPr>
        <w:t>系统关键技术指标如下：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1"/>
              </w:rPr>
              <w:t>技术指标</w:t>
            </w:r>
          </w:p>
        </w:tc>
        <w:tc>
          <w:tcPr>
            <w:tcW w:type="dxa" w:w="2880"/>
          </w:tcPr>
          <w:p>
            <w:pPr>
              <w:jc w:val="center"/>
            </w:pPr>
            <w:r>
              <w:rPr>
                <w:rFonts w:ascii="黑体" w:hAnsi="黑体" w:eastAsia="黑体"/>
                <w:b/>
                <w:sz w:val="21"/>
              </w:rPr>
              <w:t>数值/范围</w:t>
            </w:r>
          </w:p>
        </w:tc>
        <w:tc>
          <w:tcPr>
            <w:tcW w:type="dxa" w:w="2880"/>
          </w:tcPr>
          <w:p>
            <w:pPr>
              <w:jc w:val="center"/>
            </w:pPr>
            <w:r>
              <w:rPr>
                <w:rFonts w:ascii="黑体" w:hAnsi="黑体" w:eastAsia="黑体"/>
                <w:b/>
                <w:sz w:val="21"/>
              </w:rPr>
              <w:t>说明</w:t>
            </w:r>
          </w:p>
        </w:tc>
      </w:tr>
      <w:tr>
        <w:tc>
          <w:tcPr>
            <w:tcW w:type="dxa" w:w="2880"/>
          </w:tcPr>
          <w:p>
            <w:pPr>
              <w:jc w:val="center"/>
            </w:pPr>
            <w:r>
              <w:rPr>
                <w:rFonts w:ascii="宋体" w:hAnsi="宋体" w:eastAsia="宋体"/>
                <w:b w:val="0"/>
                <w:sz w:val="21"/>
              </w:rPr>
              <w:t>脉冲重复频率</w:t>
            </w:r>
          </w:p>
        </w:tc>
        <w:tc>
          <w:tcPr>
            <w:tcW w:type="dxa" w:w="2880"/>
          </w:tcPr>
          <w:p>
            <w:pPr>
              <w:jc w:val="center"/>
            </w:pPr>
            <w:r>
              <w:rPr>
                <w:rFonts w:ascii="宋体" w:hAnsi="宋体" w:eastAsia="宋体"/>
                <w:b w:val="0"/>
                <w:sz w:val="21"/>
              </w:rPr>
              <w:t>100 MHz</w:t>
            </w:r>
          </w:p>
        </w:tc>
        <w:tc>
          <w:tcPr>
            <w:tcW w:type="dxa" w:w="2880"/>
          </w:tcPr>
          <w:p>
            <w:pPr>
              <w:jc w:val="center"/>
            </w:pPr>
            <w:r>
              <w:rPr>
                <w:rFonts w:ascii="宋体" w:hAnsi="宋体" w:eastAsia="宋体"/>
                <w:b w:val="0"/>
                <w:sz w:val="21"/>
              </w:rPr>
              <w:t>弱脉冲光源</w:t>
            </w:r>
          </w:p>
        </w:tc>
      </w:tr>
      <w:tr>
        <w:tc>
          <w:tcPr>
            <w:tcW w:type="dxa" w:w="2880"/>
          </w:tcPr>
          <w:p>
            <w:pPr>
              <w:jc w:val="center"/>
            </w:pPr>
            <w:r>
              <w:rPr>
                <w:rFonts w:ascii="宋体" w:hAnsi="宋体" w:eastAsia="宋体"/>
                <w:b w:val="0"/>
                <w:sz w:val="21"/>
              </w:rPr>
              <w:t>平均光子数 mu</w:t>
            </w:r>
          </w:p>
        </w:tc>
        <w:tc>
          <w:tcPr>
            <w:tcW w:type="dxa" w:w="2880"/>
          </w:tcPr>
          <w:p>
            <w:pPr>
              <w:jc w:val="center"/>
            </w:pPr>
            <w:r>
              <w:rPr>
                <w:rFonts w:ascii="宋体" w:hAnsi="宋体" w:eastAsia="宋体"/>
                <w:b w:val="0"/>
                <w:sz w:val="21"/>
              </w:rPr>
              <w:t>0.8</w:t>
            </w:r>
          </w:p>
        </w:tc>
        <w:tc>
          <w:tcPr>
            <w:tcW w:type="dxa" w:w="2880"/>
          </w:tcPr>
          <w:p>
            <w:pPr>
              <w:jc w:val="center"/>
            </w:pPr>
            <w:r>
              <w:rPr>
                <w:rFonts w:ascii="宋体" w:hAnsi="宋体" w:eastAsia="宋体"/>
                <w:b w:val="0"/>
                <w:sz w:val="21"/>
              </w:rPr>
              <w:t>兼顾计数率与多光子比例</w:t>
            </w:r>
          </w:p>
        </w:tc>
      </w:tr>
      <w:tr>
        <w:tc>
          <w:tcPr>
            <w:tcW w:type="dxa" w:w="2880"/>
          </w:tcPr>
          <w:p>
            <w:pPr>
              <w:jc w:val="center"/>
            </w:pPr>
            <w:r>
              <w:rPr>
                <w:rFonts w:ascii="宋体" w:hAnsi="宋体" w:eastAsia="宋体"/>
                <w:b w:val="0"/>
                <w:sz w:val="21"/>
              </w:rPr>
              <w:t>探测器效率</w:t>
            </w:r>
          </w:p>
        </w:tc>
        <w:tc>
          <w:tcPr>
            <w:tcW w:type="dxa" w:w="2880"/>
          </w:tcPr>
          <w:p>
            <w:pPr>
              <w:jc w:val="center"/>
            </w:pPr>
            <w:r>
              <w:rPr>
                <w:rFonts w:ascii="宋体" w:hAnsi="宋体" w:eastAsia="宋体"/>
                <w:b w:val="0"/>
                <w:sz w:val="21"/>
              </w:rPr>
              <w:t>40%</w:t>
            </w:r>
          </w:p>
        </w:tc>
        <w:tc>
          <w:tcPr>
            <w:tcW w:type="dxa" w:w="2880"/>
          </w:tcPr>
          <w:p>
            <w:pPr>
              <w:jc w:val="center"/>
            </w:pPr>
            <w:r>
              <w:rPr>
                <w:rFonts w:ascii="宋体" w:hAnsi="宋体" w:eastAsia="宋体"/>
                <w:b w:val="0"/>
                <w:sz w:val="21"/>
              </w:rPr>
              <w:t>单光子探测器</w:t>
            </w:r>
          </w:p>
        </w:tc>
      </w:tr>
      <w:tr>
        <w:tc>
          <w:tcPr>
            <w:tcW w:type="dxa" w:w="2880"/>
          </w:tcPr>
          <w:p>
            <w:pPr>
              <w:jc w:val="center"/>
            </w:pPr>
            <w:r>
              <w:rPr>
                <w:rFonts w:ascii="宋体" w:hAnsi="宋体" w:eastAsia="宋体"/>
                <w:b w:val="0"/>
                <w:sz w:val="21"/>
              </w:rPr>
              <w:t>最大可接受QBER</w:t>
            </w:r>
          </w:p>
        </w:tc>
        <w:tc>
          <w:tcPr>
            <w:tcW w:type="dxa" w:w="2880"/>
          </w:tcPr>
          <w:p>
            <w:pPr>
              <w:jc w:val="center"/>
            </w:pPr>
            <w:r>
              <w:rPr>
                <w:rFonts w:ascii="宋体" w:hAnsi="宋体" w:eastAsia="宋体"/>
                <w:b w:val="0"/>
                <w:sz w:val="21"/>
              </w:rPr>
              <w:t>11%</w:t>
            </w:r>
          </w:p>
        </w:tc>
        <w:tc>
          <w:tcPr>
            <w:tcW w:type="dxa" w:w="2880"/>
          </w:tcPr>
          <w:p>
            <w:pPr>
              <w:jc w:val="center"/>
            </w:pPr>
            <w:r>
              <w:rPr>
                <w:rFonts w:ascii="宋体" w:hAnsi="宋体" w:eastAsia="宋体"/>
                <w:b w:val="0"/>
                <w:sz w:val="21"/>
              </w:rPr>
              <w:t>BB84协议安全阈值</w:t>
            </w:r>
          </w:p>
        </w:tc>
      </w:tr>
      <w:tr>
        <w:tc>
          <w:tcPr>
            <w:tcW w:type="dxa" w:w="2880"/>
          </w:tcPr>
          <w:p>
            <w:pPr>
              <w:jc w:val="center"/>
            </w:pPr>
            <w:r>
              <w:rPr>
                <w:rFonts w:ascii="宋体" w:hAnsi="宋体" w:eastAsia="宋体"/>
                <w:b w:val="0"/>
                <w:sz w:val="21"/>
              </w:rPr>
              <w:t>通信波长</w:t>
            </w:r>
          </w:p>
        </w:tc>
        <w:tc>
          <w:tcPr>
            <w:tcW w:type="dxa" w:w="2880"/>
          </w:tcPr>
          <w:p>
            <w:pPr>
              <w:jc w:val="center"/>
            </w:pPr>
            <w:r>
              <w:rPr>
                <w:rFonts w:ascii="宋体" w:hAnsi="宋体" w:eastAsia="宋体"/>
                <w:b w:val="0"/>
                <w:sz w:val="21"/>
              </w:rPr>
              <w:t>850 nm</w:t>
            </w:r>
          </w:p>
        </w:tc>
        <w:tc>
          <w:tcPr>
            <w:tcW w:type="dxa" w:w="2880"/>
          </w:tcPr>
          <w:p>
            <w:pPr>
              <w:jc w:val="center"/>
            </w:pPr>
            <w:r>
              <w:rPr>
                <w:rFonts w:ascii="宋体" w:hAnsi="宋体" w:eastAsia="宋体"/>
                <w:b w:val="0"/>
                <w:sz w:val="21"/>
              </w:rPr>
              <w:t>大气窗口</w:t>
            </w:r>
          </w:p>
        </w:tc>
      </w:tr>
      <w:tr>
        <w:tc>
          <w:tcPr>
            <w:tcW w:type="dxa" w:w="2880"/>
          </w:tcPr>
          <w:p>
            <w:pPr>
              <w:jc w:val="center"/>
            </w:pPr>
            <w:r>
              <w:rPr>
                <w:rFonts w:ascii="宋体" w:hAnsi="宋体" w:eastAsia="宋体"/>
                <w:b w:val="0"/>
                <w:sz w:val="21"/>
              </w:rPr>
              <w:t>暗计数率</w:t>
            </w:r>
          </w:p>
        </w:tc>
        <w:tc>
          <w:tcPr>
            <w:tcW w:type="dxa" w:w="2880"/>
          </w:tcPr>
          <w:p>
            <w:pPr>
              <w:jc w:val="center"/>
            </w:pPr>
            <w:r>
              <w:rPr>
                <w:rFonts w:ascii="宋体" w:hAnsi="宋体" w:eastAsia="宋体"/>
                <w:b w:val="0"/>
                <w:sz w:val="21"/>
              </w:rPr>
              <w:t>50 Hz</w:t>
            </w:r>
          </w:p>
        </w:tc>
        <w:tc>
          <w:tcPr>
            <w:tcW w:type="dxa" w:w="2880"/>
          </w:tcPr>
          <w:p>
            <w:pPr>
              <w:jc w:val="center"/>
            </w:pPr>
            <w:r>
              <w:rPr>
                <w:rFonts w:ascii="宋体" w:hAnsi="宋体" w:eastAsia="宋体"/>
                <w:b w:val="0"/>
                <w:sz w:val="21"/>
              </w:rPr>
              <w:t>探测器暗噪声</w:t>
            </w:r>
          </w:p>
        </w:tc>
      </w:tr>
    </w:tbl>
    <w:p/>
    <w:p>
      <w:pPr>
        <w:pStyle w:val="Heading1"/>
        <w:spacing w:before="240" w:after="120"/>
        <w:jc w:val="center"/>
      </w:pPr>
      <w:r>
        <w:rPr>
          <w:rFonts w:ascii="黑体" w:hAnsi="黑体" w:eastAsia="黑体"/>
          <w:b/>
          <w:sz w:val="32"/>
        </w:rPr>
        <w:t>3. 系统测试与结果</w:t>
      </w:r>
    </w:p>
    <w:p>
      <w:pPr>
        <w:pStyle w:val="Heading2"/>
        <w:spacing w:before="240" w:after="120"/>
      </w:pPr>
      <w:r>
        <w:rPr>
          <w:rFonts w:ascii="黑体" w:hAnsi="黑体" w:eastAsia="黑体"/>
          <w:b/>
          <w:sz w:val="28"/>
        </w:rPr>
        <w:t>3.1 测试方案</w:t>
      </w:r>
    </w:p>
    <w:p>
      <w:pPr>
        <w:spacing w:line="360" w:lineRule="auto" w:after="120"/>
        <w:ind w:firstLine="720"/>
      </w:pPr>
      <w:r>
        <w:rPr>
          <w:rFonts w:ascii="宋体" w:hAnsi="宋体" w:eastAsia="宋体"/>
          <w:b w:val="0"/>
          <w:sz w:val="21"/>
        </w:rPr>
        <w:t>测试采用模块化分级策略：单元测试覆盖各独立模块（QKD核心、攻击模块、防御模块），集成测试验证全链路数据流，性能测试通过多次运行取统计平均。测试环境：Python 3.11，NumPy 1.26，Gradio 3.50+，Windows操作系统。性能测试使用time.perf_counter()计时，每项运行10次取均值与标准差。</w:t>
      </w:r>
    </w:p>
    <w:p>
      <w:pPr>
        <w:pStyle w:val="Heading2"/>
        <w:spacing w:before="240" w:after="120"/>
      </w:pPr>
      <w:r>
        <w:rPr>
          <w:rFonts w:ascii="黑体" w:hAnsi="黑体" w:eastAsia="黑体"/>
          <w:b/>
          <w:sz w:val="28"/>
        </w:rPr>
        <w:t>3.2 功能测试</w:t>
      </w:r>
    </w:p>
    <w:p>
      <w:pPr>
        <w:spacing w:line="360" w:lineRule="auto" w:after="120"/>
        <w:ind w:firstLine="720"/>
      </w:pPr>
      <w:r>
        <w:rPr>
          <w:rFonts w:ascii="宋体" w:hAnsi="宋体" w:eastAsia="宋体"/>
          <w:b w:val="0"/>
          <w:sz w:val="21"/>
        </w:rPr>
        <w:t>功能测试结果汇总：</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1"/>
              </w:rPr>
              <w:t>测试项</w:t>
            </w:r>
          </w:p>
        </w:tc>
        <w:tc>
          <w:tcPr>
            <w:tcW w:type="dxa" w:w="2880"/>
          </w:tcPr>
          <w:p>
            <w:pPr>
              <w:jc w:val="center"/>
            </w:pPr>
            <w:r>
              <w:rPr>
                <w:rFonts w:ascii="黑体" w:hAnsi="黑体" w:eastAsia="黑体"/>
                <w:b/>
                <w:sz w:val="21"/>
              </w:rPr>
              <w:t>测试方法</w:t>
            </w:r>
          </w:p>
        </w:tc>
        <w:tc>
          <w:tcPr>
            <w:tcW w:type="dxa" w:w="2880"/>
          </w:tcPr>
          <w:p>
            <w:pPr>
              <w:jc w:val="center"/>
            </w:pPr>
            <w:r>
              <w:rPr>
                <w:rFonts w:ascii="黑体" w:hAnsi="黑体" w:eastAsia="黑体"/>
                <w:b/>
                <w:sz w:val="21"/>
              </w:rPr>
              <w:t>通过标准/结果</w:t>
            </w:r>
          </w:p>
        </w:tc>
      </w:tr>
      <w:tr>
        <w:tc>
          <w:tcPr>
            <w:tcW w:type="dxa" w:w="2880"/>
          </w:tcPr>
          <w:p>
            <w:pPr>
              <w:jc w:val="center"/>
            </w:pPr>
            <w:r>
              <w:rPr>
                <w:rFonts w:ascii="宋体" w:hAnsi="宋体" w:eastAsia="宋体"/>
                <w:b w:val="0"/>
                <w:sz w:val="21"/>
              </w:rPr>
              <w:t>基础QKD仿真</w:t>
            </w:r>
          </w:p>
        </w:tc>
        <w:tc>
          <w:tcPr>
            <w:tcW w:type="dxa" w:w="2880"/>
          </w:tcPr>
          <w:p>
            <w:pPr>
              <w:jc w:val="center"/>
            </w:pPr>
            <w:r>
              <w:rPr>
                <w:rFonts w:ascii="宋体" w:hAnsi="宋体" w:eastAsia="宋体"/>
                <w:b w:val="0"/>
                <w:sz w:val="21"/>
              </w:rPr>
              <w:t>运行10000脉冲无攻击场景</w:t>
            </w:r>
          </w:p>
        </w:tc>
        <w:tc>
          <w:tcPr>
            <w:tcW w:type="dxa" w:w="2880"/>
          </w:tcPr>
          <w:p>
            <w:pPr>
              <w:jc w:val="center"/>
            </w:pPr>
            <w:r>
              <w:rPr>
                <w:rFonts w:ascii="宋体" w:hAnsi="宋体" w:eastAsia="宋体"/>
                <w:b w:val="0"/>
                <w:sz w:val="21"/>
              </w:rPr>
              <w:t>QBER&lt;1%，筛选密钥率&gt;0，通过</w:t>
            </w:r>
          </w:p>
        </w:tc>
      </w:tr>
      <w:tr>
        <w:tc>
          <w:tcPr>
            <w:tcW w:type="dxa" w:w="2880"/>
          </w:tcPr>
          <w:p>
            <w:pPr>
              <w:jc w:val="center"/>
            </w:pPr>
            <w:r>
              <w:rPr>
                <w:rFonts w:ascii="宋体" w:hAnsi="宋体" w:eastAsia="宋体"/>
                <w:b w:val="0"/>
                <w:sz w:val="21"/>
              </w:rPr>
              <w:t>攻击检测</w:t>
            </w:r>
          </w:p>
        </w:tc>
        <w:tc>
          <w:tcPr>
            <w:tcW w:type="dxa" w:w="2880"/>
          </w:tcPr>
          <w:p>
            <w:pPr>
              <w:jc w:val="center"/>
            </w:pPr>
            <w:r>
              <w:rPr>
                <w:rFonts w:ascii="宋体" w:hAnsi="宋体" w:eastAsia="宋体"/>
                <w:b w:val="0"/>
                <w:sz w:val="21"/>
              </w:rPr>
              <w:t>分别启用三类攻击</w:t>
            </w:r>
          </w:p>
        </w:tc>
        <w:tc>
          <w:tcPr>
            <w:tcW w:type="dxa" w:w="2880"/>
          </w:tcPr>
          <w:p>
            <w:pPr>
              <w:jc w:val="center"/>
            </w:pPr>
            <w:r>
              <w:rPr>
                <w:rFonts w:ascii="宋体" w:hAnsi="宋体" w:eastAsia="宋体"/>
                <w:b w:val="0"/>
                <w:sz w:val="21"/>
              </w:rPr>
              <w:t>截获重发QBER&gt;9%（50%强度），通过</w:t>
            </w:r>
          </w:p>
        </w:tc>
      </w:tr>
      <w:tr>
        <w:tc>
          <w:tcPr>
            <w:tcW w:type="dxa" w:w="2880"/>
          </w:tcPr>
          <w:p>
            <w:pPr>
              <w:jc w:val="center"/>
            </w:pPr>
            <w:r>
              <w:rPr>
                <w:rFonts w:ascii="宋体" w:hAnsi="宋体" w:eastAsia="宋体"/>
                <w:b w:val="0"/>
                <w:sz w:val="21"/>
              </w:rPr>
              <w:t>隐私放大</w:t>
            </w:r>
          </w:p>
        </w:tc>
        <w:tc>
          <w:tcPr>
            <w:tcW w:type="dxa" w:w="2880"/>
          </w:tcPr>
          <w:p>
            <w:pPr>
              <w:jc w:val="center"/>
            </w:pPr>
            <w:r>
              <w:rPr>
                <w:rFonts w:ascii="宋体" w:hAnsi="宋体" w:eastAsia="宋体"/>
                <w:b w:val="0"/>
                <w:sz w:val="21"/>
              </w:rPr>
              <w:t>光束分离攻击+隐私放大</w:t>
            </w:r>
          </w:p>
        </w:tc>
        <w:tc>
          <w:tcPr>
            <w:tcW w:type="dxa" w:w="2880"/>
          </w:tcPr>
          <w:p>
            <w:pPr>
              <w:jc w:val="center"/>
            </w:pPr>
            <w:r>
              <w:rPr>
                <w:rFonts w:ascii="宋体" w:hAnsi="宋体" w:eastAsia="宋体"/>
                <w:b w:val="0"/>
                <w:sz w:val="21"/>
              </w:rPr>
              <w:t>QBER&lt;11%时返回安全密钥长度，通过</w:t>
            </w:r>
          </w:p>
        </w:tc>
      </w:tr>
      <w:tr>
        <w:tc>
          <w:tcPr>
            <w:tcW w:type="dxa" w:w="2880"/>
          </w:tcPr>
          <w:p>
            <w:pPr>
              <w:jc w:val="center"/>
            </w:pPr>
            <w:r>
              <w:rPr>
                <w:rFonts w:ascii="宋体" w:hAnsi="宋体" w:eastAsia="宋体"/>
                <w:b w:val="0"/>
                <w:sz w:val="21"/>
              </w:rPr>
              <w:t>诱骗态检测</w:t>
            </w:r>
          </w:p>
        </w:tc>
        <w:tc>
          <w:tcPr>
            <w:tcW w:type="dxa" w:w="2880"/>
          </w:tcPr>
          <w:p>
            <w:pPr>
              <w:jc w:val="center"/>
            </w:pPr>
            <w:r>
              <w:rPr>
                <w:rFonts w:ascii="宋体" w:hAnsi="宋体" w:eastAsia="宋体"/>
                <w:b w:val="0"/>
                <w:sz w:val="21"/>
              </w:rPr>
              <w:t>PNS攻击下比较产额比</w:t>
            </w:r>
          </w:p>
        </w:tc>
        <w:tc>
          <w:tcPr>
            <w:tcW w:type="dxa" w:w="2880"/>
          </w:tcPr>
          <w:p>
            <w:pPr>
              <w:jc w:val="center"/>
            </w:pPr>
            <w:r>
              <w:rPr>
                <w:rFonts w:ascii="宋体" w:hAnsi="宋体" w:eastAsia="宋体"/>
                <w:b w:val="0"/>
                <w:sz w:val="21"/>
              </w:rPr>
              <w:t>产额比异常时正确报警，通过</w:t>
            </w:r>
          </w:p>
        </w:tc>
      </w:tr>
      <w:tr>
        <w:tc>
          <w:tcPr>
            <w:tcW w:type="dxa" w:w="2880"/>
          </w:tcPr>
          <w:p>
            <w:pPr>
              <w:jc w:val="center"/>
            </w:pPr>
            <w:r>
              <w:rPr>
                <w:rFonts w:ascii="宋体" w:hAnsi="宋体" w:eastAsia="宋体"/>
                <w:b w:val="0"/>
                <w:sz w:val="21"/>
              </w:rPr>
              <w:t>信道模型</w:t>
            </w:r>
          </w:p>
        </w:tc>
        <w:tc>
          <w:tcPr>
            <w:tcW w:type="dxa" w:w="2880"/>
          </w:tcPr>
          <w:p>
            <w:pPr>
              <w:jc w:val="center"/>
            </w:pPr>
            <w:r>
              <w:rPr>
                <w:rFonts w:ascii="宋体" w:hAnsi="宋体" w:eastAsia="宋体"/>
                <w:b w:val="0"/>
                <w:sz w:val="21"/>
              </w:rPr>
              <w:t>不同距离/仰角/天气组合</w:t>
            </w:r>
          </w:p>
        </w:tc>
        <w:tc>
          <w:tcPr>
            <w:tcW w:type="dxa" w:w="2880"/>
          </w:tcPr>
          <w:p>
            <w:pPr>
              <w:jc w:val="center"/>
            </w:pPr>
            <w:r>
              <w:rPr>
                <w:rFonts w:ascii="宋体" w:hAnsi="宋体" w:eastAsia="宋体"/>
                <w:b w:val="0"/>
                <w:sz w:val="21"/>
              </w:rPr>
              <w:t>QBER和密钥率随信道恶化递减，通过</w:t>
            </w:r>
          </w:p>
        </w:tc>
      </w:tr>
    </w:tbl>
    <w:p/>
    <w:p>
      <w:pPr>
        <w:pStyle w:val="Heading2"/>
        <w:spacing w:before="240" w:after="120"/>
      </w:pPr>
      <w:r>
        <w:rPr>
          <w:rFonts w:ascii="黑体" w:hAnsi="黑体" w:eastAsia="黑体"/>
          <w:b/>
          <w:sz w:val="28"/>
        </w:rPr>
        <w:t>3.3 性能测试</w:t>
      </w:r>
    </w:p>
    <w:p>
      <w:pPr>
        <w:spacing w:line="360" w:lineRule="auto" w:after="120"/>
        <w:ind w:firstLine="720"/>
      </w:pPr>
      <w:r>
        <w:rPr>
          <w:rFonts w:ascii="宋体" w:hAnsi="宋体" w:eastAsia="宋体"/>
          <w:b w:val="0"/>
          <w:sz w:val="21"/>
        </w:rPr>
        <w:t>性能测试重点关注QKD核心计算延迟，测试结果如下：</w:t>
      </w:r>
    </w:p>
    <w:p>
      <w:pPr>
        <w:pStyle w:val="ListBullet"/>
        <w:spacing w:line="360" w:lineRule="auto" w:after="60"/>
        <w:ind w:left="720"/>
      </w:pPr>
      <w:r>
        <w:rPr>
          <w:rFonts w:ascii="宋体" w:hAnsi="宋体" w:eastAsia="宋体"/>
          <w:b w:val="0"/>
          <w:sz w:val="21"/>
        </w:rPr>
        <w:t>单次QKD仿真（10000脉冲）：在良好信道（透射率10%）下平均耗时约5.6 +/- 0.2 ms；在理想信道（透射率100%）下平均耗时约16.6 +/- 0.7 ms。差异主要源于理想信道下更多光子需要逐个模拟传输。</w:t>
      </w:r>
    </w:p>
    <w:p>
      <w:pPr>
        <w:pStyle w:val="ListBullet"/>
        <w:spacing w:line="360" w:lineRule="auto" w:after="60"/>
        <w:ind w:left="720"/>
      </w:pPr>
      <w:r>
        <w:rPr>
          <w:rFonts w:ascii="宋体" w:hAnsi="宋体" w:eastAsia="宋体"/>
          <w:b w:val="0"/>
          <w:sz w:val="21"/>
        </w:rPr>
        <w:t>攻击场景额外开销：截获-重发攻击增加约0.5ms（6.1ms vs 5.6ms），光束分离和PNS攻击几乎无额外开销，因为攻击逻辑为向量化NumPy操作。</w:t>
      </w:r>
    </w:p>
    <w:p>
      <w:pPr>
        <w:pStyle w:val="ListBullet"/>
        <w:spacing w:line="360" w:lineRule="auto" w:after="60"/>
        <w:ind w:left="720"/>
      </w:pPr>
      <w:r>
        <w:rPr>
          <w:rFonts w:ascii="宋体" w:hAnsi="宋体" w:eastAsia="宋体"/>
          <w:b w:val="0"/>
          <w:sz w:val="21"/>
        </w:rPr>
        <w:t>内存占用：单次仿真峰值内存增量可忽略（&lt;10MB），90分钟过境时间线（约5400点）缓存峰值约150-200MB。</w:t>
      </w:r>
    </w:p>
    <w:p>
      <w:pPr>
        <w:pStyle w:val="Heading2"/>
        <w:spacing w:before="240" w:after="120"/>
      </w:pPr>
      <w:r>
        <w:rPr>
          <w:rFonts w:ascii="黑体" w:hAnsi="黑体" w:eastAsia="黑体"/>
          <w:b/>
          <w:sz w:val="28"/>
        </w:rPr>
        <w:t>3.4 测试数据与结果</w:t>
      </w:r>
    </w:p>
    <w:p>
      <w:pPr>
        <w:spacing w:line="360" w:lineRule="auto" w:after="120"/>
        <w:ind w:firstLine="720"/>
      </w:pPr>
      <w:r>
        <w:rPr>
          <w:rFonts w:ascii="宋体" w:hAnsi="宋体" w:eastAsia="宋体"/>
          <w:b w:val="0"/>
          <w:sz w:val="21"/>
        </w:rPr>
        <w:t>表4给出了不同信道条件下的实测数据（10000脉冲仿真）：</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1"/>
              </w:rPr>
              <w:t>场景</w:t>
            </w:r>
          </w:p>
        </w:tc>
        <w:tc>
          <w:tcPr>
            <w:tcW w:type="dxa" w:w="1728"/>
          </w:tcPr>
          <w:p>
            <w:pPr>
              <w:jc w:val="center"/>
            </w:pPr>
            <w:r>
              <w:rPr>
                <w:rFonts w:ascii="黑体" w:hAnsi="黑体" w:eastAsia="黑体"/>
                <w:b/>
                <w:sz w:val="21"/>
              </w:rPr>
              <w:t>透射率</w:t>
            </w:r>
          </w:p>
        </w:tc>
        <w:tc>
          <w:tcPr>
            <w:tcW w:type="dxa" w:w="1728"/>
          </w:tcPr>
          <w:p>
            <w:pPr>
              <w:jc w:val="center"/>
            </w:pPr>
            <w:r>
              <w:rPr>
                <w:rFonts w:ascii="黑体" w:hAnsi="黑体" w:eastAsia="黑体"/>
                <w:b/>
                <w:sz w:val="21"/>
              </w:rPr>
              <w:t>QBER</w:t>
            </w:r>
          </w:p>
        </w:tc>
        <w:tc>
          <w:tcPr>
            <w:tcW w:type="dxa" w:w="1728"/>
          </w:tcPr>
          <w:p>
            <w:pPr>
              <w:jc w:val="center"/>
            </w:pPr>
            <w:r>
              <w:rPr>
                <w:rFonts w:ascii="黑体" w:hAnsi="黑体" w:eastAsia="黑体"/>
                <w:b/>
                <w:sz w:val="21"/>
              </w:rPr>
              <w:t>筛选密钥率</w:t>
            </w:r>
          </w:p>
        </w:tc>
        <w:tc>
          <w:tcPr>
            <w:tcW w:type="dxa" w:w="1728"/>
          </w:tcPr>
          <w:p>
            <w:pPr>
              <w:jc w:val="center"/>
            </w:pPr>
            <w:r>
              <w:rPr>
                <w:rFonts w:ascii="黑体" w:hAnsi="黑体" w:eastAsia="黑体"/>
                <w:b/>
                <w:sz w:val="21"/>
              </w:rPr>
              <w:t>Eve信息比例</w:t>
            </w:r>
          </w:p>
        </w:tc>
      </w:tr>
      <w:tr>
        <w:tc>
          <w:tcPr>
            <w:tcW w:type="dxa" w:w="1728"/>
          </w:tcPr>
          <w:p>
            <w:pPr>
              <w:jc w:val="center"/>
            </w:pPr>
            <w:r>
              <w:rPr>
                <w:rFonts w:ascii="宋体" w:hAnsi="宋体" w:eastAsia="宋体"/>
                <w:b w:val="0"/>
                <w:sz w:val="21"/>
              </w:rPr>
              <w:t>理想信道</w:t>
            </w:r>
          </w:p>
        </w:tc>
        <w:tc>
          <w:tcPr>
            <w:tcW w:type="dxa" w:w="1728"/>
          </w:tcPr>
          <w:p>
            <w:pPr>
              <w:jc w:val="center"/>
            </w:pPr>
            <w:r>
              <w:rPr>
                <w:rFonts w:ascii="宋体" w:hAnsi="宋体" w:eastAsia="宋体"/>
                <w:b w:val="0"/>
                <w:sz w:val="21"/>
              </w:rPr>
              <w:t>100%</w:t>
            </w:r>
          </w:p>
        </w:tc>
        <w:tc>
          <w:tcPr>
            <w:tcW w:type="dxa" w:w="1728"/>
          </w:tcPr>
          <w:p>
            <w:pPr>
              <w:jc w:val="center"/>
            </w:pPr>
            <w:r>
              <w:rPr>
                <w:rFonts w:ascii="宋体" w:hAnsi="宋体" w:eastAsia="宋体"/>
                <w:b w:val="0"/>
                <w:sz w:val="21"/>
              </w:rPr>
              <w:t>0.29%</w:t>
            </w:r>
          </w:p>
        </w:tc>
        <w:tc>
          <w:tcPr>
            <w:tcW w:type="dxa" w:w="1728"/>
          </w:tcPr>
          <w:p>
            <w:pPr>
              <w:jc w:val="center"/>
            </w:pPr>
            <w:r>
              <w:rPr>
                <w:rFonts w:ascii="宋体" w:hAnsi="宋体" w:eastAsia="宋体"/>
                <w:b w:val="0"/>
                <w:sz w:val="21"/>
              </w:rPr>
              <w:t>~14000 kbps</w:t>
            </w:r>
          </w:p>
        </w:tc>
        <w:tc>
          <w:tcPr>
            <w:tcW w:type="dxa" w:w="1728"/>
          </w:tcPr>
          <w:p>
            <w:pPr>
              <w:jc w:val="center"/>
            </w:pPr>
            <w:r>
              <w:rPr>
                <w:rFonts w:ascii="宋体" w:hAnsi="宋体" w:eastAsia="宋体"/>
                <w:b w:val="0"/>
                <w:sz w:val="21"/>
              </w:rPr>
              <w:t>0%</w:t>
            </w:r>
          </w:p>
        </w:tc>
      </w:tr>
      <w:tr>
        <w:tc>
          <w:tcPr>
            <w:tcW w:type="dxa" w:w="1728"/>
          </w:tcPr>
          <w:p>
            <w:pPr>
              <w:jc w:val="center"/>
            </w:pPr>
            <w:r>
              <w:rPr>
                <w:rFonts w:ascii="宋体" w:hAnsi="宋体" w:eastAsia="宋体"/>
                <w:b w:val="0"/>
                <w:sz w:val="21"/>
              </w:rPr>
              <w:t>良好信道（400km天顶）</w:t>
            </w:r>
          </w:p>
        </w:tc>
        <w:tc>
          <w:tcPr>
            <w:tcW w:type="dxa" w:w="1728"/>
          </w:tcPr>
          <w:p>
            <w:pPr>
              <w:jc w:val="center"/>
            </w:pPr>
            <w:r>
              <w:rPr>
                <w:rFonts w:ascii="宋体" w:hAnsi="宋体" w:eastAsia="宋体"/>
                <w:b w:val="0"/>
                <w:sz w:val="21"/>
              </w:rPr>
              <w:t>10%</w:t>
            </w:r>
          </w:p>
        </w:tc>
        <w:tc>
          <w:tcPr>
            <w:tcW w:type="dxa" w:w="1728"/>
          </w:tcPr>
          <w:p>
            <w:pPr>
              <w:jc w:val="center"/>
            </w:pPr>
            <w:r>
              <w:rPr>
                <w:rFonts w:ascii="宋体" w:hAnsi="宋体" w:eastAsia="宋体"/>
                <w:b w:val="0"/>
                <w:sz w:val="21"/>
              </w:rPr>
              <w:t>0.65%</w:t>
            </w:r>
          </w:p>
        </w:tc>
        <w:tc>
          <w:tcPr>
            <w:tcW w:type="dxa" w:w="1728"/>
          </w:tcPr>
          <w:p>
            <w:pPr>
              <w:jc w:val="center"/>
            </w:pPr>
            <w:r>
              <w:rPr>
                <w:rFonts w:ascii="宋体" w:hAnsi="宋体" w:eastAsia="宋体"/>
                <w:b w:val="0"/>
                <w:sz w:val="21"/>
              </w:rPr>
              <w:t>~1550 kbps</w:t>
            </w:r>
          </w:p>
        </w:tc>
        <w:tc>
          <w:tcPr>
            <w:tcW w:type="dxa" w:w="1728"/>
          </w:tcPr>
          <w:p>
            <w:pPr>
              <w:jc w:val="center"/>
            </w:pPr>
            <w:r>
              <w:rPr>
                <w:rFonts w:ascii="宋体" w:hAnsi="宋体" w:eastAsia="宋体"/>
                <w:b w:val="0"/>
                <w:sz w:val="21"/>
              </w:rPr>
              <w:t>0%</w:t>
            </w:r>
          </w:p>
        </w:tc>
      </w:tr>
      <w:tr>
        <w:tc>
          <w:tcPr>
            <w:tcW w:type="dxa" w:w="1728"/>
          </w:tcPr>
          <w:p>
            <w:pPr>
              <w:jc w:val="center"/>
            </w:pPr>
            <w:r>
              <w:rPr>
                <w:rFonts w:ascii="宋体" w:hAnsi="宋体" w:eastAsia="宋体"/>
                <w:b w:val="0"/>
                <w:sz w:val="21"/>
              </w:rPr>
              <w:t>中等信道（1%透射率）</w:t>
            </w:r>
          </w:p>
        </w:tc>
        <w:tc>
          <w:tcPr>
            <w:tcW w:type="dxa" w:w="1728"/>
          </w:tcPr>
          <w:p>
            <w:pPr>
              <w:jc w:val="center"/>
            </w:pPr>
            <w:r>
              <w:rPr>
                <w:rFonts w:ascii="宋体" w:hAnsi="宋体" w:eastAsia="宋体"/>
                <w:b w:val="0"/>
                <w:sz w:val="21"/>
              </w:rPr>
              <w:t>1%</w:t>
            </w:r>
          </w:p>
        </w:tc>
        <w:tc>
          <w:tcPr>
            <w:tcW w:type="dxa" w:w="1728"/>
          </w:tcPr>
          <w:p>
            <w:pPr>
              <w:jc w:val="center"/>
            </w:pPr>
            <w:r>
              <w:rPr>
                <w:rFonts w:ascii="宋体" w:hAnsi="宋体" w:eastAsia="宋体"/>
                <w:b w:val="0"/>
                <w:sz w:val="21"/>
              </w:rPr>
              <w:t>0.00%</w:t>
            </w:r>
          </w:p>
        </w:tc>
        <w:tc>
          <w:tcPr>
            <w:tcW w:type="dxa" w:w="1728"/>
          </w:tcPr>
          <w:p>
            <w:pPr>
              <w:jc w:val="center"/>
            </w:pPr>
            <w:r>
              <w:rPr>
                <w:rFonts w:ascii="宋体" w:hAnsi="宋体" w:eastAsia="宋体"/>
                <w:b w:val="0"/>
                <w:sz w:val="21"/>
              </w:rPr>
              <w:t>~180 kbps</w:t>
            </w:r>
          </w:p>
        </w:tc>
        <w:tc>
          <w:tcPr>
            <w:tcW w:type="dxa" w:w="1728"/>
          </w:tcPr>
          <w:p>
            <w:pPr>
              <w:jc w:val="center"/>
            </w:pPr>
            <w:r>
              <w:rPr>
                <w:rFonts w:ascii="宋体" w:hAnsi="宋体" w:eastAsia="宋体"/>
                <w:b w:val="0"/>
                <w:sz w:val="21"/>
              </w:rPr>
              <w:t>0%</w:t>
            </w:r>
          </w:p>
        </w:tc>
      </w:tr>
      <w:tr>
        <w:tc>
          <w:tcPr>
            <w:tcW w:type="dxa" w:w="1728"/>
          </w:tcPr>
          <w:p>
            <w:pPr>
              <w:jc w:val="center"/>
            </w:pPr>
            <w:r>
              <w:rPr>
                <w:rFonts w:ascii="宋体" w:hAnsi="宋体" w:eastAsia="宋体"/>
                <w:b w:val="0"/>
                <w:sz w:val="21"/>
              </w:rPr>
              <w:t>较差信道（0.1%透射率）</w:t>
            </w:r>
          </w:p>
        </w:tc>
        <w:tc>
          <w:tcPr>
            <w:tcW w:type="dxa" w:w="1728"/>
          </w:tcPr>
          <w:p>
            <w:pPr>
              <w:jc w:val="center"/>
            </w:pPr>
            <w:r>
              <w:rPr>
                <w:rFonts w:ascii="宋体" w:hAnsi="宋体" w:eastAsia="宋体"/>
                <w:b w:val="0"/>
                <w:sz w:val="21"/>
              </w:rPr>
              <w:t>0.1%</w:t>
            </w:r>
          </w:p>
        </w:tc>
        <w:tc>
          <w:tcPr>
            <w:tcW w:type="dxa" w:w="1728"/>
          </w:tcPr>
          <w:p>
            <w:pPr>
              <w:jc w:val="center"/>
            </w:pPr>
            <w:r>
              <w:rPr>
                <w:rFonts w:ascii="宋体" w:hAnsi="宋体" w:eastAsia="宋体"/>
                <w:b w:val="0"/>
                <w:sz w:val="21"/>
              </w:rPr>
              <w:t>0.00%</w:t>
            </w:r>
          </w:p>
        </w:tc>
        <w:tc>
          <w:tcPr>
            <w:tcW w:type="dxa" w:w="1728"/>
          </w:tcPr>
          <w:p>
            <w:pPr>
              <w:jc w:val="center"/>
            </w:pPr>
            <w:r>
              <w:rPr>
                <w:rFonts w:ascii="宋体" w:hAnsi="宋体" w:eastAsia="宋体"/>
                <w:b w:val="0"/>
                <w:sz w:val="21"/>
              </w:rPr>
              <w:t>0 kbps</w:t>
            </w:r>
          </w:p>
        </w:tc>
        <w:tc>
          <w:tcPr>
            <w:tcW w:type="dxa" w:w="1728"/>
          </w:tcPr>
          <w:p>
            <w:pPr>
              <w:jc w:val="center"/>
            </w:pPr>
            <w:r>
              <w:rPr>
                <w:rFonts w:ascii="宋体" w:hAnsi="宋体" w:eastAsia="宋体"/>
                <w:b w:val="0"/>
                <w:sz w:val="21"/>
              </w:rPr>
              <w:t>0%</w:t>
            </w:r>
          </w:p>
        </w:tc>
      </w:tr>
      <w:tr>
        <w:tc>
          <w:tcPr>
            <w:tcW w:type="dxa" w:w="1728"/>
          </w:tcPr>
          <w:p>
            <w:pPr>
              <w:jc w:val="center"/>
            </w:pPr>
            <w:r>
              <w:rPr>
                <w:rFonts w:ascii="宋体" w:hAnsi="宋体" w:eastAsia="宋体"/>
                <w:b w:val="0"/>
                <w:sz w:val="21"/>
              </w:rPr>
              <w:t>截获重发 50%</w:t>
            </w:r>
          </w:p>
        </w:tc>
        <w:tc>
          <w:tcPr>
            <w:tcW w:type="dxa" w:w="1728"/>
          </w:tcPr>
          <w:p>
            <w:pPr>
              <w:jc w:val="center"/>
            </w:pPr>
            <w:r>
              <w:rPr>
                <w:rFonts w:ascii="宋体" w:hAnsi="宋体" w:eastAsia="宋体"/>
                <w:b w:val="0"/>
                <w:sz w:val="21"/>
              </w:rPr>
              <w:t>10%</w:t>
            </w:r>
          </w:p>
        </w:tc>
        <w:tc>
          <w:tcPr>
            <w:tcW w:type="dxa" w:w="1728"/>
          </w:tcPr>
          <w:p>
            <w:pPr>
              <w:jc w:val="center"/>
            </w:pPr>
            <w:r>
              <w:rPr>
                <w:rFonts w:ascii="宋体" w:hAnsi="宋体" w:eastAsia="宋体"/>
                <w:b w:val="0"/>
                <w:sz w:val="21"/>
              </w:rPr>
              <w:t>9.33%</w:t>
            </w:r>
          </w:p>
        </w:tc>
        <w:tc>
          <w:tcPr>
            <w:tcW w:type="dxa" w:w="1728"/>
          </w:tcPr>
          <w:p>
            <w:pPr>
              <w:jc w:val="center"/>
            </w:pPr>
            <w:r>
              <w:rPr>
                <w:rFonts w:ascii="宋体" w:hAnsi="宋体" w:eastAsia="宋体"/>
                <w:b w:val="0"/>
                <w:sz w:val="21"/>
              </w:rPr>
              <w:t>~1500 kbps</w:t>
            </w:r>
          </w:p>
        </w:tc>
        <w:tc>
          <w:tcPr>
            <w:tcW w:type="dxa" w:w="1728"/>
          </w:tcPr>
          <w:p>
            <w:pPr>
              <w:jc w:val="center"/>
            </w:pPr>
            <w:r>
              <w:rPr>
                <w:rFonts w:ascii="宋体" w:hAnsi="宋体" w:eastAsia="宋体"/>
                <w:b w:val="0"/>
                <w:sz w:val="21"/>
              </w:rPr>
              <w:t>~39.3%</w:t>
            </w:r>
          </w:p>
        </w:tc>
      </w:tr>
      <w:tr>
        <w:tc>
          <w:tcPr>
            <w:tcW w:type="dxa" w:w="1728"/>
          </w:tcPr>
          <w:p>
            <w:pPr>
              <w:jc w:val="center"/>
            </w:pPr>
            <w:r>
              <w:rPr>
                <w:rFonts w:ascii="宋体" w:hAnsi="宋体" w:eastAsia="宋体"/>
                <w:b w:val="0"/>
                <w:sz w:val="21"/>
              </w:rPr>
              <w:t>光束分离 30%</w:t>
            </w:r>
          </w:p>
        </w:tc>
        <w:tc>
          <w:tcPr>
            <w:tcW w:type="dxa" w:w="1728"/>
          </w:tcPr>
          <w:p>
            <w:pPr>
              <w:jc w:val="center"/>
            </w:pPr>
            <w:r>
              <w:rPr>
                <w:rFonts w:ascii="宋体" w:hAnsi="宋体" w:eastAsia="宋体"/>
                <w:b w:val="0"/>
                <w:sz w:val="21"/>
              </w:rPr>
              <w:t>10%</w:t>
            </w:r>
          </w:p>
        </w:tc>
        <w:tc>
          <w:tcPr>
            <w:tcW w:type="dxa" w:w="1728"/>
          </w:tcPr>
          <w:p>
            <w:pPr>
              <w:jc w:val="center"/>
            </w:pPr>
            <w:r>
              <w:rPr>
                <w:rFonts w:ascii="宋体" w:hAnsi="宋体" w:eastAsia="宋体"/>
                <w:b w:val="0"/>
                <w:sz w:val="21"/>
              </w:rPr>
              <w:t>0.00%</w:t>
            </w:r>
          </w:p>
        </w:tc>
        <w:tc>
          <w:tcPr>
            <w:tcW w:type="dxa" w:w="1728"/>
          </w:tcPr>
          <w:p>
            <w:pPr>
              <w:jc w:val="center"/>
            </w:pPr>
            <w:r>
              <w:rPr>
                <w:rFonts w:ascii="宋体" w:hAnsi="宋体" w:eastAsia="宋体"/>
                <w:b w:val="0"/>
                <w:sz w:val="21"/>
              </w:rPr>
              <w:t>~1210 kbps</w:t>
            </w:r>
          </w:p>
        </w:tc>
        <w:tc>
          <w:tcPr>
            <w:tcW w:type="dxa" w:w="1728"/>
          </w:tcPr>
          <w:p>
            <w:pPr>
              <w:jc w:val="center"/>
            </w:pPr>
            <w:r>
              <w:rPr>
                <w:rFonts w:ascii="宋体" w:hAnsi="宋体" w:eastAsia="宋体"/>
                <w:b w:val="0"/>
                <w:sz w:val="21"/>
              </w:rPr>
              <w:t>~16.2%</w:t>
            </w:r>
          </w:p>
        </w:tc>
      </w:tr>
      <w:tr>
        <w:tc>
          <w:tcPr>
            <w:tcW w:type="dxa" w:w="1728"/>
          </w:tcPr>
          <w:p>
            <w:pPr>
              <w:jc w:val="center"/>
            </w:pPr>
            <w:r>
              <w:rPr>
                <w:rFonts w:ascii="宋体" w:hAnsi="宋体" w:eastAsia="宋体"/>
                <w:b w:val="0"/>
                <w:sz w:val="21"/>
              </w:rPr>
              <w:t>PNS攻击</w:t>
            </w:r>
          </w:p>
        </w:tc>
        <w:tc>
          <w:tcPr>
            <w:tcW w:type="dxa" w:w="1728"/>
          </w:tcPr>
          <w:p>
            <w:pPr>
              <w:jc w:val="center"/>
            </w:pPr>
            <w:r>
              <w:rPr>
                <w:rFonts w:ascii="宋体" w:hAnsi="宋体" w:eastAsia="宋体"/>
                <w:b w:val="0"/>
                <w:sz w:val="21"/>
              </w:rPr>
              <w:t>10%</w:t>
            </w:r>
          </w:p>
        </w:tc>
        <w:tc>
          <w:tcPr>
            <w:tcW w:type="dxa" w:w="1728"/>
          </w:tcPr>
          <w:p>
            <w:pPr>
              <w:jc w:val="center"/>
            </w:pPr>
            <w:r>
              <w:rPr>
                <w:rFonts w:ascii="宋体" w:hAnsi="宋体" w:eastAsia="宋体"/>
                <w:b w:val="0"/>
                <w:sz w:val="21"/>
              </w:rPr>
              <w:t>0.81%</w:t>
            </w:r>
          </w:p>
        </w:tc>
        <w:tc>
          <w:tcPr>
            <w:tcW w:type="dxa" w:w="1728"/>
          </w:tcPr>
          <w:p>
            <w:pPr>
              <w:jc w:val="center"/>
            </w:pPr>
            <w:r>
              <w:rPr>
                <w:rFonts w:ascii="宋体" w:hAnsi="宋体" w:eastAsia="宋体"/>
                <w:b w:val="0"/>
                <w:sz w:val="21"/>
              </w:rPr>
              <w:t>~1230 kbps</w:t>
            </w:r>
          </w:p>
        </w:tc>
        <w:tc>
          <w:tcPr>
            <w:tcW w:type="dxa" w:w="1728"/>
          </w:tcPr>
          <w:p>
            <w:pPr>
              <w:jc w:val="center"/>
            </w:pPr>
            <w:r>
              <w:rPr>
                <w:rFonts w:ascii="宋体" w:hAnsi="宋体" w:eastAsia="宋体"/>
                <w:b w:val="0"/>
                <w:sz w:val="21"/>
              </w:rPr>
              <w:t>~14.5%</w:t>
            </w:r>
          </w:p>
        </w:tc>
      </w:tr>
    </w:tbl>
    <w:p/>
    <w:p>
      <w:pPr>
        <w:spacing w:line="360" w:lineRule="auto" w:after="120"/>
        <w:ind w:firstLine="720"/>
      </w:pPr>
      <w:r>
        <w:rPr>
          <w:rFonts w:ascii="宋体" w:hAnsi="宋体" w:eastAsia="宋体"/>
          <w:b w:val="0"/>
          <w:sz w:val="21"/>
        </w:rPr>
        <w:t>表5给出了不同星地链路场景的信道分析结果（由channel_model模块计算）：</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1"/>
              </w:rPr>
              <w:t>场景</w:t>
            </w:r>
          </w:p>
        </w:tc>
        <w:tc>
          <w:tcPr>
            <w:tcW w:type="dxa" w:w="1728"/>
          </w:tcPr>
          <w:p>
            <w:pPr>
              <w:jc w:val="center"/>
            </w:pPr>
            <w:r>
              <w:rPr>
                <w:rFonts w:ascii="黑体" w:hAnsi="黑体" w:eastAsia="黑体"/>
                <w:b/>
                <w:sz w:val="21"/>
              </w:rPr>
              <w:t>距离/仰角</w:t>
            </w:r>
          </w:p>
        </w:tc>
        <w:tc>
          <w:tcPr>
            <w:tcW w:type="dxa" w:w="1728"/>
          </w:tcPr>
          <w:p>
            <w:pPr>
              <w:jc w:val="center"/>
            </w:pPr>
            <w:r>
              <w:rPr>
                <w:rFonts w:ascii="黑体" w:hAnsi="黑体" w:eastAsia="黑体"/>
                <w:b/>
                <w:sz w:val="21"/>
              </w:rPr>
              <w:t>总透射率</w:t>
            </w:r>
          </w:p>
        </w:tc>
        <w:tc>
          <w:tcPr>
            <w:tcW w:type="dxa" w:w="1728"/>
          </w:tcPr>
          <w:p>
            <w:pPr>
              <w:jc w:val="center"/>
            </w:pPr>
            <w:r>
              <w:rPr>
                <w:rFonts w:ascii="黑体" w:hAnsi="黑体" w:eastAsia="黑体"/>
                <w:b/>
                <w:sz w:val="21"/>
              </w:rPr>
              <w:t>QBER</w:t>
            </w:r>
          </w:p>
        </w:tc>
        <w:tc>
          <w:tcPr>
            <w:tcW w:type="dxa" w:w="1728"/>
          </w:tcPr>
          <w:p>
            <w:pPr>
              <w:jc w:val="center"/>
            </w:pPr>
            <w:r>
              <w:rPr>
                <w:rFonts w:ascii="黑体" w:hAnsi="黑体" w:eastAsia="黑体"/>
                <w:b/>
                <w:sz w:val="21"/>
              </w:rPr>
              <w:t>安全密钥率</w:t>
            </w:r>
          </w:p>
        </w:tc>
      </w:tr>
      <w:tr>
        <w:tc>
          <w:tcPr>
            <w:tcW w:type="dxa" w:w="1728"/>
          </w:tcPr>
          <w:p>
            <w:pPr>
              <w:jc w:val="center"/>
            </w:pPr>
            <w:r>
              <w:rPr>
                <w:rFonts w:ascii="宋体" w:hAnsi="宋体" w:eastAsia="宋体"/>
                <w:b w:val="0"/>
                <w:sz w:val="21"/>
              </w:rPr>
              <w:t>天顶，晴天</w:t>
            </w:r>
          </w:p>
        </w:tc>
        <w:tc>
          <w:tcPr>
            <w:tcW w:type="dxa" w:w="1728"/>
          </w:tcPr>
          <w:p>
            <w:pPr>
              <w:jc w:val="center"/>
            </w:pPr>
            <w:r>
              <w:rPr>
                <w:rFonts w:ascii="宋体" w:hAnsi="宋体" w:eastAsia="宋体"/>
                <w:b w:val="0"/>
                <w:sz w:val="21"/>
              </w:rPr>
              <w:t>400km / 90deg</w:t>
            </w:r>
          </w:p>
        </w:tc>
        <w:tc>
          <w:tcPr>
            <w:tcW w:type="dxa" w:w="1728"/>
          </w:tcPr>
          <w:p>
            <w:pPr>
              <w:jc w:val="center"/>
            </w:pPr>
            <w:r>
              <w:rPr>
                <w:rFonts w:ascii="宋体" w:hAnsi="宋体" w:eastAsia="宋体"/>
                <w:b w:val="0"/>
                <w:sz w:val="21"/>
              </w:rPr>
              <w:t>~1.00e-3</w:t>
            </w:r>
          </w:p>
        </w:tc>
        <w:tc>
          <w:tcPr>
            <w:tcW w:type="dxa" w:w="1728"/>
          </w:tcPr>
          <w:p>
            <w:pPr>
              <w:jc w:val="center"/>
            </w:pPr>
            <w:r>
              <w:rPr>
                <w:rFonts w:ascii="宋体" w:hAnsi="宋体" w:eastAsia="宋体"/>
                <w:b w:val="0"/>
                <w:sz w:val="21"/>
              </w:rPr>
              <w:t>~1.03%</w:t>
            </w:r>
          </w:p>
        </w:tc>
        <w:tc>
          <w:tcPr>
            <w:tcW w:type="dxa" w:w="1728"/>
          </w:tcPr>
          <w:p>
            <w:pPr>
              <w:jc w:val="center"/>
            </w:pPr>
            <w:r>
              <w:rPr>
                <w:rFonts w:ascii="宋体" w:hAnsi="宋体" w:eastAsia="宋体"/>
                <w:b w:val="0"/>
                <w:sz w:val="21"/>
              </w:rPr>
              <w:t>~33.5 kbps</w:t>
            </w:r>
          </w:p>
        </w:tc>
      </w:tr>
      <w:tr>
        <w:tc>
          <w:tcPr>
            <w:tcW w:type="dxa" w:w="1728"/>
          </w:tcPr>
          <w:p>
            <w:pPr>
              <w:jc w:val="center"/>
            </w:pPr>
            <w:r>
              <w:rPr>
                <w:rFonts w:ascii="宋体" w:hAnsi="宋体" w:eastAsia="宋体"/>
                <w:b w:val="0"/>
                <w:sz w:val="21"/>
              </w:rPr>
              <w:t>良好仰角，晴天</w:t>
            </w:r>
          </w:p>
        </w:tc>
        <w:tc>
          <w:tcPr>
            <w:tcW w:type="dxa" w:w="1728"/>
          </w:tcPr>
          <w:p>
            <w:pPr>
              <w:jc w:val="center"/>
            </w:pPr>
            <w:r>
              <w:rPr>
                <w:rFonts w:ascii="宋体" w:hAnsi="宋体" w:eastAsia="宋体"/>
                <w:b w:val="0"/>
                <w:sz w:val="21"/>
              </w:rPr>
              <w:t>500km / 30deg</w:t>
            </w:r>
          </w:p>
        </w:tc>
        <w:tc>
          <w:tcPr>
            <w:tcW w:type="dxa" w:w="1728"/>
          </w:tcPr>
          <w:p>
            <w:pPr>
              <w:jc w:val="center"/>
            </w:pPr>
            <w:r>
              <w:rPr>
                <w:rFonts w:ascii="宋体" w:hAnsi="宋体" w:eastAsia="宋体"/>
                <w:b w:val="0"/>
                <w:sz w:val="21"/>
              </w:rPr>
              <w:t>~2.56e-4</w:t>
            </w:r>
          </w:p>
        </w:tc>
        <w:tc>
          <w:tcPr>
            <w:tcW w:type="dxa" w:w="1728"/>
          </w:tcPr>
          <w:p>
            <w:pPr>
              <w:jc w:val="center"/>
            </w:pPr>
            <w:r>
              <w:rPr>
                <w:rFonts w:ascii="宋体" w:hAnsi="宋体" w:eastAsia="宋体"/>
                <w:b w:val="0"/>
                <w:sz w:val="21"/>
              </w:rPr>
              <w:t>~1.12%</w:t>
            </w:r>
          </w:p>
        </w:tc>
        <w:tc>
          <w:tcPr>
            <w:tcW w:type="dxa" w:w="1728"/>
          </w:tcPr>
          <w:p>
            <w:pPr>
              <w:jc w:val="center"/>
            </w:pPr>
            <w:r>
              <w:rPr>
                <w:rFonts w:ascii="宋体" w:hAnsi="宋体" w:eastAsia="宋体"/>
                <w:b w:val="0"/>
                <w:sz w:val="21"/>
              </w:rPr>
              <w:t>~8.4 kbps</w:t>
            </w:r>
          </w:p>
        </w:tc>
      </w:tr>
      <w:tr>
        <w:tc>
          <w:tcPr>
            <w:tcW w:type="dxa" w:w="1728"/>
          </w:tcPr>
          <w:p>
            <w:pPr>
              <w:jc w:val="center"/>
            </w:pPr>
            <w:r>
              <w:rPr>
                <w:rFonts w:ascii="宋体" w:hAnsi="宋体" w:eastAsia="宋体"/>
                <w:b w:val="0"/>
                <w:sz w:val="21"/>
              </w:rPr>
              <w:t>中等仰角，薄雾</w:t>
            </w:r>
          </w:p>
        </w:tc>
        <w:tc>
          <w:tcPr>
            <w:tcW w:type="dxa" w:w="1728"/>
          </w:tcPr>
          <w:p>
            <w:pPr>
              <w:jc w:val="center"/>
            </w:pPr>
            <w:r>
              <w:rPr>
                <w:rFonts w:ascii="宋体" w:hAnsi="宋体" w:eastAsia="宋体"/>
                <w:b w:val="0"/>
                <w:sz w:val="21"/>
              </w:rPr>
              <w:t>600km / 20deg</w:t>
            </w:r>
          </w:p>
        </w:tc>
        <w:tc>
          <w:tcPr>
            <w:tcW w:type="dxa" w:w="1728"/>
          </w:tcPr>
          <w:p>
            <w:pPr>
              <w:jc w:val="center"/>
            </w:pPr>
            <w:r>
              <w:rPr>
                <w:rFonts w:ascii="宋体" w:hAnsi="宋体" w:eastAsia="宋体"/>
                <w:b w:val="0"/>
                <w:sz w:val="21"/>
              </w:rPr>
              <w:t>~1.97e-5</w:t>
            </w:r>
          </w:p>
        </w:tc>
        <w:tc>
          <w:tcPr>
            <w:tcW w:type="dxa" w:w="1728"/>
          </w:tcPr>
          <w:p>
            <w:pPr>
              <w:jc w:val="center"/>
            </w:pPr>
            <w:r>
              <w:rPr>
                <w:rFonts w:ascii="宋体" w:hAnsi="宋体" w:eastAsia="宋体"/>
                <w:b w:val="0"/>
                <w:sz w:val="21"/>
              </w:rPr>
              <w:t>~2.54%</w:t>
            </w:r>
          </w:p>
        </w:tc>
        <w:tc>
          <w:tcPr>
            <w:tcW w:type="dxa" w:w="1728"/>
          </w:tcPr>
          <w:p>
            <w:pPr>
              <w:jc w:val="center"/>
            </w:pPr>
            <w:r>
              <w:rPr>
                <w:rFonts w:ascii="宋体" w:hAnsi="宋体" w:eastAsia="宋体"/>
                <w:b w:val="0"/>
                <w:sz w:val="21"/>
              </w:rPr>
              <w:t>~0.5 kbps</w:t>
            </w:r>
          </w:p>
        </w:tc>
      </w:tr>
      <w:tr>
        <w:tc>
          <w:tcPr>
            <w:tcW w:type="dxa" w:w="1728"/>
          </w:tcPr>
          <w:p>
            <w:pPr>
              <w:jc w:val="center"/>
            </w:pPr>
            <w:r>
              <w:rPr>
                <w:rFonts w:ascii="宋体" w:hAnsi="宋体" w:eastAsia="宋体"/>
                <w:b w:val="0"/>
                <w:sz w:val="21"/>
              </w:rPr>
              <w:t>低仰角，雨天</w:t>
            </w:r>
          </w:p>
        </w:tc>
        <w:tc>
          <w:tcPr>
            <w:tcW w:type="dxa" w:w="1728"/>
          </w:tcPr>
          <w:p>
            <w:pPr>
              <w:jc w:val="center"/>
            </w:pPr>
            <w:r>
              <w:rPr>
                <w:rFonts w:ascii="宋体" w:hAnsi="宋体" w:eastAsia="宋体"/>
                <w:b w:val="0"/>
                <w:sz w:val="21"/>
              </w:rPr>
              <w:t>700km / 10deg</w:t>
            </w:r>
          </w:p>
        </w:tc>
        <w:tc>
          <w:tcPr>
            <w:tcW w:type="dxa" w:w="1728"/>
          </w:tcPr>
          <w:p>
            <w:pPr>
              <w:jc w:val="center"/>
            </w:pPr>
            <w:r>
              <w:rPr>
                <w:rFonts w:ascii="宋体" w:hAnsi="宋体" w:eastAsia="宋体"/>
                <w:b w:val="0"/>
                <w:sz w:val="21"/>
              </w:rPr>
              <w:t>~8.23e-7</w:t>
            </w:r>
          </w:p>
        </w:tc>
        <w:tc>
          <w:tcPr>
            <w:tcW w:type="dxa" w:w="1728"/>
          </w:tcPr>
          <w:p>
            <w:pPr>
              <w:jc w:val="center"/>
            </w:pPr>
            <w:r>
              <w:rPr>
                <w:rFonts w:ascii="宋体" w:hAnsi="宋体" w:eastAsia="宋体"/>
                <w:b w:val="0"/>
                <w:sz w:val="21"/>
              </w:rPr>
              <w:t>~22.6%</w:t>
            </w:r>
          </w:p>
        </w:tc>
        <w:tc>
          <w:tcPr>
            <w:tcW w:type="dxa" w:w="1728"/>
          </w:tcPr>
          <w:p>
            <w:pPr>
              <w:jc w:val="center"/>
            </w:pPr>
            <w:r>
              <w:rPr>
                <w:rFonts w:ascii="宋体" w:hAnsi="宋体" w:eastAsia="宋体"/>
                <w:b w:val="0"/>
                <w:sz w:val="21"/>
              </w:rPr>
              <w:t>0 kbps</w:t>
            </w:r>
          </w:p>
        </w:tc>
      </w:tr>
    </w:tbl>
    <w:p/>
    <w:p>
      <w:pPr>
        <w:spacing w:line="360" w:lineRule="auto" w:after="120"/>
        <w:ind w:firstLine="720"/>
      </w:pPr>
      <w:r>
        <w:rPr>
          <w:rFonts w:ascii="宋体" w:hAnsi="宋体" w:eastAsia="宋体"/>
          <w:b w:val="0"/>
          <w:sz w:val="21"/>
        </w:rPr>
        <w:t>从测试数据可以看出：在400km天顶晴天条件下，系统可维持约33.5 kbps的安全密钥率；随着仰角降低和天气恶化，大气衰减显著增加，安全密钥率快速下降；当QBER超过11%安全阈值时（如700km雨天场景，QBER约22.6%），安全密钥率归零，系统正确判定通信不可行。截获-重发攻击在50%强度下即可将QBER推高至9.33%，接近安全边界，对BB84协议构成显著威胁。</w:t>
      </w:r>
    </w:p>
    <w:p>
      <w:pPr>
        <w:pStyle w:val="Heading1"/>
        <w:spacing w:before="240" w:after="120"/>
        <w:jc w:val="center"/>
      </w:pPr>
      <w:r>
        <w:rPr>
          <w:rFonts w:ascii="黑体" w:hAnsi="黑体" w:eastAsia="黑体"/>
          <w:b/>
          <w:sz w:val="32"/>
        </w:rPr>
        <w:t>4. 应用前景</w:t>
      </w:r>
    </w:p>
    <w:p>
      <w:pPr>
        <w:spacing w:line="360" w:lineRule="auto" w:after="120"/>
        <w:ind w:firstLine="720"/>
      </w:pPr>
      <w:r>
        <w:rPr>
          <w:rFonts w:ascii="宋体" w:hAnsi="宋体" w:eastAsia="宋体"/>
          <w:b w:val="0"/>
          <w:sz w:val="21"/>
        </w:rPr>
        <w:t>本系统在星地量子通信网络规划与密码技术应用方面具有明确的工程价值：</w:t>
      </w:r>
    </w:p>
    <w:p>
      <w:pPr>
        <w:pStyle w:val="ListBullet"/>
        <w:spacing w:line="360" w:lineRule="auto" w:after="60"/>
        <w:ind w:left="720"/>
      </w:pPr>
      <w:r>
        <w:rPr>
          <w:rFonts w:ascii="宋体" w:hAnsi="宋体" w:eastAsia="宋体"/>
          <w:b w:val="0"/>
          <w:sz w:val="21"/>
        </w:rPr>
        <w:t>地面站选址优化：通过仿真不同地理位置（海拔、气候条件）下的链路性能，辅助决策者选择最优地面站布设方案。例如，系统显示高海拔站点相比沿海地区具有更低的大气衰减和更稳定的晴天天数。</w:t>
      </w:r>
    </w:p>
    <w:p>
      <w:pPr>
        <w:pStyle w:val="ListBullet"/>
        <w:spacing w:line="360" w:lineRule="auto" w:after="60"/>
        <w:ind w:left="720"/>
      </w:pPr>
      <w:r>
        <w:rPr>
          <w:rFonts w:ascii="宋体" w:hAnsi="宋体" w:eastAsia="宋体"/>
          <w:b w:val="0"/>
          <w:sz w:val="21"/>
        </w:rPr>
        <w:t>过境窗口预测：结合真实TLE星历和天气预报，提前预测未来数天的可用通信窗口，为密钥分发任务调度提供依据。</w:t>
      </w:r>
    </w:p>
    <w:p>
      <w:pPr>
        <w:pStyle w:val="ListBullet"/>
        <w:spacing w:line="360" w:lineRule="auto" w:after="60"/>
        <w:ind w:left="720"/>
      </w:pPr>
      <w:r>
        <w:rPr>
          <w:rFonts w:ascii="宋体" w:hAnsi="宋体" w:eastAsia="宋体"/>
          <w:b w:val="0"/>
          <w:sz w:val="21"/>
        </w:rPr>
        <w:t>安全策略预演：在实际发射前，通过仿真评估不同攻击场景下的系统表现，制定针对性的防御预案（如动态切换诱骗态强度、调整隐私放大参数）。</w:t>
      </w:r>
    </w:p>
    <w:p>
      <w:pPr>
        <w:pStyle w:val="ListBullet"/>
        <w:spacing w:line="360" w:lineRule="auto" w:after="60"/>
        <w:ind w:left="720"/>
      </w:pPr>
      <w:r>
        <w:rPr>
          <w:rFonts w:ascii="宋体" w:hAnsi="宋体" w:eastAsia="宋体"/>
          <w:b w:val="0"/>
          <w:sz w:val="21"/>
        </w:rPr>
        <w:t>教学与科普：系统交互式界面直观展示量子密码的基本原理和攻击手段，适合作为密码学、量子信息科学相关课程的教学辅助工具。</w:t>
      </w:r>
    </w:p>
    <w:p>
      <w:pPr>
        <w:pStyle w:val="Heading1"/>
        <w:spacing w:before="240" w:after="120"/>
        <w:jc w:val="center"/>
      </w:pPr>
      <w:r>
        <w:rPr>
          <w:rFonts w:ascii="黑体" w:hAnsi="黑体" w:eastAsia="黑体"/>
          <w:b/>
          <w:sz w:val="32"/>
        </w:rPr>
        <w:t>5. 结论</w:t>
      </w:r>
    </w:p>
    <w:p>
      <w:pPr>
        <w:spacing w:line="360" w:lineRule="auto" w:after="120"/>
        <w:ind w:firstLine="720"/>
      </w:pPr>
      <w:r>
        <w:rPr>
          <w:rFonts w:ascii="宋体" w:hAnsi="宋体" w:eastAsia="宋体"/>
          <w:b w:val="0"/>
          <w:sz w:val="21"/>
        </w:rPr>
        <w:t>本作品设计并实现了一个集成真实轨道数据、实时气象信息、完整BB84协议仿真和攻防体系的星地QKD链路仿真平台。主要创新点包括：（1）真实数据驱动，将TLE轨道计算与Open-Meteo气象API深度集成；（2）完整的攻防闭环，覆盖三类典型量子密码攻击及对应防御机制；（3）自适应安全决策引擎，实现多维度安全评估与策略推荐；（4）交互式可视化界面，降低量子密码仿真工具的使用门槛。</w:t>
      </w:r>
    </w:p>
    <w:p>
      <w:pPr>
        <w:spacing w:line="360" w:lineRule="auto" w:after="120"/>
        <w:ind w:firstLine="720"/>
      </w:pPr>
      <w:r>
        <w:rPr>
          <w:rFonts w:ascii="宋体" w:hAnsi="宋体" w:eastAsia="宋体"/>
          <w:b w:val="0"/>
          <w:sz w:val="21"/>
        </w:rPr>
        <w:t>实测结果表明，系统在典型星地链路场景下（400km天顶晴天）可实现约33.5 kbps的安全密钥率，单次10000脉冲仿真延迟约5-17 ms，满足实时交互需求。局限性方面，当前QKD物理模型做了适当简化（如忽略偏振态在大气中的随机旋转、未实现完整的误码纠错Cascade协议），未来工作将引入更精细的信道模型（包括大气湍流引起的波前畸变和偏振漂移），并探索GPU并行化以支持更大规模的蒙特卡洛仿真。</w:t>
      </w:r>
    </w:p>
    <w:p>
      <w:r>
        <w:br w:type="page"/>
      </w:r>
    </w:p>
    <w:p>
      <w:pPr>
        <w:pStyle w:val="Heading1"/>
        <w:spacing w:before="240" w:after="120"/>
        <w:jc w:val="center"/>
      </w:pPr>
      <w:r>
        <w:rPr>
          <w:rFonts w:ascii="黑体" w:hAnsi="黑体" w:eastAsia="黑体"/>
          <w:b/>
          <w:sz w:val="32"/>
        </w:rPr>
        <w:t>参考文献</w:t>
      </w:r>
    </w:p>
    <w:p>
      <w:pPr>
        <w:spacing w:line="360" w:lineRule="auto" w:after="60"/>
        <w:ind w:firstLine="0" w:left="720"/>
      </w:pPr>
      <w:r>
        <w:rPr>
          <w:rFonts w:ascii="宋体" w:hAnsi="宋体" w:eastAsia="宋体"/>
          <w:b w:val="0"/>
          <w:sz w:val="21"/>
        </w:rPr>
        <w:t>[1] Gisin N, Ribordy G, Tittel W, et al. Quantum cryptography[J]. Reviews of Modern Physics, 2002, 74(1): 145.</w:t>
      </w:r>
    </w:p>
    <w:p>
      <w:pPr>
        <w:spacing w:line="360" w:lineRule="auto" w:after="60"/>
        <w:ind w:firstLine="0" w:left="720"/>
      </w:pPr>
      <w:r>
        <w:rPr>
          <w:rFonts w:ascii="宋体" w:hAnsi="宋体" w:eastAsia="宋体"/>
          <w:b w:val="0"/>
          <w:sz w:val="21"/>
        </w:rPr>
        <w:t>[2] Wang X B. Beating the photon-number-splitting attack in practical quantum cryptography[J]. Physical Review Letters, 2005, 94(23): 230503.</w:t>
      </w:r>
    </w:p>
    <w:p>
      <w:pPr>
        <w:spacing w:line="360" w:lineRule="auto" w:after="60"/>
        <w:ind w:firstLine="0" w:left="720"/>
      </w:pPr>
      <w:r>
        <w:rPr>
          <w:rFonts w:ascii="宋体" w:hAnsi="宋体" w:eastAsia="宋体"/>
          <w:b w:val="0"/>
          <w:sz w:val="21"/>
        </w:rPr>
        <w:t>[3] Lo H K, Ma X, Chen K. Decoy state quantum key distribution[J]. Physical Review Letters, 2005, 94(23): 230504.</w:t>
      </w:r>
    </w:p>
    <w:p>
      <w:pPr>
        <w:spacing w:line="360" w:lineRule="auto" w:after="60"/>
        <w:ind w:firstLine="0" w:left="720"/>
      </w:pPr>
      <w:r>
        <w:rPr>
          <w:rFonts w:ascii="宋体" w:hAnsi="宋体" w:eastAsia="宋体"/>
          <w:b w:val="0"/>
          <w:sz w:val="21"/>
        </w:rPr>
        <w:t>[4] Liao S K, Cai W Q, Liu W Y, et al. Satellite-to-ground quantum key distribution[J]. Nature, 2017, 549(7670): 43-47.</w:t>
      </w:r>
    </w:p>
    <w:p>
      <w:pPr>
        <w:spacing w:line="360" w:lineRule="auto" w:after="60"/>
        <w:ind w:firstLine="0" w:left="720"/>
      </w:pPr>
      <w:r>
        <w:rPr>
          <w:rFonts w:ascii="宋体" w:hAnsi="宋体" w:eastAsia="宋体"/>
          <w:b w:val="0"/>
          <w:sz w:val="21"/>
        </w:rPr>
        <w:t>[5] Yin J, Li Y H, Liao S K, et al. Entanglement-based secure quantum cryptography over 1,120 kilometres[J]. Nature, 2020, 582(7813): 501-505.</w:t>
      </w:r>
    </w:p>
    <w:p>
      <w:pPr>
        <w:spacing w:line="360" w:lineRule="auto" w:after="60"/>
        <w:ind w:firstLine="0" w:left="720"/>
      </w:pPr>
      <w:r>
        <w:rPr>
          <w:rFonts w:ascii="宋体" w:hAnsi="宋体" w:eastAsia="宋体"/>
          <w:b w:val="0"/>
          <w:sz w:val="21"/>
        </w:rPr>
        <w:t>[6] Scarani V, Bechmann-Pasquinucci H, Cerf N J, et al. The security of practical quantum key distribution[J]. Reviews of Modern Physics, 2009, 81(3): 1301.</w:t>
      </w:r>
    </w:p>
    <w:p>
      <w:pPr>
        <w:spacing w:line="360" w:lineRule="auto" w:after="60"/>
        <w:ind w:firstLine="0" w:left="720"/>
      </w:pPr>
      <w:r>
        <w:rPr>
          <w:rFonts w:ascii="宋体" w:hAnsi="宋体" w:eastAsia="宋体"/>
          <w:b w:val="0"/>
          <w:sz w:val="21"/>
        </w:rPr>
        <w:t>[7] 潘建伟. 量子通信现状与展望[J]. 科学通报, 2021, 66(13): 1545-1558.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