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pPr>
      <w:r>
        <w:rPr>
          <w:rFonts w:ascii="Calibri" w:hAnsi="Calibri"/>
          <w:b/>
          <w:color w:val="0B2545"/>
          <w:sz w:val="46"/>
        </w:rPr>
        <w:t>Healthcare Insights Report</w:t>
      </w:r>
    </w:p>
    <w:p>
      <w:pPr>
        <w:spacing w:after="240"/>
      </w:pPr>
      <w:r>
        <w:rPr>
          <w:rFonts w:ascii="Calibri" w:hAnsi="Calibri"/>
          <w:color w:val="5F6977"/>
          <w:sz w:val="26"/>
        </w:rPr>
        <w:t>Hospital Operations &amp; Revenue Risk Intelligence Platform</w:t>
      </w:r>
    </w:p>
    <w:p>
      <w:pPr>
        <w:spacing w:after="40"/>
      </w:pPr>
      <w:r>
        <w:rPr>
          <w:rFonts w:ascii="Calibri" w:hAnsi="Calibri"/>
          <w:b/>
          <w:color w:val="0B2545"/>
          <w:sz w:val="21"/>
        </w:rPr>
        <w:t xml:space="preserve">Audience: </w:t>
      </w:r>
      <w:r>
        <w:rPr>
          <w:rFonts w:ascii="Calibri" w:hAnsi="Calibri"/>
          <w:color w:val="000000"/>
          <w:sz w:val="21"/>
        </w:rPr>
        <w:t>Hospital leadership and capstone evaluation panel</w:t>
      </w:r>
    </w:p>
    <w:p>
      <w:pPr>
        <w:spacing w:after="40"/>
      </w:pPr>
      <w:r>
        <w:rPr>
          <w:rFonts w:ascii="Calibri" w:hAnsi="Calibri"/>
          <w:b/>
          <w:color w:val="0B2545"/>
          <w:sz w:val="21"/>
        </w:rPr>
        <w:t xml:space="preserve">Decision focus: </w:t>
      </w:r>
      <w:r>
        <w:rPr>
          <w:rFonts w:ascii="Calibri" w:hAnsi="Calibri"/>
          <w:color w:val="000000"/>
          <w:sz w:val="21"/>
        </w:rPr>
        <w:t>Sponsor controlled deployment and operational adoption</w:t>
      </w:r>
    </w:p>
    <w:p>
      <w:pPr>
        <w:spacing w:after="40"/>
      </w:pPr>
      <w:r>
        <w:rPr>
          <w:rFonts w:ascii="Calibri" w:hAnsi="Calibri"/>
          <w:b/>
          <w:color w:val="0B2545"/>
          <w:sz w:val="21"/>
        </w:rPr>
        <w:t xml:space="preserve">Data foundation: </w:t>
      </w:r>
      <w:r>
        <w:rPr>
          <w:rFonts w:ascii="Calibri" w:hAnsi="Calibri"/>
          <w:color w:val="000000"/>
          <w:sz w:val="21"/>
        </w:rPr>
        <w:t>25,000 integrated encounters from patients, visits, and billing</w:t>
      </w:r>
    </w:p>
    <w:p>
      <w:pPr>
        <w:spacing w:after="40"/>
      </w:pPr>
      <w:r>
        <w:rPr>
          <w:rFonts w:ascii="Calibri" w:hAnsi="Calibri"/>
          <w:b/>
          <w:color w:val="0B2545"/>
          <w:sz w:val="21"/>
        </w:rPr>
        <w:t xml:space="preserve">Prepared: </w:t>
      </w:r>
      <w:r>
        <w:rPr>
          <w:rFonts w:ascii="Calibri" w:hAnsi="Calibri"/>
          <w:color w:val="000000"/>
          <w:sz w:val="21"/>
        </w:rPr>
        <w:t>June 20, 2026</w:t>
      </w:r>
    </w:p>
    <w:p>
      <w:pPr>
        <w:spacing w:after="160"/>
        <w:pBdr>
          <w:bottom w:val="single" w:sz="10" w:space="1" w:color="2E74B5"/>
        </w:pBdr>
      </w:pPr>
    </w:p>
    <w:tbl>
      <w:tblGrid>
        <w:gridCol w:w="9360"/>
      </w:tblGrid>
      <w:tblPr>
        <w:tblW w:type="dxa" w:w="9360"/>
        <w:jc w:val="left"/>
        <w:tblLayout w:type="fixed"/>
        <w:tblLook w:firstColumn="1" w:firstRow="1" w:lastColumn="0" w:lastRow="0" w:noHBand="0" w:noVBand="1" w:val="04A0"/>
        <w:tblInd w:type="dxa" w:w="120"/>
      </w:tblPr>
      <w:tr>
        <w:tc>
          <w:tcPr>
            <w:tcW w:type="dxa" w:w="9360"/>
            <w:vAlign w:val="center"/>
            <w:tcMar>
              <w:top w:w="80" w:type="dxa"/>
              <w:bottom w:w="80" w:type="dxa"/>
              <w:start w:w="120" w:type="dxa"/>
              <w:end w:w="120" w:type="dxa"/>
            </w:tcMar>
            <w:shd w:fill="F4F6F9"/>
          </w:tcPr>
          <w:p>
            <w:pPr>
              <w:spacing w:after="0" w:line="264" w:lineRule="auto"/>
            </w:pPr>
            <w:r>
              <w:rPr>
                <w:rFonts w:ascii="Calibri" w:hAnsi="Calibri"/>
                <w:b/>
                <w:color w:val="1F4D78"/>
                <w:sz w:val="22"/>
              </w:rPr>
              <w:t xml:space="preserve">Executive decision: </w:t>
            </w:r>
            <w:r>
              <w:rPr>
                <w:rFonts w:ascii="Calibri" w:hAnsi="Calibri"/>
                <w:color w:val="000000"/>
                <w:sz w:val="21"/>
              </w:rPr>
              <w:t>Proceed with a controlled pilot, not full automation. The platform is ready to support leadership dashboards and review queues, but current model performance and data-quality findings require human oversight, remediation, and monitored retraining before policy automation.</w:t>
            </w:r>
          </w:p>
        </w:tc>
      </w:tr>
    </w:tbl>
    <w:p>
      <w:pPr>
        <w:pStyle w:val="Heading1"/>
      </w:pPr>
      <w:r>
        <w:t>Portfolio Snapshot</w:t>
      </w:r>
    </w:p>
    <w:tbl>
      <w:tblGrid>
        <w:gridCol w:w="1872"/>
        <w:gridCol w:w="1872"/>
        <w:gridCol w:w="1872"/>
        <w:gridCol w:w="1872"/>
        <w:gridCol w:w="1872"/>
      </w:tblGrid>
      <w:tblPr>
        <w:tblStyle w:val="TableGrid"/>
        <w:tblW w:type="dxa" w:w="9360"/>
        <w:jc w:val="left"/>
        <w:tblLayout w:type="fixed"/>
        <w:tblLook w:firstColumn="1" w:firstRow="1" w:lastColumn="0" w:lastRow="0" w:noHBand="0" w:noVBand="1" w:val="04A0"/>
        <w:tblInd w:type="dxa" w:w="120"/>
      </w:tblPr>
      <w:tr>
        <w:tc>
          <w:tcPr>
            <w:tcW w:type="dxa" w:w="1872"/>
            <w:vAlign w:val="center"/>
            <w:tcMar>
              <w:top w:w="80" w:type="dxa"/>
              <w:bottom w:w="80" w:type="dxa"/>
              <w:start w:w="120" w:type="dxa"/>
              <w:end w:w="120" w:type="dxa"/>
            </w:tcMar>
            <w:shd w:fill="E8EEF5"/>
          </w:tcPr>
          <w:p>
            <w:pPr>
              <w:spacing w:after="0" w:line="264" w:lineRule="auto"/>
              <w:jc w:val="center"/>
            </w:pPr>
            <w:r/>
            <w:r>
              <w:rPr>
                <w:rFonts w:ascii="Calibri" w:hAnsi="Calibri"/>
                <w:b/>
                <w:color w:val="1F4D78"/>
                <w:sz w:val="16"/>
              </w:rPr>
              <w:t>Encounters</w:t>
            </w:r>
          </w:p>
        </w:tc>
        <w:tc>
          <w:tcPr>
            <w:tcW w:type="dxa" w:w="1872"/>
            <w:vAlign w:val="center"/>
            <w:tcMar>
              <w:top w:w="80" w:type="dxa"/>
              <w:bottom w:w="80" w:type="dxa"/>
              <w:start w:w="120" w:type="dxa"/>
              <w:end w:w="120" w:type="dxa"/>
            </w:tcMar>
            <w:shd w:fill="E8EEF5"/>
          </w:tcPr>
          <w:p>
            <w:pPr>
              <w:spacing w:after="0" w:line="264" w:lineRule="auto"/>
              <w:jc w:val="center"/>
            </w:pPr>
            <w:r/>
            <w:r>
              <w:rPr>
                <w:rFonts w:ascii="Calibri" w:hAnsi="Calibri"/>
                <w:b/>
                <w:color w:val="1F4D78"/>
                <w:sz w:val="16"/>
              </w:rPr>
              <w:t>Billed amount</w:t>
            </w:r>
          </w:p>
        </w:tc>
        <w:tc>
          <w:tcPr>
            <w:tcW w:type="dxa" w:w="1872"/>
            <w:vAlign w:val="center"/>
            <w:tcMar>
              <w:top w:w="80" w:type="dxa"/>
              <w:bottom w:w="80" w:type="dxa"/>
              <w:start w:w="120" w:type="dxa"/>
              <w:end w:w="120" w:type="dxa"/>
            </w:tcMar>
            <w:shd w:fill="E8EEF5"/>
          </w:tcPr>
          <w:p>
            <w:pPr>
              <w:spacing w:after="0" w:line="264" w:lineRule="auto"/>
              <w:jc w:val="center"/>
            </w:pPr>
            <w:r/>
            <w:r>
              <w:rPr>
                <w:rFonts w:ascii="Calibri" w:hAnsi="Calibri"/>
                <w:b/>
                <w:color w:val="1F4D78"/>
                <w:sz w:val="16"/>
              </w:rPr>
              <w:t>Approved amount</w:t>
            </w:r>
          </w:p>
        </w:tc>
        <w:tc>
          <w:tcPr>
            <w:tcW w:type="dxa" w:w="1872"/>
            <w:vAlign w:val="center"/>
            <w:tcMar>
              <w:top w:w="80" w:type="dxa"/>
              <w:bottom w:w="80" w:type="dxa"/>
              <w:start w:w="120" w:type="dxa"/>
              <w:end w:w="120" w:type="dxa"/>
            </w:tcMar>
            <w:shd w:fill="E8EEF5"/>
          </w:tcPr>
          <w:p>
            <w:pPr>
              <w:spacing w:after="0" w:line="264" w:lineRule="auto"/>
              <w:jc w:val="center"/>
            </w:pPr>
            <w:r/>
            <w:r>
              <w:rPr>
                <w:rFonts w:ascii="Calibri" w:hAnsi="Calibri"/>
                <w:b/>
                <w:color w:val="1F4D78"/>
                <w:sz w:val="16"/>
              </w:rPr>
              <w:t>Realization ratio</w:t>
            </w:r>
          </w:p>
        </w:tc>
        <w:tc>
          <w:tcPr>
            <w:tcW w:type="dxa" w:w="1872"/>
            <w:vAlign w:val="center"/>
            <w:tcMar>
              <w:top w:w="80" w:type="dxa"/>
              <w:bottom w:w="80" w:type="dxa"/>
              <w:start w:w="120" w:type="dxa"/>
              <w:end w:w="120" w:type="dxa"/>
            </w:tcMar>
            <w:shd w:fill="E8EEF5"/>
          </w:tcPr>
          <w:p>
            <w:pPr>
              <w:spacing w:after="0" w:line="264" w:lineRule="auto"/>
              <w:jc w:val="center"/>
            </w:pPr>
            <w:r/>
            <w:r>
              <w:rPr>
                <w:rFonts w:ascii="Calibri" w:hAnsi="Calibri"/>
                <w:b/>
                <w:color w:val="1F4D78"/>
                <w:sz w:val="16"/>
              </w:rPr>
              <w:t>Revenue gap</w:t>
            </w:r>
          </w:p>
        </w:tc>
      </w:tr>
      <w:tr>
        <w:tc>
          <w:tcPr>
            <w:tcW w:type="dxa" w:w="1872"/>
            <w:vAlign w:val="center"/>
            <w:tcMar>
              <w:top w:w="80" w:type="dxa"/>
              <w:bottom w:w="80" w:type="dxa"/>
              <w:start w:w="120" w:type="dxa"/>
              <w:end w:w="120" w:type="dxa"/>
            </w:tcMar>
          </w:tcPr>
          <w:p>
            <w:pPr>
              <w:spacing w:after="0" w:line="264" w:lineRule="auto"/>
              <w:jc w:val="center"/>
            </w:pPr>
            <w:r/>
            <w:r>
              <w:rPr>
                <w:rFonts w:ascii="Calibri" w:hAnsi="Calibri"/>
                <w:b/>
                <w:color w:val="0B2545"/>
                <w:sz w:val="20"/>
              </w:rPr>
              <w:t>25,000</w:t>
            </w:r>
          </w:p>
        </w:tc>
        <w:tc>
          <w:tcPr>
            <w:tcW w:type="dxa" w:w="1872"/>
            <w:vAlign w:val="center"/>
            <w:tcMar>
              <w:top w:w="80" w:type="dxa"/>
              <w:bottom w:w="80" w:type="dxa"/>
              <w:start w:w="120" w:type="dxa"/>
              <w:end w:w="120" w:type="dxa"/>
            </w:tcMar>
          </w:tcPr>
          <w:p>
            <w:pPr>
              <w:spacing w:after="0" w:line="264" w:lineRule="auto"/>
              <w:jc w:val="center"/>
            </w:pPr>
            <w:r/>
            <w:r>
              <w:rPr>
                <w:rFonts w:ascii="Calibri" w:hAnsi="Calibri"/>
                <w:b/>
                <w:color w:val="0B2545"/>
                <w:sz w:val="20"/>
              </w:rPr>
              <w:t>$521.8M</w:t>
            </w:r>
          </w:p>
        </w:tc>
        <w:tc>
          <w:tcPr>
            <w:tcW w:type="dxa" w:w="1872"/>
            <w:vAlign w:val="center"/>
            <w:tcMar>
              <w:top w:w="80" w:type="dxa"/>
              <w:bottom w:w="80" w:type="dxa"/>
              <w:start w:w="120" w:type="dxa"/>
              <w:end w:w="120" w:type="dxa"/>
            </w:tcMar>
          </w:tcPr>
          <w:p>
            <w:pPr>
              <w:spacing w:after="0" w:line="264" w:lineRule="auto"/>
              <w:jc w:val="center"/>
            </w:pPr>
            <w:r/>
            <w:r>
              <w:rPr>
                <w:rFonts w:ascii="Calibri" w:hAnsi="Calibri"/>
                <w:b/>
                <w:color w:val="0B2545"/>
                <w:sz w:val="20"/>
              </w:rPr>
              <w:t>$387.2M</w:t>
            </w:r>
          </w:p>
        </w:tc>
        <w:tc>
          <w:tcPr>
            <w:tcW w:type="dxa" w:w="1872"/>
            <w:vAlign w:val="center"/>
            <w:tcMar>
              <w:top w:w="80" w:type="dxa"/>
              <w:bottom w:w="80" w:type="dxa"/>
              <w:start w:w="120" w:type="dxa"/>
              <w:end w:w="120" w:type="dxa"/>
            </w:tcMar>
          </w:tcPr>
          <w:p>
            <w:pPr>
              <w:spacing w:after="0" w:line="264" w:lineRule="auto"/>
              <w:jc w:val="center"/>
            </w:pPr>
            <w:r/>
            <w:r>
              <w:rPr>
                <w:rFonts w:ascii="Calibri" w:hAnsi="Calibri"/>
                <w:b/>
                <w:color w:val="0B2545"/>
                <w:sz w:val="20"/>
              </w:rPr>
              <w:t>74.2%</w:t>
            </w:r>
          </w:p>
        </w:tc>
        <w:tc>
          <w:tcPr>
            <w:tcW w:type="dxa" w:w="1872"/>
            <w:vAlign w:val="center"/>
            <w:tcMar>
              <w:top w:w="80" w:type="dxa"/>
              <w:bottom w:w="80" w:type="dxa"/>
              <w:start w:w="120" w:type="dxa"/>
              <w:end w:w="120" w:type="dxa"/>
            </w:tcMar>
          </w:tcPr>
          <w:p>
            <w:pPr>
              <w:spacing w:after="0" w:line="264" w:lineRule="auto"/>
              <w:jc w:val="center"/>
            </w:pPr>
            <w:r/>
            <w:r>
              <w:rPr>
                <w:rFonts w:ascii="Calibri" w:hAnsi="Calibri"/>
                <w:b/>
                <w:color w:val="0B2545"/>
                <w:sz w:val="20"/>
              </w:rPr>
              <w:t>$134.6M</w:t>
            </w:r>
          </w:p>
        </w:tc>
      </w:tr>
    </w:tbl>
    <w:p>
      <w:pPr>
        <w:pStyle w:val="Heading1"/>
      </w:pPr>
      <w:r>
        <w:t>Key Operational and Financial Findings</w:t>
      </w:r>
    </w:p>
    <w:tbl>
      <w:tblGrid>
        <w:gridCol w:w="2100"/>
        <w:gridCol w:w="3820"/>
        <w:gridCol w:w="3440"/>
      </w:tblGrid>
      <w:tblPr>
        <w:tblStyle w:val="TableGrid"/>
        <w:tblW w:type="dxa" w:w="9360"/>
        <w:jc w:val="left"/>
        <w:tblLayout w:type="fixed"/>
        <w:tblLook w:firstColumn="1" w:firstRow="1" w:lastColumn="0" w:lastRow="0" w:noHBand="0" w:noVBand="1" w:val="04A0"/>
        <w:tblInd w:type="dxa" w:w="120"/>
      </w:tblPr>
      <w:tr>
        <w:tc>
          <w:tcPr>
            <w:tcW w:type="dxa" w:w="2100"/>
            <w:vAlign w:val="center"/>
            <w:tcMar>
              <w:top w:w="80" w:type="dxa"/>
              <w:bottom w:w="80" w:type="dxa"/>
              <w:start w:w="120" w:type="dxa"/>
              <w:end w:w="120" w:type="dxa"/>
            </w:tcMar>
            <w:shd w:fill="F2F4F7"/>
          </w:tcPr>
          <w:p>
            <w:pPr>
              <w:spacing w:after="0" w:line="264" w:lineRule="auto"/>
            </w:pPr>
            <w:r/>
            <w:r>
              <w:rPr>
                <w:rFonts w:ascii="Calibri" w:hAnsi="Calibri"/>
                <w:b/>
                <w:color w:val="1F4D78"/>
                <w:sz w:val="18"/>
              </w:rPr>
              <w:t>Leadership Area</w:t>
            </w:r>
          </w:p>
        </w:tc>
        <w:tc>
          <w:tcPr>
            <w:tcW w:type="dxa" w:w="3820"/>
            <w:vAlign w:val="center"/>
            <w:tcMar>
              <w:top w:w="80" w:type="dxa"/>
              <w:bottom w:w="80" w:type="dxa"/>
              <w:start w:w="120" w:type="dxa"/>
              <w:end w:w="120" w:type="dxa"/>
            </w:tcMar>
            <w:shd w:fill="F2F4F7"/>
          </w:tcPr>
          <w:p>
            <w:pPr>
              <w:spacing w:after="0" w:line="264" w:lineRule="auto"/>
            </w:pPr>
            <w:r/>
            <w:r>
              <w:rPr>
                <w:rFonts w:ascii="Calibri" w:hAnsi="Calibri"/>
                <w:b/>
                <w:color w:val="1F4D78"/>
                <w:sz w:val="18"/>
              </w:rPr>
              <w:t>Evidence From Analytics</w:t>
            </w:r>
          </w:p>
        </w:tc>
        <w:tc>
          <w:tcPr>
            <w:tcW w:type="dxa" w:w="3440"/>
            <w:vAlign w:val="center"/>
            <w:tcMar>
              <w:top w:w="80" w:type="dxa"/>
              <w:bottom w:w="80" w:type="dxa"/>
              <w:start w:w="120" w:type="dxa"/>
              <w:end w:w="120" w:type="dxa"/>
            </w:tcMar>
            <w:shd w:fill="F2F4F7"/>
          </w:tcPr>
          <w:p>
            <w:pPr>
              <w:spacing w:after="0" w:line="264" w:lineRule="auto"/>
            </w:pPr>
            <w:r/>
            <w:r>
              <w:rPr>
                <w:rFonts w:ascii="Calibri" w:hAnsi="Calibri"/>
                <w:b/>
                <w:color w:val="1F4D78"/>
                <w:sz w:val="18"/>
              </w:rPr>
              <w:t>Business Implication</w:t>
            </w:r>
          </w:p>
        </w:tc>
      </w:tr>
      <w:tr>
        <w:tc>
          <w:tcPr>
            <w:tcW w:type="dxa" w:w="2100"/>
          </w:tcPr>
          <w:p>
            <w:pPr>
              <w:spacing w:after="0" w:line="264" w:lineRule="auto"/>
            </w:pPr>
            <w:r/>
            <w:r>
              <w:rPr>
                <w:rFonts w:ascii="Calibri" w:hAnsi="Calibri"/>
                <w:b/>
                <w:color w:val="0B2545"/>
                <w:sz w:val="18"/>
              </w:rPr>
              <w:t>Patient flow</w:t>
            </w:r>
          </w:p>
        </w:tc>
        <w:tc>
          <w:tcPr>
            <w:tcW w:type="dxa" w:w="3820"/>
          </w:tcPr>
          <w:p>
            <w:pPr>
              <w:spacing w:after="0" w:line="264" w:lineRule="auto"/>
            </w:pPr>
            <w:r/>
            <w:r>
              <w:rPr>
                <w:rFonts w:ascii="Calibri" w:hAnsi="Calibri"/>
                <w:b w:val="0"/>
                <w:color w:val="000000"/>
                <w:sz w:val="17"/>
              </w:rPr>
              <w:t>General carried the highest visit volume (4,228); Neurology had the highest average length of stay (19.72 hours).</w:t>
            </w:r>
          </w:p>
        </w:tc>
        <w:tc>
          <w:tcPr>
            <w:tcW w:type="dxa" w:w="3440"/>
          </w:tcPr>
          <w:p>
            <w:pPr>
              <w:spacing w:after="0" w:line="264" w:lineRule="auto"/>
            </w:pPr>
            <w:r/>
            <w:r>
              <w:rPr>
                <w:rFonts w:ascii="Calibri" w:hAnsi="Calibri"/>
                <w:b w:val="0"/>
                <w:color w:val="000000"/>
                <w:sz w:val="17"/>
              </w:rPr>
              <w:t>Operational dashboards should monitor department volume and length-of-stay together, because capacity pressure is not only a volume issue.</w:t>
            </w:r>
          </w:p>
        </w:tc>
      </w:tr>
      <w:tr>
        <w:tc>
          <w:tcPr>
            <w:tcW w:type="dxa" w:w="2100"/>
          </w:tcPr>
          <w:p>
            <w:pPr>
              <w:spacing w:after="0" w:line="264" w:lineRule="auto"/>
            </w:pPr>
            <w:r/>
            <w:r>
              <w:rPr>
                <w:rFonts w:ascii="Calibri" w:hAnsi="Calibri"/>
                <w:b/>
                <w:color w:val="0B2545"/>
                <w:sz w:val="18"/>
              </w:rPr>
              <w:t>Risk concentration</w:t>
            </w:r>
          </w:p>
        </w:tc>
        <w:tc>
          <w:tcPr>
            <w:tcW w:type="dxa" w:w="3820"/>
          </w:tcPr>
          <w:p>
            <w:pPr>
              <w:spacing w:after="0" w:line="264" w:lineRule="auto"/>
            </w:pPr>
            <w:r/>
            <w:r>
              <w:rPr>
                <w:rFonts w:ascii="Calibri" w:hAnsi="Calibri"/>
                <w:b w:val="0"/>
                <w:color w:val="000000"/>
                <w:sz w:val="17"/>
              </w:rPr>
              <w:t>High Risk visits represented 5,034 of 25,000 encounters (20.1%); ICU had the highest High Risk share (20.79%).</w:t>
            </w:r>
          </w:p>
        </w:tc>
        <w:tc>
          <w:tcPr>
            <w:tcW w:type="dxa" w:w="3440"/>
          </w:tcPr>
          <w:p>
            <w:pPr>
              <w:spacing w:after="0" w:line="264" w:lineRule="auto"/>
            </w:pPr>
            <w:r/>
            <w:r>
              <w:rPr>
                <w:rFonts w:ascii="Calibri" w:hAnsi="Calibri"/>
                <w:b w:val="0"/>
                <w:color w:val="000000"/>
                <w:sz w:val="17"/>
              </w:rPr>
              <w:t>ER and ICU triage should be prioritized for pilot workflows, staffing review, and high-risk escalation design.</w:t>
            </w:r>
          </w:p>
        </w:tc>
      </w:tr>
      <w:tr>
        <w:tc>
          <w:tcPr>
            <w:tcW w:type="dxa" w:w="2100"/>
          </w:tcPr>
          <w:p>
            <w:pPr>
              <w:spacing w:after="0" w:line="264" w:lineRule="auto"/>
            </w:pPr>
            <w:r/>
            <w:r>
              <w:rPr>
                <w:rFonts w:ascii="Calibri" w:hAnsi="Calibri"/>
                <w:b/>
                <w:color w:val="0B2545"/>
                <w:sz w:val="18"/>
              </w:rPr>
              <w:t>Revenue leakage</w:t>
            </w:r>
          </w:p>
        </w:tc>
        <w:tc>
          <w:tcPr>
            <w:tcW w:type="dxa" w:w="3820"/>
          </w:tcPr>
          <w:p>
            <w:pPr>
              <w:spacing w:after="0" w:line="264" w:lineRule="auto"/>
            </w:pPr>
            <w:r/>
            <w:r>
              <w:rPr>
                <w:rFonts w:ascii="Calibri" w:hAnsi="Calibri"/>
                <w:b w:val="0"/>
                <w:color w:val="000000"/>
                <w:sz w:val="17"/>
              </w:rPr>
              <w:t>The portfolio billed $521.8M and approved $387.2M, leaving a $134.6M gap; SecureLife had the highest rejection rate (15.69%).</w:t>
            </w:r>
          </w:p>
        </w:tc>
        <w:tc>
          <w:tcPr>
            <w:tcW w:type="dxa" w:w="3440"/>
          </w:tcPr>
          <w:p>
            <w:pPr>
              <w:spacing w:after="0" w:line="264" w:lineRule="auto"/>
            </w:pPr>
            <w:r/>
            <w:r>
              <w:rPr>
                <w:rFonts w:ascii="Calibri" w:hAnsi="Calibri"/>
                <w:b w:val="0"/>
                <w:color w:val="000000"/>
                <w:sz w:val="17"/>
              </w:rPr>
              <w:t>Finance teams should use payer-specific review queues before submission, focused first on high-bill and high-rejection patterns.</w:t>
            </w:r>
          </w:p>
        </w:tc>
      </w:tr>
      <w:tr>
        <w:tc>
          <w:tcPr>
            <w:tcW w:type="dxa" w:w="2100"/>
          </w:tcPr>
          <w:p>
            <w:pPr>
              <w:spacing w:after="0" w:line="264" w:lineRule="auto"/>
            </w:pPr>
            <w:r/>
            <w:r>
              <w:rPr>
                <w:rFonts w:ascii="Calibri" w:hAnsi="Calibri"/>
                <w:b/>
                <w:color w:val="0B2545"/>
                <w:sz w:val="18"/>
              </w:rPr>
              <w:t>Data reliability</w:t>
            </w:r>
          </w:p>
        </w:tc>
        <w:tc>
          <w:tcPr>
            <w:tcW w:type="dxa" w:w="3820"/>
          </w:tcPr>
          <w:p>
            <w:pPr>
              <w:spacing w:after="0" w:line="264" w:lineRule="auto"/>
            </w:pPr>
            <w:r/>
            <w:r>
              <w:rPr>
                <w:rFonts w:ascii="Calibri" w:hAnsi="Calibri"/>
                <w:b w:val="0"/>
                <w:color w:val="000000"/>
                <w:sz w:val="17"/>
              </w:rPr>
              <w:t>Approved amount is missing in 1,318 records, payment days in 790, and 72 high-billed records have zero or missing approvals.</w:t>
            </w:r>
          </w:p>
        </w:tc>
        <w:tc>
          <w:tcPr>
            <w:tcW w:type="dxa" w:w="3440"/>
          </w:tcPr>
          <w:p>
            <w:pPr>
              <w:spacing w:after="0" w:line="264" w:lineRule="auto"/>
            </w:pPr>
            <w:r/>
            <w:r>
              <w:rPr>
                <w:rFonts w:ascii="Calibri" w:hAnsi="Calibri"/>
                <w:b w:val="0"/>
                <w:color w:val="000000"/>
                <w:sz w:val="17"/>
              </w:rPr>
              <w:t>Leadership reporting should include data-quality gates so revenue and payment-delay decisions are not made on incomplete claim outcomes.</w:t>
            </w:r>
          </w:p>
        </w:tc>
      </w:tr>
    </w:tbl>
    <w:p>
      <w:pPr>
        <w:pStyle w:val="Heading1"/>
      </w:pPr>
      <w:r>
        <w:t>Model Impact Summary</w:t>
      </w:r>
    </w:p>
    <w:p>
      <w:pPr>
        <w:spacing w:after="120" w:line="264" w:lineRule="auto"/>
      </w:pPr>
      <w:r>
        <w:rPr>
          <w:rFonts w:ascii="Calibri" w:hAnsi="Calibri"/>
          <w:color w:val="000000"/>
          <w:sz w:val="22"/>
        </w:rPr>
        <w:t>The models create a practical triage layer: they can prioritize work for staff review, but they should not replace clinical judgment or billing policy. Phase 4 evaluation showed modest predictive signal, which is useful for early review queues but not sufficient for autonomous decisions.</w:t>
      </w:r>
    </w:p>
    <w:tbl>
      <w:tblGrid>
        <w:gridCol w:w="1750"/>
        <w:gridCol w:w="2050"/>
        <w:gridCol w:w="2020"/>
        <w:gridCol w:w="3540"/>
      </w:tblGrid>
      <w:tblPr>
        <w:tblStyle w:val="TableGrid"/>
        <w:tblW w:type="dxa" w:w="9360"/>
        <w:jc w:val="left"/>
        <w:tblLayout w:type="fixed"/>
        <w:tblLook w:firstColumn="1" w:firstRow="1" w:lastColumn="0" w:lastRow="0" w:noHBand="0" w:noVBand="1" w:val="04A0"/>
        <w:tblInd w:type="dxa" w:w="120"/>
      </w:tblPr>
      <w:tr>
        <w:tc>
          <w:tcPr>
            <w:tcW w:type="dxa" w:w="1750"/>
            <w:vAlign w:val="center"/>
            <w:tcMar>
              <w:top w:w="80" w:type="dxa"/>
              <w:bottom w:w="80" w:type="dxa"/>
              <w:start w:w="120" w:type="dxa"/>
              <w:end w:w="120" w:type="dxa"/>
            </w:tcMar>
            <w:shd w:fill="F2F4F7"/>
          </w:tcPr>
          <w:p>
            <w:pPr>
              <w:spacing w:after="0" w:line="264" w:lineRule="auto"/>
            </w:pPr>
            <w:r/>
            <w:r>
              <w:rPr>
                <w:rFonts w:ascii="Calibri" w:hAnsi="Calibri"/>
                <w:b/>
                <w:color w:val="1F4D78"/>
                <w:sz w:val="18"/>
              </w:rPr>
              <w:t>Model</w:t>
            </w:r>
          </w:p>
        </w:tc>
        <w:tc>
          <w:tcPr>
            <w:tcW w:type="dxa" w:w="2050"/>
            <w:vAlign w:val="center"/>
            <w:tcMar>
              <w:top w:w="80" w:type="dxa"/>
              <w:bottom w:w="80" w:type="dxa"/>
              <w:start w:w="120" w:type="dxa"/>
              <w:end w:w="120" w:type="dxa"/>
            </w:tcMar>
            <w:shd w:fill="F2F4F7"/>
          </w:tcPr>
          <w:p>
            <w:pPr>
              <w:spacing w:after="0" w:line="264" w:lineRule="auto"/>
            </w:pPr>
            <w:r/>
            <w:r>
              <w:rPr>
                <w:rFonts w:ascii="Calibri" w:hAnsi="Calibri"/>
                <w:b/>
                <w:color w:val="1F4D78"/>
                <w:sz w:val="18"/>
              </w:rPr>
              <w:t>Selected Method</w:t>
            </w:r>
          </w:p>
        </w:tc>
        <w:tc>
          <w:tcPr>
            <w:tcW w:type="dxa" w:w="2020"/>
            <w:vAlign w:val="center"/>
            <w:tcMar>
              <w:top w:w="80" w:type="dxa"/>
              <w:bottom w:w="80" w:type="dxa"/>
              <w:start w:w="120" w:type="dxa"/>
              <w:end w:w="120" w:type="dxa"/>
            </w:tcMar>
            <w:shd w:fill="F2F4F7"/>
          </w:tcPr>
          <w:p>
            <w:pPr>
              <w:spacing w:after="0" w:line="264" w:lineRule="auto"/>
            </w:pPr>
            <w:r/>
            <w:r>
              <w:rPr>
                <w:rFonts w:ascii="Calibri" w:hAnsi="Calibri"/>
                <w:b/>
                <w:color w:val="1F4D78"/>
                <w:sz w:val="18"/>
              </w:rPr>
              <w:t>Business Recall</w:t>
            </w:r>
          </w:p>
        </w:tc>
        <w:tc>
          <w:tcPr>
            <w:tcW w:type="dxa" w:w="3540"/>
            <w:vAlign w:val="center"/>
            <w:tcMar>
              <w:top w:w="80" w:type="dxa"/>
              <w:bottom w:w="80" w:type="dxa"/>
              <w:start w:w="120" w:type="dxa"/>
              <w:end w:w="120" w:type="dxa"/>
            </w:tcMar>
            <w:shd w:fill="F2F4F7"/>
          </w:tcPr>
          <w:p>
            <w:pPr>
              <w:spacing w:after="0" w:line="264" w:lineRule="auto"/>
            </w:pPr>
            <w:r/>
            <w:r>
              <w:rPr>
                <w:rFonts w:ascii="Calibri" w:hAnsi="Calibri"/>
                <w:b/>
                <w:color w:val="1F4D78"/>
                <w:sz w:val="18"/>
              </w:rPr>
              <w:t>Executive Interpretation</w:t>
            </w:r>
          </w:p>
        </w:tc>
      </w:tr>
      <w:tr>
        <w:tc>
          <w:tcPr>
            <w:tcW w:type="dxa" w:w="1750"/>
          </w:tcPr>
          <w:p>
            <w:pPr>
              <w:spacing w:after="0" w:line="264" w:lineRule="auto"/>
            </w:pPr>
            <w:r/>
            <w:r>
              <w:rPr>
                <w:rFonts w:ascii="Calibri" w:hAnsi="Calibri"/>
                <w:b/>
                <w:color w:val="0B2545"/>
                <w:sz w:val="18"/>
              </w:rPr>
              <w:t>Visit risk</w:t>
            </w:r>
          </w:p>
        </w:tc>
        <w:tc>
          <w:tcPr>
            <w:tcW w:type="dxa" w:w="2050"/>
          </w:tcPr>
          <w:p>
            <w:pPr>
              <w:spacing w:after="0" w:line="264" w:lineRule="auto"/>
            </w:pPr>
            <w:r/>
            <w:r>
              <w:rPr>
                <w:rFonts w:ascii="Calibri" w:hAnsi="Calibri"/>
                <w:b w:val="0"/>
                <w:color w:val="000000"/>
                <w:sz w:val="17"/>
              </w:rPr>
              <w:t>Logistic Regression</w:t>
            </w:r>
          </w:p>
        </w:tc>
        <w:tc>
          <w:tcPr>
            <w:tcW w:type="dxa" w:w="2020"/>
          </w:tcPr>
          <w:p>
            <w:pPr>
              <w:spacing w:after="0" w:line="264" w:lineRule="auto"/>
            </w:pPr>
            <w:r/>
            <w:r>
              <w:rPr>
                <w:rFonts w:ascii="Calibri" w:hAnsi="Calibri"/>
                <w:b/>
                <w:color w:val="0B2545"/>
                <w:sz w:val="17"/>
              </w:rPr>
              <w:t>High Risk recall 30.2%; macro F1 0.330</w:t>
            </w:r>
          </w:p>
        </w:tc>
        <w:tc>
          <w:tcPr>
            <w:tcW w:type="dxa" w:w="3540"/>
          </w:tcPr>
          <w:p>
            <w:pPr>
              <w:spacing w:after="0" w:line="264" w:lineRule="auto"/>
            </w:pPr>
            <w:r/>
            <w:r>
              <w:rPr>
                <w:rFonts w:ascii="Calibri" w:hAnsi="Calibri"/>
                <w:b w:val="0"/>
                <w:color w:val="000000"/>
                <w:sz w:val="17"/>
              </w:rPr>
              <w:t>Use as an early warning signal for operational review, especially in ER/ICU workflows; continue feature enrichment before clinical policy use.</w:t>
            </w:r>
          </w:p>
        </w:tc>
      </w:tr>
      <w:tr>
        <w:tc>
          <w:tcPr>
            <w:tcW w:type="dxa" w:w="1750"/>
          </w:tcPr>
          <w:p>
            <w:pPr>
              <w:spacing w:after="0" w:line="264" w:lineRule="auto"/>
            </w:pPr>
            <w:r/>
            <w:r>
              <w:rPr>
                <w:rFonts w:ascii="Calibri" w:hAnsi="Calibri"/>
                <w:b/>
                <w:color w:val="0B2545"/>
                <w:sz w:val="18"/>
              </w:rPr>
              <w:t>Claim outcome</w:t>
            </w:r>
          </w:p>
        </w:tc>
        <w:tc>
          <w:tcPr>
            <w:tcW w:type="dxa" w:w="2050"/>
          </w:tcPr>
          <w:p>
            <w:pPr>
              <w:spacing w:after="0" w:line="264" w:lineRule="auto"/>
            </w:pPr>
            <w:r/>
            <w:r>
              <w:rPr>
                <w:rFonts w:ascii="Calibri" w:hAnsi="Calibri"/>
                <w:b w:val="0"/>
                <w:color w:val="000000"/>
                <w:sz w:val="17"/>
              </w:rPr>
              <w:t>Random Forest</w:t>
            </w:r>
          </w:p>
        </w:tc>
        <w:tc>
          <w:tcPr>
            <w:tcW w:type="dxa" w:w="2020"/>
          </w:tcPr>
          <w:p>
            <w:pPr>
              <w:spacing w:after="0" w:line="264" w:lineRule="auto"/>
            </w:pPr>
            <w:r/>
            <w:r>
              <w:rPr>
                <w:rFonts w:ascii="Calibri" w:hAnsi="Calibri"/>
                <w:b/>
                <w:color w:val="0B2545"/>
                <w:sz w:val="17"/>
              </w:rPr>
              <w:t>Rejected recall 49.2%; macro F1 0.357</w:t>
            </w:r>
          </w:p>
        </w:tc>
        <w:tc>
          <w:tcPr>
            <w:tcW w:type="dxa" w:w="3540"/>
          </w:tcPr>
          <w:p>
            <w:pPr>
              <w:spacing w:after="0" w:line="264" w:lineRule="auto"/>
            </w:pPr>
            <w:r/>
            <w:r>
              <w:rPr>
                <w:rFonts w:ascii="Calibri" w:hAnsi="Calibri"/>
                <w:b w:val="0"/>
                <w:color w:val="000000"/>
                <w:sz w:val="17"/>
              </w:rPr>
              <w:t>Use to prioritize pre-submission claim review and payer follow-up; it is stronger as revenue-cycle decision support than as automatic disposition.</w:t>
            </w:r>
          </w:p>
        </w:tc>
      </w:tr>
    </w:tbl>
    <w:p>
      <w:pPr>
        <w:pStyle w:val="Heading1"/>
      </w:pPr>
      <w:r>
        <w:t>Deployment, Architecture, and Governance</w:t>
      </w:r>
    </w:p>
    <w:tbl>
      <w:tblGrid>
        <w:gridCol w:w="1560"/>
        <w:gridCol w:w="1560"/>
        <w:gridCol w:w="1560"/>
        <w:gridCol w:w="1560"/>
        <w:gridCol w:w="1560"/>
        <w:gridCol w:w="1560"/>
      </w:tblGrid>
      <w:tblPr>
        <w:tblStyle w:val="TableGrid"/>
        <w:tblW w:type="dxa" w:w="9360"/>
        <w:jc w:val="left"/>
        <w:tblLayout w:type="fixed"/>
        <w:tblLook w:firstColumn="1" w:firstRow="1" w:lastColumn="0" w:lastRow="0" w:noHBand="0" w:noVBand="1" w:val="04A0"/>
        <w:tblInd w:type="dxa" w:w="120"/>
      </w:tblPr>
      <w:tr>
        <w:tc>
          <w:tcPr>
            <w:tcW w:type="dxa" w:w="1560"/>
            <w:vAlign w:val="center"/>
            <w:tcMar>
              <w:top w:w="80" w:type="dxa"/>
              <w:bottom w:w="80" w:type="dxa"/>
              <w:start w:w="120" w:type="dxa"/>
              <w:end w:w="120" w:type="dxa"/>
            </w:tcMar>
            <w:shd w:fill="E8EEF5"/>
          </w:tcPr>
          <w:p>
            <w:pPr>
              <w:spacing w:after="0"/>
              <w:jc w:val="center"/>
            </w:pPr>
            <w:r>
              <w:rPr>
                <w:rFonts w:ascii="Calibri" w:hAnsi="Calibri"/>
                <w:b/>
                <w:color w:val="1F4D78"/>
                <w:sz w:val="18"/>
              </w:rPr>
              <w:t>Raw data</w:t>
            </w:r>
            <w:r>
              <w:br/>
            </w:r>
            <w:r>
              <w:rPr>
                <w:rFonts w:ascii="Calibri" w:hAnsi="Calibri"/>
                <w:color w:val="000000"/>
                <w:sz w:val="15"/>
              </w:rPr>
              <w:t>patients, visits, billing CSVs</w:t>
            </w:r>
          </w:p>
        </w:tc>
        <w:tc>
          <w:tcPr>
            <w:tcW w:type="dxa" w:w="1560"/>
            <w:vAlign w:val="center"/>
            <w:tcMar>
              <w:top w:w="80" w:type="dxa"/>
              <w:bottom w:w="80" w:type="dxa"/>
              <w:start w:w="120" w:type="dxa"/>
              <w:end w:w="120" w:type="dxa"/>
            </w:tcMar>
            <w:shd w:fill="F2F4F7"/>
          </w:tcPr>
          <w:p>
            <w:pPr>
              <w:spacing w:after="0"/>
              <w:jc w:val="center"/>
            </w:pPr>
            <w:r>
              <w:rPr>
                <w:rFonts w:ascii="Calibri" w:hAnsi="Calibri"/>
                <w:b/>
                <w:color w:val="1F4D78"/>
                <w:sz w:val="18"/>
              </w:rPr>
              <w:t>SQL layer</w:t>
            </w:r>
            <w:r>
              <w:br/>
            </w:r>
            <w:r>
              <w:rPr>
                <w:rFonts w:ascii="Calibri" w:hAnsi="Calibri"/>
                <w:color w:val="000000"/>
                <w:sz w:val="15"/>
              </w:rPr>
              <w:t>integrity, indexes, reusable views</w:t>
            </w:r>
          </w:p>
        </w:tc>
        <w:tc>
          <w:tcPr>
            <w:tcW w:type="dxa" w:w="1560"/>
            <w:vAlign w:val="center"/>
            <w:tcMar>
              <w:top w:w="80" w:type="dxa"/>
              <w:bottom w:w="80" w:type="dxa"/>
              <w:start w:w="120" w:type="dxa"/>
              <w:end w:w="120" w:type="dxa"/>
            </w:tcMar>
            <w:shd w:fill="E8EEF5"/>
          </w:tcPr>
          <w:p>
            <w:pPr>
              <w:spacing w:after="0"/>
              <w:jc w:val="center"/>
            </w:pPr>
            <w:r>
              <w:rPr>
                <w:rFonts w:ascii="Calibri" w:hAnsi="Calibri"/>
                <w:b/>
                <w:color w:val="1F4D78"/>
                <w:sz w:val="18"/>
              </w:rPr>
              <w:t>Feature table</w:t>
            </w:r>
            <w:r>
              <w:br/>
            </w:r>
            <w:r>
              <w:rPr>
                <w:rFonts w:ascii="Calibri" w:hAnsi="Calibri"/>
                <w:color w:val="000000"/>
                <w:sz w:val="15"/>
              </w:rPr>
              <w:t>25,000 rows, 69 columns</w:t>
            </w:r>
          </w:p>
        </w:tc>
        <w:tc>
          <w:tcPr>
            <w:tcW w:type="dxa" w:w="1560"/>
            <w:vAlign w:val="center"/>
            <w:tcMar>
              <w:top w:w="80" w:type="dxa"/>
              <w:bottom w:w="80" w:type="dxa"/>
              <w:start w:w="120" w:type="dxa"/>
              <w:end w:w="120" w:type="dxa"/>
            </w:tcMar>
            <w:shd w:fill="F2F4F7"/>
          </w:tcPr>
          <w:p>
            <w:pPr>
              <w:spacing w:after="0"/>
              <w:jc w:val="center"/>
            </w:pPr>
            <w:r>
              <w:rPr>
                <w:rFonts w:ascii="Calibri" w:hAnsi="Calibri"/>
                <w:b/>
                <w:color w:val="1F4D78"/>
                <w:sz w:val="18"/>
              </w:rPr>
              <w:t>Models</w:t>
            </w:r>
            <w:r>
              <w:br/>
            </w:r>
            <w:r>
              <w:rPr>
                <w:rFonts w:ascii="Calibri" w:hAnsi="Calibri"/>
                <w:color w:val="000000"/>
                <w:sz w:val="15"/>
              </w:rPr>
              <w:t>risk and claim classifiers</w:t>
            </w:r>
          </w:p>
        </w:tc>
        <w:tc>
          <w:tcPr>
            <w:tcW w:type="dxa" w:w="1560"/>
            <w:vAlign w:val="center"/>
            <w:tcMar>
              <w:top w:w="80" w:type="dxa"/>
              <w:bottom w:w="80" w:type="dxa"/>
              <w:start w:w="120" w:type="dxa"/>
              <w:end w:w="120" w:type="dxa"/>
            </w:tcMar>
            <w:shd w:fill="E8EEF5"/>
          </w:tcPr>
          <w:p>
            <w:pPr>
              <w:spacing w:after="0"/>
              <w:jc w:val="center"/>
            </w:pPr>
            <w:r>
              <w:rPr>
                <w:rFonts w:ascii="Calibri" w:hAnsi="Calibri"/>
                <w:b/>
                <w:color w:val="1F4D78"/>
                <w:sz w:val="18"/>
              </w:rPr>
              <w:t>API</w:t>
            </w:r>
            <w:r>
              <w:br/>
            </w:r>
            <w:r>
              <w:rPr>
                <w:rFonts w:ascii="Calibri" w:hAnsi="Calibri"/>
                <w:color w:val="000000"/>
                <w:sz w:val="15"/>
              </w:rPr>
              <w:t>FastAPI scoring and logging</w:t>
            </w:r>
          </w:p>
        </w:tc>
        <w:tc>
          <w:tcPr>
            <w:tcW w:type="dxa" w:w="1560"/>
            <w:vAlign w:val="center"/>
            <w:tcMar>
              <w:top w:w="80" w:type="dxa"/>
              <w:bottom w:w="80" w:type="dxa"/>
              <w:start w:w="120" w:type="dxa"/>
              <w:end w:w="120" w:type="dxa"/>
            </w:tcMar>
            <w:shd w:fill="F2F4F7"/>
          </w:tcPr>
          <w:p>
            <w:pPr>
              <w:spacing w:after="0"/>
              <w:jc w:val="center"/>
            </w:pPr>
            <w:r>
              <w:rPr>
                <w:rFonts w:ascii="Calibri" w:hAnsi="Calibri"/>
                <w:b/>
                <w:color w:val="1F4D78"/>
                <w:sz w:val="18"/>
              </w:rPr>
              <w:t>Governance</w:t>
            </w:r>
            <w:r>
              <w:br/>
            </w:r>
            <w:r>
              <w:rPr>
                <w:rFonts w:ascii="Calibri" w:hAnsi="Calibri"/>
                <w:color w:val="000000"/>
                <w:sz w:val="15"/>
              </w:rPr>
              <w:t>validation, drift, retraining</w:t>
            </w:r>
          </w:p>
        </w:tc>
      </w:tr>
    </w:tbl>
    <w:p>
      <w:pPr>
        <w:spacing w:after="120" w:line="264" w:lineRule="auto"/>
      </w:pPr>
      <w:r>
        <w:rPr>
          <w:rFonts w:ascii="Calibri" w:hAnsi="Calibri"/>
          <w:color w:val="000000"/>
          <w:sz w:val="22"/>
        </w:rPr>
        <w:t>Phase 5 operationalized the selected models through FastAPI endpoints for health, version metadata, risk prediction, and claim prediction. Verification confirmed live scoring and prediction logging, including model version and feature hash metadata. Phase 6 added validation, feature drift, prediction drift, and audit-log monitoring.</w:t>
      </w:r>
    </w:p>
    <w:p>
      <w:pPr>
        <w:pStyle w:val="ListBullet"/>
        <w:spacing w:after="80" w:line="280" w:lineRule="auto"/>
        <w:ind w:left="720" w:hanging="360"/>
      </w:pPr>
      <w:r>
        <w:rPr>
          <w:rFonts w:ascii="Calibri" w:hAnsi="Calibri"/>
          <w:color w:val="000000"/>
          <w:sz w:val="21"/>
        </w:rPr>
        <w:t>API readiness: verified endpoints include GET /health, GET /version, POST /predict/risk, POST /predict/claim; prediction logging is verified at logs/prediction_audit_log.jsonl.</w:t>
      </w:r>
    </w:p>
    <w:p>
      <w:pPr>
        <w:pStyle w:val="ListBullet"/>
        <w:spacing w:after="80" w:line="280" w:lineRule="auto"/>
        <w:ind w:left="720" w:hanging="360"/>
      </w:pPr>
      <w:r>
        <w:rPr>
          <w:rFonts w:ascii="Calibri" w:hAnsi="Calibri"/>
          <w:color w:val="000000"/>
          <w:sz w:val="21"/>
        </w:rPr>
        <w:t>Monitoring status: 93 validation checks ran, with 2 failures and 7 warnings.</w:t>
      </w:r>
    </w:p>
    <w:p>
      <w:pPr>
        <w:pStyle w:val="ListBullet"/>
        <w:spacing w:after="80" w:line="280" w:lineRule="auto"/>
        <w:ind w:left="720" w:hanging="360"/>
      </w:pPr>
      <w:r>
        <w:rPr>
          <w:rFonts w:ascii="Calibri" w:hAnsi="Calibri"/>
          <w:color w:val="000000"/>
          <w:sz w:val="21"/>
        </w:rPr>
        <w:t>Drift status: risk prediction drift is stable (PSI 0.020); claim prediction drift is watch level (PSI 0.149).</w:t>
      </w:r>
    </w:p>
    <w:p>
      <w:pPr>
        <w:pStyle w:val="Heading1"/>
      </w:pPr>
      <w:r>
        <w:t>Business Recommendations for Hospital Leadership</w:t>
      </w:r>
    </w:p>
    <w:p>
      <w:pPr>
        <w:pStyle w:val="ListNumber"/>
        <w:spacing w:after="80" w:line="280" w:lineRule="auto"/>
        <w:ind w:left="720" w:hanging="360"/>
      </w:pPr>
      <w:r>
        <w:rPr>
          <w:rFonts w:ascii="Calibri" w:hAnsi="Calibri"/>
          <w:color w:val="000000"/>
          <w:sz w:val="21"/>
        </w:rPr>
        <w:t>Launch a 60-90 day decision-support pilot in ER/ICU operations and revenue-cycle claim review, with staff feedback captured against every High Risk or Rejected alert.</w:t>
      </w:r>
    </w:p>
    <w:p>
      <w:pPr>
        <w:pStyle w:val="ListNumber"/>
        <w:spacing w:after="80" w:line="280" w:lineRule="auto"/>
        <w:ind w:left="720" w:hanging="360"/>
      </w:pPr>
      <w:r>
        <w:rPr>
          <w:rFonts w:ascii="Calibri" w:hAnsi="Calibri"/>
          <w:color w:val="000000"/>
          <w:sz w:val="21"/>
        </w:rPr>
        <w:t>Create a data-quality remediation workstream for approved amount, payment days, temporal anomalies, and high-billed zero/missing approval cases before expanding executive financial dashboards.</w:t>
      </w:r>
    </w:p>
    <w:p>
      <w:pPr>
        <w:pStyle w:val="ListNumber"/>
        <w:spacing w:after="80" w:line="280" w:lineRule="auto"/>
        <w:ind w:left="720" w:hanging="360"/>
      </w:pPr>
      <w:r>
        <w:rPr>
          <w:rFonts w:ascii="Calibri" w:hAnsi="Calibri"/>
          <w:color w:val="000000"/>
          <w:sz w:val="21"/>
        </w:rPr>
        <w:t>Use payer-specific revenue optimization: start with SecureLife and MediCareX rejection review, then add rules for high-billed claims and payer response delays.</w:t>
      </w:r>
    </w:p>
    <w:p>
      <w:pPr>
        <w:pStyle w:val="ListNumber"/>
        <w:spacing w:after="80" w:line="280" w:lineRule="auto"/>
        <w:ind w:left="720" w:hanging="360"/>
      </w:pPr>
      <w:r>
        <w:rPr>
          <w:rFonts w:ascii="Calibri" w:hAnsi="Calibri"/>
          <w:color w:val="000000"/>
          <w:sz w:val="21"/>
        </w:rPr>
        <w:t>Govern the platform as a monitored AI product: retain model cards, audit logs, drift reports, fairness checks, and retraining approvals before promoting any new model version.</w:t>
      </w:r>
    </w:p>
    <w:p>
      <w:pPr>
        <w:pStyle w:val="Heading1"/>
      </w:pPr>
      <w:r>
        <w:t>Strategic Value</w:t>
      </w:r>
    </w:p>
    <w:p>
      <w:pPr>
        <w:spacing w:after="120" w:line="264" w:lineRule="auto"/>
      </w:pPr>
      <w:r>
        <w:rPr>
          <w:rFonts w:ascii="Calibri" w:hAnsi="Calibri"/>
          <w:color w:val="000000"/>
          <w:sz w:val="22"/>
        </w:rPr>
        <w:t>The capstone has converted raw hospital operations and billing data into a governed analytics product: a SQL foundation, modeling-ready feature layer, two classification systems, an API deployment path, and monitoring controls. The immediate leadership value is better visibility into patient-flow pressure and revenue leakage risk. The next value unlock is disciplined pilot adoption, not unchecked automation.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5F6977"/>
        <w:sz w:val="16"/>
      </w:rPr>
      <w:t>Decision-support prototype. Use with human review, monitoring, and governance controls.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1" w:color="D7DBE2"/>
      </w:pBdr>
    </w:pPr>
    <w:r>
      <w:rPr>
        <w:rFonts w:ascii="Calibri" w:hAnsi="Calibri"/>
        <w:color w:val="5F6977"/>
        <w:sz w:val="17"/>
      </w:rPr>
      <w:t>Healthcare AI Capstone | Executive Business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Insights Report</dc:title>
  <dc:subject>Executive business presentation for hospital operations and revenue risk intelligence</dc:subject>
  <dc:creator>Healthcare AI 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