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XSpec="center" w:tblpY="2796"/>
        <w:tblOverlap w:val="never"/>
        <w:tblW w:w="5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3714"/>
      </w:tblGrid>
      <w:tr w14:paraId="700B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070" w:type="dxa"/>
            <w:shd w:val="clear" w:color="auto" w:fill="auto"/>
            <w:vAlign w:val="center"/>
          </w:tcPr>
          <w:p w14:paraId="5925840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系统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6D56BD6E">
            <w:pPr>
              <w:jc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/>
              </w:rPr>
              <w:t>财务管理系统</w:t>
            </w:r>
          </w:p>
        </w:tc>
      </w:tr>
      <w:tr w14:paraId="428E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070" w:type="dxa"/>
            <w:shd w:val="clear" w:color="auto" w:fill="auto"/>
            <w:vAlign w:val="center"/>
          </w:tcPr>
          <w:p w14:paraId="05FB34C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目标组织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32D5618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寻求精细化财务管理和高效运营的小型企业</w:t>
            </w:r>
            <w:r>
              <w:rPr>
                <w:rStyle w:val="8"/>
                <w:rFonts w:eastAsia="宋体"/>
                <w:lang w:bidi="ar"/>
              </w:rPr>
              <w:t>/</w:t>
            </w:r>
            <w:r>
              <w:rPr>
                <w:rStyle w:val="9"/>
                <w:rFonts w:hint="default"/>
                <w:lang w:bidi="ar"/>
              </w:rPr>
              <w:t>个体经营者。</w:t>
            </w:r>
          </w:p>
        </w:tc>
      </w:tr>
      <w:tr w14:paraId="5DFF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070" w:type="dxa"/>
            <w:shd w:val="clear" w:color="auto" w:fill="auto"/>
            <w:vAlign w:val="center"/>
          </w:tcPr>
          <w:p w14:paraId="517F6A0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老大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1EE53A0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企业负责人</w:t>
            </w:r>
            <w:r>
              <w:rPr>
                <w:rStyle w:val="8"/>
                <w:rFonts w:eastAsia="宋体"/>
                <w:lang w:bidi="ar"/>
              </w:rPr>
              <w:t>/</w:t>
            </w:r>
            <w:r>
              <w:rPr>
                <w:rStyle w:val="9"/>
                <w:rFonts w:hint="default"/>
                <w:lang w:bidi="ar"/>
              </w:rPr>
              <w:t>个体经营者。</w:t>
            </w:r>
          </w:p>
        </w:tc>
      </w:tr>
      <w:tr w14:paraId="29A2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8" w:hRule="atLeast"/>
        </w:trPr>
        <w:tc>
          <w:tcPr>
            <w:tcW w:w="2070" w:type="dxa"/>
            <w:shd w:val="clear" w:color="auto" w:fill="auto"/>
            <w:vAlign w:val="center"/>
          </w:tcPr>
          <w:p w14:paraId="30344A5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目标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50398B7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显著提升企业对业务活动（采购、销售、费用）的实时财务控制力，确保关键业务决策的财务数据及时性、准确性和税务合法合规性；</w:t>
            </w:r>
            <w:r>
              <w:rPr>
                <w:rFonts w:hint="eastAsia"/>
              </w:rPr>
              <w:t>支持多种货币交付（可选）</w:t>
            </w:r>
          </w:p>
        </w:tc>
      </w:tr>
      <w:tr w14:paraId="79AF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2070" w:type="dxa"/>
            <w:shd w:val="clear" w:color="auto" w:fill="auto"/>
            <w:vAlign w:val="center"/>
          </w:tcPr>
          <w:p w14:paraId="0C21125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1B1C1D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2"/>
                <w:szCs w:val="22"/>
                <w:lang w:bidi="ar"/>
              </w:rPr>
              <w:t>度量指标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20F4FB03">
            <w:pPr>
              <w:jc w:val="center"/>
            </w:pPr>
            <w:r>
              <w:rPr>
                <w:rFonts w:hint="eastAsia"/>
              </w:rPr>
              <w:t>1. 业务数据（如采购订单、销售发票）到总账的同步滞后时间 。</w:t>
            </w:r>
          </w:p>
          <w:p w14:paraId="4B60ED0C">
            <w:pPr>
              <w:jc w:val="center"/>
              <w:rPr>
                <w:rFonts w:ascii="Arial" w:hAnsi="Arial" w:eastAsia="宋体" w:cs="Arial"/>
                <w:color w:val="1B1C1D"/>
                <w:sz w:val="22"/>
                <w:szCs w:val="22"/>
              </w:rPr>
            </w:pPr>
            <w:r>
              <w:rPr>
                <w:rFonts w:hint="eastAsia"/>
              </w:rPr>
              <w:t>2. 代码执行效率。</w:t>
            </w:r>
          </w:p>
        </w:tc>
      </w:tr>
    </w:tbl>
    <w:p w14:paraId="24C65AE3">
      <w:pPr>
        <w:pStyle w:val="2"/>
        <w:rPr>
          <w:rFonts w:asciiTheme="majorEastAsia" w:hAnsiTheme="majorEastAsia" w:eastAsiaTheme="majorEastAsia"/>
          <w:sz w:val="30"/>
          <w:szCs w:val="30"/>
        </w:rPr>
      </w:pPr>
      <w:r>
        <w:rPr>
          <w:rFonts w:hint="eastAsia" w:asciiTheme="majorEastAsia" w:hAnsiTheme="majorEastAsia" w:eastAsiaTheme="majorEastAsia"/>
          <w:sz w:val="30"/>
          <w:szCs w:val="30"/>
        </w:rPr>
        <w:t>一、愿景</w:t>
      </w:r>
    </w:p>
    <w:p w14:paraId="18D8B2E8"/>
    <w:p w14:paraId="4C543CBB"/>
    <w:p w14:paraId="56AAB297"/>
    <w:p w14:paraId="6D9230D5"/>
    <w:p w14:paraId="1C683D63"/>
    <w:p w14:paraId="6607C8EB"/>
    <w:p w14:paraId="53B3C3ED"/>
    <w:p w14:paraId="32702BCC"/>
    <w:p w14:paraId="144CFCA4"/>
    <w:p w14:paraId="6884D6A6"/>
    <w:p w14:paraId="4B2B8B8D"/>
    <w:p w14:paraId="6095739E"/>
    <w:p w14:paraId="6081549B"/>
    <w:p w14:paraId="5C97A0D6"/>
    <w:p w14:paraId="40022C7A">
      <w:pPr>
        <w:tabs>
          <w:tab w:val="left" w:pos="6973"/>
        </w:tabs>
        <w:jc w:val="left"/>
      </w:pPr>
      <w:r>
        <w:rPr>
          <w:rFonts w:hint="eastAsia"/>
        </w:rPr>
        <w:tab/>
      </w:r>
    </w:p>
    <w:p w14:paraId="3185D4D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业务用例图</w:t>
      </w:r>
    </w:p>
    <w:p w14:paraId="775003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612005"/>
            <wp:effectExtent l="0" t="0" r="10160" b="10795"/>
            <wp:docPr id="1" name="图片 1" descr="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E7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业务序列图</w:t>
      </w:r>
    </w:p>
    <w:p w14:paraId="03AB6F51">
      <w:pPr>
        <w:pStyle w:val="3"/>
        <w:numPr>
          <w:ilvl w:val="0"/>
          <w:numId w:val="2"/>
        </w:numPr>
        <w:bidi w:val="0"/>
      </w:pPr>
      <w:r>
        <w:t>采购到付款业务序列图</w:t>
      </w:r>
    </w:p>
    <w:p w14:paraId="37857C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569335"/>
            <wp:effectExtent l="0" t="0" r="10160" b="12065"/>
            <wp:docPr id="2" name="图片 2" descr="未命名绘图.drawi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.drawio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97E3">
      <w:pPr>
        <w:pStyle w:val="3"/>
        <w:numPr>
          <w:ilvl w:val="0"/>
          <w:numId w:val="2"/>
        </w:numPr>
        <w:bidi w:val="0"/>
        <w:ind w:left="0" w:leftChars="0" w:firstLine="0" w:firstLineChars="0"/>
      </w:pPr>
      <w:r>
        <w:t>销售到收款业务序列图</w:t>
      </w:r>
    </w:p>
    <w:p w14:paraId="597802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251960"/>
            <wp:effectExtent l="0" t="0" r="11430" b="2540"/>
            <wp:docPr id="3" name="图片 3" descr="未命名绘图.drawio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绘图.drawio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8A5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系统用例图</w:t>
      </w:r>
    </w:p>
    <w:p w14:paraId="4C7DEC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6608445"/>
            <wp:effectExtent l="0" t="0" r="0" b="8255"/>
            <wp:docPr id="4" name="图片 4" descr="联想截图_2025102714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联想截图_202510271448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39C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系统用例规约</w:t>
      </w:r>
    </w:p>
    <w:p w14:paraId="6E8F51DC">
      <w:pPr>
        <w:pStyle w:val="3"/>
        <w:numPr>
          <w:ilvl w:val="0"/>
          <w:numId w:val="3"/>
        </w:numPr>
        <w:bidi w:val="0"/>
      </w:pPr>
      <w:r>
        <w:t>UC001 供应商信息管理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7662"/>
      </w:tblGrid>
      <w:tr w14:paraId="680489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2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C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782412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D0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C7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采购员（主）、会计（主）</w:t>
            </w:r>
          </w:p>
        </w:tc>
      </w:tr>
      <w:tr w14:paraId="4EFB57F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C7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5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执行者已登录系统并拥有相应权限。</w:t>
            </w:r>
          </w:p>
        </w:tc>
      </w:tr>
      <w:tr w14:paraId="5C82D26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54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BA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系统保存供应商的完整、准确信息。新的供应商状态为“有效”。</w:t>
            </w:r>
          </w:p>
        </w:tc>
      </w:tr>
      <w:tr w14:paraId="3A804BE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6F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11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采购员：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快速找到合格供应商。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信息准确，便于付款和核算往来账。</w:t>
            </w:r>
          </w:p>
        </w:tc>
      </w:tr>
      <w:tr w14:paraId="1CF3047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9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60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E1：信息校验失败：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系统提示：税务信息格式错误或重复。 2b. 业务员修正后重新提交。</w:t>
            </w:r>
          </w:p>
        </w:tc>
      </w:tr>
      <w:tr w14:paraId="167101A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2F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1A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VendorID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VendorName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TaxID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(Unique),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ContactPerson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BankAcctNo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SettlementCurrency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1E763B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D6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BC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1. 供应商的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TaxID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必须唯一。 2. 供应商状态必须是“有效”才能在采购订单（UC002）中使用。</w:t>
            </w:r>
          </w:p>
        </w:tc>
      </w:tr>
      <w:tr w14:paraId="27364FF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1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1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供应商表需与采购订单表和应付账款表通过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VendorID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建立外键关联。</w:t>
            </w:r>
          </w:p>
        </w:tc>
      </w:tr>
    </w:tbl>
    <w:p w14:paraId="4D1FFAA6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UC002 采购订单管理与自动记账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7669"/>
      </w:tblGrid>
      <w:tr w14:paraId="28B8C0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0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0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8ED965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9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7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采购员</w:t>
            </w:r>
          </w:p>
        </w:tc>
      </w:tr>
      <w:tr w14:paraId="7B241C0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E1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A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采购员已登录。供应商和商品信息已维护。</w:t>
            </w:r>
          </w:p>
        </w:tc>
      </w:tr>
      <w:tr w14:paraId="2ED6BE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7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3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采购订单状态更新为“已入库”。系统自动生成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应付暂估凭证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，状态为“已审核”。</w:t>
            </w:r>
          </w:p>
        </w:tc>
      </w:tr>
      <w:tr w14:paraId="48DFDBF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D6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1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采购员：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业务操作直接触发财务记账。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记账自动化，实时反映库存和应付暂估负债。</w:t>
            </w:r>
          </w:p>
        </w:tc>
      </w:tr>
      <w:tr w14:paraId="76E6376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4E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0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E1：入库数量不符：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系统根据实际入库数量生成暂估凭证，并创建差异报告。</w:t>
            </w:r>
          </w:p>
        </w:tc>
      </w:tr>
      <w:tr w14:paraId="6893360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2F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04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OrderID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VendorID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OrderDate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TotalAmount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ReceiptDate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AutoTransactionID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383464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7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F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双重记账：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业务活动必须对应一个借贷平衡的财务凭证。 2. 暂估凭证金额以实际入库金额为准。</w:t>
            </w:r>
          </w:p>
        </w:tc>
      </w:tr>
      <w:tr w14:paraId="6F204ED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09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FF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原子性约束：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订单入库状态更新与自动记账（凭证创建）必须在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同一数据库事务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中完成。</w:t>
            </w:r>
          </w:p>
        </w:tc>
      </w:tr>
    </w:tbl>
    <w:p w14:paraId="7A06E0E9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UC003 会计科目管理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7760"/>
      </w:tblGrid>
      <w:tr w14:paraId="5796999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9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E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48A2BB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1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F3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</w:t>
            </w:r>
          </w:p>
        </w:tc>
      </w:tr>
      <w:tr w14:paraId="0ADA454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E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会计已登录系统并拥有总账设置权限。</w:t>
            </w:r>
          </w:p>
        </w:tc>
      </w:tr>
      <w:tr w14:paraId="33EF5C6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6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C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科目信息被保存或更新。科目树结构保持有效和完整。</w:t>
            </w:r>
          </w:p>
        </w:tc>
      </w:tr>
      <w:tr w14:paraId="3E47154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E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AF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灵活调整科目以适应公司和税务需求。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系统：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确保数据分层结构清晰，为报表（UC012）提供准确数据源。</w:t>
            </w:r>
          </w:p>
        </w:tc>
      </w:tr>
      <w:tr w14:paraId="6B313C2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CD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7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E1：尝试删除已使用科目：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4a. 系统检查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splits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表，发现该科目有发生额。 4b. 系统提示：科目已有发生额，禁止删除，请改为禁用。</w:t>
            </w:r>
          </w:p>
        </w:tc>
      </w:tr>
      <w:tr w14:paraId="16152EF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AD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8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AccountID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Code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(Unique),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(Asset, Liability..),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ParentID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BalanceDirection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AuxiliaryMgt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</w:tr>
      <w:tr w14:paraId="5540D1D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3B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A4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科目编码必须唯一，且父级科目必须已存在。 2. 只有没有发生额的最低级科目才允许删除。</w:t>
            </w:r>
          </w:p>
        </w:tc>
      </w:tr>
      <w:tr w14:paraId="3435DF8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39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AA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accounts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表需支持树形查询，科目 ID 必须是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splits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表的外键。</w:t>
            </w:r>
          </w:p>
        </w:tc>
      </w:tr>
    </w:tbl>
    <w:p w14:paraId="71AE1E24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t>UC004 货币汇率管理与外币评估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7717"/>
      </w:tblGrid>
      <w:tr w14:paraId="32AEF54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D3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B5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794FD7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0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A0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</w:t>
            </w:r>
          </w:p>
        </w:tc>
      </w:tr>
      <w:tr w14:paraId="0016547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82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B8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系统已设置本位币。外币业务已过账（UC006）。</w:t>
            </w:r>
          </w:p>
        </w:tc>
      </w:tr>
      <w:tr w14:paraId="31D414A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A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82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系统生成汇兑损益的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转账凭证草稿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。所有外币科目的期末余额以本位币计价更新。</w:t>
            </w:r>
          </w:p>
        </w:tc>
      </w:tr>
      <w:tr w14:paraId="1A7744F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0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A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自动化处理汇兑损益，减少手工计算风险。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老板：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及时了解企业外币敞口和汇率风险。</w:t>
            </w:r>
          </w:p>
        </w:tc>
      </w:tr>
      <w:tr w14:paraId="1ADF7CD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D2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84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E1：汇率缺失：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评估日期没有对应的汇率记录。 2b. 系统提示错误，要求会计先维护缺失的汇率。</w:t>
            </w:r>
          </w:p>
        </w:tc>
      </w:tr>
      <w:tr w14:paraId="7635D01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50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7C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CurrencyCode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RateDate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RateToBase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IsBaseCurrency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ValuationTransactionID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>(FK)</w:t>
            </w:r>
          </w:p>
        </w:tc>
      </w:tr>
      <w:tr w14:paraId="7F206B1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88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6C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评估只针对期末余额变动的外币资产和负债类科目。 2. 评估产生的凭证需标记为“外币评估”，并等待审核。</w:t>
            </w:r>
          </w:p>
        </w:tc>
      </w:tr>
      <w:tr w14:paraId="2D9E9F0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F8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7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汇率存储表 (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exchange_rates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) 需存储历史记录，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splits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必须记录其原始币种和汇率。</w:t>
            </w:r>
          </w:p>
        </w:tc>
      </w:tr>
    </w:tbl>
    <w:p w14:paraId="0FF64BAD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UC005 银行对账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1"/>
        <w:gridCol w:w="7715"/>
      </w:tblGrid>
      <w:tr w14:paraId="142709D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5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B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26BD57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F5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CD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会计、出纳</w:t>
            </w:r>
          </w:p>
        </w:tc>
      </w:tr>
      <w:tr w14:paraId="37600EB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1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A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银行存款科目已过账（UC006）。银行流水已导入系统。</w:t>
            </w:r>
          </w:p>
        </w:tc>
      </w:tr>
      <w:tr w14:paraId="447B3E5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D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17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银行对账完成，系统分录和银行流水被标记为“已对平”。系统生成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银行存款余额调节表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12DD24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77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81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大部分交易自动匹配，工作量大幅减少。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系统：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确保银行存款科目的期末余额准确无误。</w:t>
            </w:r>
          </w:p>
        </w:tc>
      </w:tr>
      <w:tr w14:paraId="68A15E0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39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CD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E1：手工创建未达账项：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4a. 手工创建未达账项，并在下一期对账中自动匹配。</w:t>
            </w:r>
          </w:p>
        </w:tc>
      </w:tr>
      <w:tr w14:paraId="05E5DF9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82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A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BankStatementID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StatementDate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Amount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ReferenceNo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MatchedSplitID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IsMatched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ajorEastAsia" w:hAnsiTheme="majorEastAsia" w:eastAsiaTheme="majorEastAsia" w:cstheme="majorEastAsia"/>
                <w:color w:val="444746"/>
                <w:kern w:val="0"/>
                <w:sz w:val="24"/>
                <w:szCs w:val="24"/>
                <w:lang w:val="en-US" w:eastAsia="zh-CN" w:bidi="ar"/>
              </w:rPr>
              <w:t>ReconcilID</w:t>
            </w:r>
            <w:r>
              <w:rPr>
                <w:rFonts w:hint="eastAsia" w:asciiTheme="majorEastAsia" w:hAnsiTheme="majorEastAsia" w:eastAsiaTheme="majorEastAsia" w:cstheme="majorEastAsia"/>
                <w:color w:val="1B1C1D"/>
                <w:kern w:val="0"/>
                <w:sz w:val="24"/>
                <w:szCs w:val="24"/>
                <w:lang w:val="en-US" w:eastAsia="zh-CN" w:bidi="ar"/>
              </w:rPr>
              <w:t>(FK)</w:t>
            </w:r>
          </w:p>
        </w:tc>
      </w:tr>
      <w:tr w14:paraId="56BBCB9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C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75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自动匹配需配置金额浮动阈值以应对手续费等微小差异。 2. 银行对账匹配成功后，不可撤销，除非手动解除匹配。</w:t>
            </w:r>
          </w:p>
        </w:tc>
      </w:tr>
      <w:tr w14:paraId="3F307C5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F3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29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自动匹配算法需支持模糊匹配逻辑（如摘要相似度）。</w:t>
            </w:r>
          </w:p>
        </w:tc>
      </w:tr>
    </w:tbl>
    <w:p w14:paraId="733B609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t>UC006 凭证批量过账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7848"/>
      </w:tblGrid>
      <w:tr w14:paraId="4FB0950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CE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D9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40A753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C6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1E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</w:t>
            </w:r>
          </w:p>
        </w:tc>
      </w:tr>
      <w:tr w14:paraId="0F1BEE7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C7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6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待过账期间内存在状态为“已审核”的凭证（UC011）。</w:t>
            </w:r>
          </w:p>
        </w:tc>
      </w:tr>
      <w:tr w14:paraId="30FCD87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B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C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所有符合条件的凭证状态更新为“已过账”。科目余额（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Account.current_balance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）准确更新。</w:t>
            </w:r>
          </w:p>
        </w:tc>
      </w:tr>
      <w:tr w14:paraId="3C9EB04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9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8B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高效处理大量凭证，保证总账数据实时准确。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系统：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确保总账（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splits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）和明细账（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accounts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）的数据一致性。</w:t>
            </w:r>
          </w:p>
        </w:tc>
      </w:tr>
      <w:tr w14:paraId="393933C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F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1F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E1：事务失败（原子性回滚）：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3a. 在更新某一科目余额时发生数据库错误。 3b. 数据库事务执行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回滚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（Rollback）。 3c. 系统记录失败日志并提示会计。</w:t>
            </w:r>
          </w:p>
        </w:tc>
      </w:tr>
      <w:tr w14:paraId="6702A0E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BC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7F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TransactionID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(Draft, Audited, Posted),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PostingBatchID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PostingDate</w:t>
            </w:r>
          </w:p>
        </w:tc>
      </w:tr>
      <w:tr w14:paraId="53B9AC6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C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2E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1. 只有“已审核”的凭证才能被过账。 2.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原子性：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批量过账操作必须是原子性的，要么全部成功，要么全部失败。</w:t>
            </w:r>
          </w:p>
        </w:tc>
      </w:tr>
      <w:tr w14:paraId="6CB5EE2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9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CC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核心过账逻辑必须直接与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Postgres 数据库事务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机制集成，利用 ACID 特性保障原子性。</w:t>
            </w:r>
          </w:p>
        </w:tc>
      </w:tr>
    </w:tbl>
    <w:p w14:paraId="57BF0D49">
      <w:pPr>
        <w:pStyle w:val="3"/>
        <w:numPr>
          <w:ilvl w:val="0"/>
          <w:numId w:val="3"/>
        </w:numPr>
        <w:bidi w:val="0"/>
      </w:pPr>
      <w:r>
        <w:t>UC007 付款执行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7749"/>
      </w:tblGrid>
      <w:tr w14:paraId="67DFF2B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0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7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5629C0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E4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C1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出纳、银行系统（辅）</w:t>
            </w:r>
          </w:p>
        </w:tc>
      </w:tr>
      <w:tr w14:paraId="0B6019D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3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7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付款申请已审批通过。系统已配置好银企直连接口。</w:t>
            </w:r>
          </w:p>
        </w:tc>
      </w:tr>
      <w:tr w14:paraId="766A7FB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C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2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付款申请状态更新为“已支付”或“支付失败”。系统自动生成付款记账凭证，状态为“已审核”。</w:t>
            </w:r>
          </w:p>
        </w:tc>
      </w:tr>
      <w:tr w14:paraId="61CCA1D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42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0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出纳：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一键完成支付和记账，提高效率。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确保银行存款科目实时反映支付情况。</w:t>
            </w:r>
          </w:p>
        </w:tc>
      </w:tr>
      <w:tr w14:paraId="789916D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5A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96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E1：银企直连失败：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3a. 银行返回错误代码（如余额不足）。 3b. 系统将付款申请状态更新为“支付失败”，并记录银行回执。</w:t>
            </w:r>
          </w:p>
        </w:tc>
      </w:tr>
      <w:tr w14:paraId="5358099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A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A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PaymentRequestID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RequestDate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Amount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VendorID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BankReceiptID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AutoTransactionID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>(FK)</w:t>
            </w:r>
          </w:p>
        </w:tc>
      </w:tr>
      <w:tr w14:paraId="62E1EF3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76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3D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付款执行与付款申请必须权限分离。 2. 必须完整记录银行返回的原始回执，以便审计。</w:t>
            </w:r>
          </w:p>
        </w:tc>
      </w:tr>
      <w:tr w14:paraId="2F77B2D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11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27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关键付款页面需使用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HTTPS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安全协议。必须支持与主流银行的银企直连接口规范。</w:t>
            </w:r>
          </w:p>
        </w:tc>
      </w:tr>
    </w:tbl>
    <w:p w14:paraId="173E71DD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t>UC008 税务申报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7757"/>
      </w:tblGrid>
      <w:tr w14:paraId="6DFF5C6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6B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F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817456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E5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4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会计（主）、税务师（辅）、国家税务系统（辅）</w:t>
            </w:r>
          </w:p>
        </w:tc>
      </w:tr>
      <w:tr w14:paraId="6DA570F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8B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9F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会计已登录。系统已完成当期的期末结账处理。</w:t>
            </w:r>
          </w:p>
        </w:tc>
      </w:tr>
      <w:tr w14:paraId="289D6AE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C6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9D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申报状态及结果被记录在系统中。应纳税款被准确计算，并自动生成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待付款项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06992E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F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AE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自动计算税款，减少人工错误。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老板：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确保公司合法合规经营，避免税务风险。</w:t>
            </w:r>
          </w:p>
        </w:tc>
      </w:tr>
      <w:tr w14:paraId="1ACCD02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50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E1：申报失败：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4a. 税务系统返回错误信息（如数据格式错误）。 4b. 系统记录错误日志，并提示会计手动修正数据后重新申报。</w:t>
            </w:r>
          </w:p>
        </w:tc>
      </w:tr>
      <w:tr w14:paraId="1228B3C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C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1A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TaxFilingID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FilingPeriod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TaxType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PayableAmount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FilingStatus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TaxSystemReceipt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PaymentRequestID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>(FK)</w:t>
            </w:r>
          </w:p>
        </w:tc>
      </w:tr>
      <w:tr w14:paraId="7CEA516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E4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46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申报前必须确保所有相关交易已过账。 2. 申报金额必须与自动生成的待付款项金额一致。</w:t>
            </w:r>
          </w:p>
        </w:tc>
      </w:tr>
      <w:tr w14:paraId="5CC15F9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3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5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需维护税务系统接口的证书和加密逻辑，以保证数据传输的安全性。</w:t>
            </w:r>
          </w:p>
        </w:tc>
      </w:tr>
    </w:tbl>
    <w:p w14:paraId="5214EB47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UC009 客户信息管理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7708"/>
      </w:tblGrid>
      <w:tr w14:paraId="5AEC3D1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E4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23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975433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D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36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销售员（主）、会计（主）</w:t>
            </w:r>
          </w:p>
        </w:tc>
      </w:tr>
      <w:tr w14:paraId="37111F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6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79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执行者已登录系统并拥有相应的客户管理权限。</w:t>
            </w:r>
          </w:p>
        </w:tc>
      </w:tr>
      <w:tr w14:paraId="2CE9905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AF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BD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客户信息被保存或更新。客户状态为“有效”，可用于销售流程。</w:t>
            </w:r>
          </w:p>
        </w:tc>
      </w:tr>
      <w:tr w14:paraId="0B15944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A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0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销售员：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快速准确地创建订单。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准确设置信用额度，控制应收账款风险。</w:t>
            </w:r>
          </w:p>
        </w:tc>
      </w:tr>
      <w:tr w14:paraId="0C767CE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A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1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E1：信用额度复核：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会计设定/修改信用额度时，系统要求输入审批意见。 2b. 系统记录审批意见和修改日志。</w:t>
            </w:r>
          </w:p>
        </w:tc>
      </w:tr>
      <w:tr w14:paraId="55B58A7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7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1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CustomerID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CustomerName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TaxID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CreditLimit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CurrentBalance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SettlementCurrency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DCC3E1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D6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E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1. 客户的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TaxID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必须唯一。 2.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CreditLimit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是销售订单审批时的重要参考依据。</w:t>
            </w:r>
          </w:p>
        </w:tc>
      </w:tr>
      <w:tr w14:paraId="32E918D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5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9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客户表需与销售订单表和应收账款表建立外键关联。</w:t>
            </w:r>
          </w:p>
        </w:tc>
      </w:tr>
    </w:tbl>
    <w:p w14:paraId="6F86F186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UC010 销售订单管理与自动记账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7766"/>
      </w:tblGrid>
      <w:tr w14:paraId="7599992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8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C8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91FCEF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E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4C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销售员</w:t>
            </w:r>
          </w:p>
        </w:tc>
      </w:tr>
      <w:tr w14:paraId="3396379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A4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F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销售员已登录。客户信息和商品信息已维护。</w:t>
            </w:r>
          </w:p>
        </w:tc>
      </w:tr>
      <w:tr w14:paraId="13787EB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C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69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销售订单状态更新为“已发货/开票”。系统自动生成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应收账款凭证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，状态为“已审核”。</w:t>
            </w:r>
          </w:p>
        </w:tc>
      </w:tr>
      <w:tr w14:paraId="2CBFE8F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20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0A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销售员：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业务与财务同步，加快开票流程。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实时确认收入和应收账款。</w:t>
            </w:r>
          </w:p>
        </w:tc>
      </w:tr>
      <w:tr w14:paraId="0080CDC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E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5A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E1：信用额度校验失败：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订单金额加上客户现有余额超出信用额度。 2b. 系统阻止发货，提示“信用额度不足，需特殊审批”。</w:t>
            </w:r>
          </w:p>
        </w:tc>
      </w:tr>
      <w:tr w14:paraId="3B9B12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5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85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SalesOrderID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CustomerID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InvoiceNo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InvoiceDate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TotalAmount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AutoTransactionID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(FK),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51E5064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24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6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双重记账：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发货/开票活动必须对应借贷平衡的财务凭证。 2. 发货前必须检查客户信用状态。</w:t>
            </w:r>
          </w:p>
        </w:tc>
      </w:tr>
      <w:tr w14:paraId="58350C7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9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C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原子性约束：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发货/开票状态更新与自动记账必须在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同一数据库事务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中完成。</w:t>
            </w:r>
          </w:p>
        </w:tc>
      </w:tr>
    </w:tbl>
    <w:p w14:paraId="678911DF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UC011 凭证录入与审核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7632"/>
      </w:tblGrid>
      <w:tr w14:paraId="25A5556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1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DD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40EF37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F4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F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会计、审核人</w:t>
            </w:r>
          </w:p>
        </w:tc>
      </w:tr>
      <w:tr w14:paraId="3674E54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8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FB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会计已登录系统。科目（UC003）已维护。</w:t>
            </w:r>
          </w:p>
        </w:tc>
      </w:tr>
      <w:tr w14:paraId="682A670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A3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5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凭证状态更新为“已审核”或“已作废”，并可被 UC006 过账。</w:t>
            </w:r>
          </w:p>
        </w:tc>
      </w:tr>
      <w:tr w14:paraId="29ABE92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C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7D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灵活处理各种非业务凭证。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审核人：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控制财务记录质量，确保合规性。</w:t>
            </w:r>
          </w:p>
        </w:tc>
      </w:tr>
      <w:tr w14:paraId="2F7153D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E1：借贷不平衡：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3a. 借方总额不等于贷方总额。 3b. 系统阻止保存/提交，并高亮显示差异。</w:t>
            </w:r>
          </w:p>
        </w:tc>
      </w:tr>
      <w:tr w14:paraId="533C0F5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C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22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TransactionID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(PK),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VoucherNo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(Unique),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TotalAmount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CreatorID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AuditorID</w:t>
            </w:r>
            <w:r>
              <w:rPr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>(FK)</w:t>
            </w:r>
          </w:p>
        </w:tc>
      </w:tr>
      <w:tr w14:paraId="0186173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3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AE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凭证必须包含至少两个分录（借、贷）。 2. 只有“已审核”的凭证才能被批量过账（UC006）。</w:t>
            </w:r>
          </w:p>
        </w:tc>
      </w:tr>
      <w:tr w14:paraId="50A422D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5A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9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凭证的分录表 (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splits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) 必须实时调用借贷平衡校验函数。凭证号需支持自动编号和唯一性约束。</w:t>
            </w:r>
          </w:p>
        </w:tc>
      </w:tr>
    </w:tbl>
    <w:p w14:paraId="40ED7662">
      <w:pPr>
        <w:pStyle w:val="3"/>
        <w:numPr>
          <w:ilvl w:val="0"/>
          <w:numId w:val="3"/>
        </w:numPr>
        <w:bidi w:val="0"/>
        <w:ind w:left="0" w:leftChars="0" w:firstLine="0" w:firstLineChars="0"/>
      </w:pPr>
      <w:r>
        <w:t>UC012 财务报表生成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7774"/>
      </w:tblGrid>
      <w:tr w14:paraId="5C49E09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81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04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96EAAC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1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执行者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7D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会计、老板</w:t>
            </w:r>
          </w:p>
        </w:tc>
      </w:tr>
      <w:tr w14:paraId="7434600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4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4C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目标期间内所有凭证已完成批量过账（UC006）。</w:t>
            </w:r>
          </w:p>
        </w:tc>
      </w:tr>
      <w:tr w14:paraId="089EB39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27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B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系统生成并显示准确的财务报表，支持导出。</w:t>
            </w:r>
          </w:p>
        </w:tc>
      </w:tr>
      <w:tr w14:paraId="338AFDA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3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涉众利益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D7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会计：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自动生成报表，减少人工汇总工作。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老板：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及时获取决策所需的核心财务数据。</w:t>
            </w:r>
          </w:p>
        </w:tc>
      </w:tr>
      <w:tr w14:paraId="5FC4F73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B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扩展路径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09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E1：数据不完整警告：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2a. 系统发现有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已审核但未过账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的凭证。 2b. 系统提示：报表数据可能不完整，建议先执行批量过账（UC006）。</w:t>
            </w:r>
          </w:p>
        </w:tc>
      </w:tr>
      <w:tr w14:paraId="7A873C2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AE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字段列表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20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ReportType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PeriodStart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PeriodEnd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Dimension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(辅助核算维度),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ReportData</w:t>
            </w:r>
            <w:r>
              <w:rPr>
                <w:rFonts w:hint="eastAsia" w:asciiTheme="minorEastAsia" w:hAnsiTheme="minorEastAsia" w:eastAsiaTheme="minorEastAsia" w:cstheme="minorEastAsia"/>
                <w:color w:val="1B1C1D"/>
                <w:kern w:val="0"/>
                <w:sz w:val="24"/>
                <w:szCs w:val="24"/>
                <w:lang w:val="en-US" w:eastAsia="zh-CN" w:bidi="ar"/>
              </w:rPr>
              <w:t>(JSON/XML格式)</w:t>
            </w:r>
          </w:p>
        </w:tc>
      </w:tr>
      <w:tr w14:paraId="198C704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1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09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1. 报表数据来源必须是状态为“已过账”的凭证。 2. 报表计算需符合最新的会计准则要求。</w:t>
            </w:r>
          </w:p>
        </w:tc>
      </w:tr>
      <w:tr w14:paraId="38EA53D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18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设计约束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0B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报表生成逻辑需优化查询性能，确保在合理时间（如 5 秒内）响应。</w:t>
            </w:r>
          </w:p>
        </w:tc>
      </w:tr>
    </w:tbl>
    <w:p w14:paraId="573FEBFC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分析类图</w:t>
      </w:r>
    </w:p>
    <w:p w14:paraId="0D62B8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002790"/>
            <wp:effectExtent l="0" t="0" r="6985" b="3810"/>
            <wp:docPr id="5" name="图片 5" descr="未命名绘图.drawio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绘图.drawio (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E86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数据库结构图</w:t>
      </w:r>
    </w:p>
    <w:p w14:paraId="5D97F2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353310"/>
            <wp:effectExtent l="0" t="0" r="9525" b="8890"/>
            <wp:docPr id="6" name="图片 6" descr="未命名绘图.drawio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命名绘图.drawio (7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2A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分析序列图</w:t>
      </w:r>
    </w:p>
    <w:p w14:paraId="5A55D70F">
      <w:pPr>
        <w:pStyle w:val="3"/>
        <w:numPr>
          <w:ilvl w:val="0"/>
          <w:numId w:val="4"/>
        </w:numPr>
        <w:bidi w:val="0"/>
      </w:pPr>
      <w:r>
        <w:t>UC001: 供应商信息管理</w:t>
      </w:r>
    </w:p>
    <w:p w14:paraId="355349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160520"/>
            <wp:effectExtent l="0" t="0" r="12065" b="5080"/>
            <wp:docPr id="7" name="图片 7" descr="未命名绘图.drawio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命名绘图.drawio (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B17">
      <w:pPr>
        <w:pStyle w:val="3"/>
        <w:numPr>
          <w:ilvl w:val="0"/>
          <w:numId w:val="4"/>
        </w:numPr>
        <w:bidi w:val="0"/>
      </w:pPr>
      <w:r>
        <w:t>UC002: 采购订单管理与自动记账</w:t>
      </w:r>
    </w:p>
    <w:p w14:paraId="078237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503805"/>
            <wp:effectExtent l="0" t="0" r="11430" b="10795"/>
            <wp:docPr id="8" name="图片 8" descr="未命名绘图.drawio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未命名绘图.drawio (1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18A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UC003: 会计科目管理</w:t>
      </w:r>
    </w:p>
    <w:p w14:paraId="04EF16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4088130"/>
            <wp:effectExtent l="0" t="0" r="635" b="1270"/>
            <wp:docPr id="9" name="图片 9" descr="未命名绘图.drawio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未命名绘图.drawio (1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8C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UC004: 货币汇率管理与外币评估</w:t>
      </w:r>
    </w:p>
    <w:p w14:paraId="6C3E5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45690"/>
            <wp:effectExtent l="0" t="0" r="3810" b="3810"/>
            <wp:docPr id="10" name="图片 10" descr="未命名绘图.drawio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未命名绘图.drawio (1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CD8C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UC005: 银行对账</w:t>
      </w:r>
    </w:p>
    <w:p w14:paraId="14D97A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2475230"/>
            <wp:effectExtent l="0" t="0" r="10160" b="1270"/>
            <wp:docPr id="11" name="图片 11" descr="未命名绘图.drawio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未命名绘图.drawio (13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C5A2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UC006: 凭证批量过账</w:t>
      </w:r>
    </w:p>
    <w:p w14:paraId="7122A7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3014345"/>
            <wp:effectExtent l="0" t="0" r="5080" b="8255"/>
            <wp:docPr id="12" name="图片 12" descr="未命名绘图.drawio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未命名绘图.drawio (14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AF90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UC007: 付款执行</w:t>
      </w:r>
    </w:p>
    <w:p w14:paraId="1CFB71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770" cy="3963670"/>
            <wp:effectExtent l="0" t="0" r="11430" b="11430"/>
            <wp:docPr id="13" name="图片 13" descr="未命名绘图.drawio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未命名绘图.drawio (15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64F8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UC008: 税务申报</w:t>
      </w:r>
    </w:p>
    <w:p w14:paraId="1C797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004185"/>
            <wp:effectExtent l="0" t="0" r="11430" b="5715"/>
            <wp:docPr id="14" name="图片 14" descr="未命名绘图.drawio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未命名绘图.drawio (16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7FE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UC009: 客户信息管理</w:t>
      </w:r>
    </w:p>
    <w:p w14:paraId="622E9D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770" cy="4316730"/>
            <wp:effectExtent l="0" t="0" r="11430" b="1270"/>
            <wp:docPr id="15" name="图片 15" descr="未命名绘图.drawio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未命名绘图.drawio (17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BAC4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UC010: 销售订单管理与自动记账</w:t>
      </w:r>
    </w:p>
    <w:p w14:paraId="242B87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303270"/>
            <wp:effectExtent l="0" t="0" r="5715" b="11430"/>
            <wp:docPr id="16" name="图片 16" descr="未命名绘图.drawio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未命名绘图.drawio (18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A84F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UC011: 凭证录入与审核</w:t>
      </w:r>
    </w:p>
    <w:p w14:paraId="741708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7325" cy="3881755"/>
            <wp:effectExtent l="0" t="0" r="3175" b="4445"/>
            <wp:docPr id="17" name="图片 17" descr="未命名绘图.drawio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未命名绘图.drawio (19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DCC7"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UC012: 财务报表生成</w:t>
      </w:r>
    </w:p>
    <w:p w14:paraId="1766D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3392805"/>
            <wp:effectExtent l="0" t="0" r="12065" b="10795"/>
            <wp:docPr id="18" name="图片 18" descr="未命名绘图.drawio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未命名绘图.drawio (20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EF5E4"/>
    <w:multiLevelType w:val="singleLevel"/>
    <w:tmpl w:val="975EF5E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FE1D12"/>
    <w:multiLevelType w:val="singleLevel"/>
    <w:tmpl w:val="D2FE1D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D123C5F"/>
    <w:multiLevelType w:val="singleLevel"/>
    <w:tmpl w:val="5D123C5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DFD85C"/>
    <w:multiLevelType w:val="singleLevel"/>
    <w:tmpl w:val="72DFD85C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E0A8E"/>
    <w:rsid w:val="39007C46"/>
    <w:rsid w:val="50272268"/>
    <w:rsid w:val="6E35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character" w:customStyle="1" w:styleId="8">
    <w:name w:val="font21"/>
    <w:basedOn w:val="5"/>
    <w:qFormat/>
    <w:uiPriority w:val="0"/>
    <w:rPr>
      <w:rFonts w:ascii="Arial" w:hAnsi="Arial" w:cs="Arial"/>
      <w:color w:val="1B1C1D"/>
      <w:sz w:val="22"/>
      <w:szCs w:val="22"/>
      <w:u w:val="none"/>
    </w:rPr>
  </w:style>
  <w:style w:type="character" w:customStyle="1" w:styleId="9">
    <w:name w:val="font11"/>
    <w:basedOn w:val="5"/>
    <w:qFormat/>
    <w:uiPriority w:val="0"/>
    <w:rPr>
      <w:rFonts w:hint="eastAsia" w:ascii="宋体" w:hAnsi="宋体" w:eastAsia="宋体" w:cs="宋体"/>
      <w:color w:val="1B1C1D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476</Words>
  <Characters>589</Characters>
  <Lines>0</Lines>
  <Paragraphs>0</Paragraphs>
  <TotalTime>31</TotalTime>
  <ScaleCrop>false</ScaleCrop>
  <LinksUpToDate>false</LinksUpToDate>
  <CharactersWithSpaces>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2025-10-27T05:19:00Z</dcterms:created>
  <dc:creator>石鹏翔</dc:creator>
  <cp:lastModifiedBy>。..  。</cp:lastModifiedBy>
  <dcterms:modified xsi:type="dcterms:W3CDTF">2025-12-19T04:11:42Z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eyJoZGlkIjoiNTA0MTZmMzc1Mzc3ZmE5ODVmNTk0YTkyYTFmNTVkODgiLCJ1c2VySWQiOiIxNTA5Mzk4NTk5In0=</vt:lpwstr>
  </property>
  <property fmtid="{D5CDD505-2E9C-101B-9397-08002B2CF9AE}" pid="4" name="ICV">
    <vt:lpwstr>D0FD070FEFCA4EBC97BAC213DD1F706B_13</vt:lpwstr>
  </property>
</Properties>
</file>