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456a876a87bdf189f9a9c46153e2bce9388cfc1"/>
    <w:p>
      <w:pPr>
        <w:pStyle w:val="Heading1"/>
      </w:pPr>
      <w:r>
        <w:t xml:space="preserve">Three LLM-in-Astronomy Papers: A Combined Reading</w:t>
      </w:r>
    </w:p>
    <w:p>
      <w:pPr>
        <w:pStyle w:val="FirstParagraph"/>
      </w:pPr>
      <w:r>
        <w:rPr>
          <w:b/>
          <w:bCs/>
        </w:rPr>
        <w:t xml:space="preserve">Stoppa+2025 (pixels), AstroAlertBench 2026 (benchmark) and ALeRCE text-to-SQL 2026 (interface) differ in one thing that predicts every conclusion each reaches about self-assessment: how much external ground truth the task gives the model to check itself against.</w:t>
      </w:r>
    </w:p>
    <w:bookmarkStart w:id="9" w:name="the-three-papers-at-a-glance"/>
    <w:p>
      <w:pPr>
        <w:pStyle w:val="Heading2"/>
      </w:pPr>
      <w:r>
        <w:t xml:space="preserve">The three papers at a glance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Paper</w:t>
            </w:r>
          </w:p>
        </w:tc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Data &amp; scale</w:t>
            </w:r>
          </w:p>
        </w:tc>
        <w:tc>
          <w:tcPr/>
          <w:p>
            <w:pPr>
              <w:pStyle w:val="Compact"/>
            </w:pPr>
            <w:r>
              <w:t xml:space="preserve">Headline result</w:t>
            </w:r>
          </w:p>
        </w:tc>
        <w:tc>
          <w:tcPr/>
          <w:p>
            <w:pPr>
              <w:pStyle w:val="Compact"/>
            </w:pPr>
            <w:r>
              <w:t xml:space="preserve">Label 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Stoppa+2025,</w:t>
            </w:r>
            <w:r>
              <w:t xml:space="preserve"> </w:t>
            </w:r>
            <w:r>
              <w:rPr>
                <w:i/>
                <w:iCs/>
              </w:rPr>
              <w:t xml:space="preserve">Nat. Astron.</w:t>
            </w:r>
          </w:p>
        </w:tc>
        <w:tc>
          <w:tcPr/>
          <w:p>
            <w:pPr>
              <w:pStyle w:val="Compact"/>
            </w:pPr>
            <w:r>
              <w:t xml:space="preserve">Real/bogus on new/ref/diff triplets + rationale</w:t>
            </w:r>
          </w:p>
        </w:tc>
        <w:tc>
          <w:tcPr/>
          <w:p>
            <w:pPr>
              <w:pStyle w:val="Compact"/>
            </w:pPr>
            <w:r>
              <w:t xml:space="preserve">Gemini 1.5-pro-002, 15 exemplars, no training; 2,000 PS1 / ~3,200 MeerLICHT / 2,000 ATLAS</w:t>
            </w:r>
          </w:p>
        </w:tc>
        <w:tc>
          <w:tcPr/>
          <w:p>
            <w:pPr>
              <w:pStyle w:val="Compact"/>
            </w:pPr>
            <w:r>
              <w:t xml:space="preserve">93% mean accuracy (91.9–94.1%, flat over 0.25″–1.8″ pixels); coherence feedback 93.4% → 96.7%</w:t>
            </w:r>
          </w:p>
        </w:tc>
        <w:tc>
          <w:tcPr/>
          <w:p>
            <w:pPr>
              <w:pStyle w:val="Compact"/>
            </w:pPr>
            <w:r>
              <w:t xml:space="preserve">MeerLICHT expert-labelled; PS1/ATLAS bogus half from pipeline</w:t>
            </w:r>
            <w:r>
              <w:t xml:space="preserve"> </w:t>
            </w:r>
            <w:r>
              <w:t xml:space="preserve">“garbage lists”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AstroAlertBench 2026</w:t>
            </w:r>
          </w:p>
        </w:tc>
        <w:tc>
          <w:tcPr/>
          <w:p>
            <w:pPr>
              <w:pStyle w:val="Compact"/>
            </w:pPr>
            <w:r>
              <w:t xml:space="preserve">5-class ZTF alerts, 3-stage cascade + self-scored rationales</w:t>
            </w:r>
          </w:p>
        </w:tc>
        <w:tc>
          <w:tcPr/>
          <w:p>
            <w:pPr>
              <w:pStyle w:val="Compact"/>
            </w:pPr>
            <w:r>
              <w:t xml:space="preserve">1,500 alerts (300/class) × 13 configs</w:t>
            </w:r>
          </w:p>
        </w:tc>
        <w:tc>
          <w:tcPr/>
          <w:p>
            <w:pPr>
              <w:pStyle w:val="Compact"/>
            </w:pPr>
            <w:r>
              <w:t xml:space="preserve">Opus 4.7 think 60.60 ± 1.26%, +9.53 ± 1.80 pp over 2nd-ranked GPT-5.4 high-think; AGN &lt;8% in all 13 runs</w:t>
            </w:r>
          </w:p>
        </w:tc>
        <w:tc>
          <w:tcPr/>
          <w:p>
            <w:pPr>
              <w:pStyle w:val="Compact"/>
            </w:pPr>
            <w:r>
              <w:t xml:space="preserve">ALeRCE stamp-classifier posteriors, narrow confidence band (AGN 0.860–0.899)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ALeRCE text-to-SQL 2026</w:t>
            </w:r>
          </w:p>
        </w:tc>
        <w:tc>
          <w:tcPr/>
          <w:p>
            <w:pPr>
              <w:pStyle w:val="Compact"/>
            </w:pPr>
            <w:r>
              <w:t xml:space="preserve">NL → SQL: schema link, difficulty class, decompose, self-correct</w:t>
            </w:r>
          </w:p>
        </w:tc>
        <w:tc>
          <w:tcPr/>
          <w:p>
            <w:pPr>
              <w:pStyle w:val="Compact"/>
            </w:pPr>
            <w:r>
              <w:t xml:space="preserve">25 tables / 304 columns; 110 gold pairs (52 test); 13 models × 10 runs</w:t>
            </w:r>
          </w:p>
        </w:tc>
        <w:tc>
          <w:tcPr/>
          <w:p>
            <w:pPr>
              <w:pStyle w:val="Compact"/>
            </w:pPr>
            <w:r>
              <w:t xml:space="preserve">Opus 4.6 sbs best (rank SUM 10); PM_rows 0.97 / 0.44 / 0.59 simple/medium/hard</w:t>
            </w:r>
          </w:p>
        </w:tc>
        <w:tc>
          <w:tcPr/>
          <w:p>
            <w:pPr>
              <w:pStyle w:val="Compact"/>
            </w:pPr>
            <w:r>
              <w:t xml:space="preserve">One expert wrote all 110 gold queries</w:t>
            </w:r>
          </w:p>
        </w:tc>
      </w:tr>
    </w:tbl>
    <w:bookmarkEnd w:id="9"/>
    <w:bookmarkStart w:id="10" w:name="what-the-three-agree-on"/>
    <w:p>
      <w:pPr>
        <w:pStyle w:val="Heading2"/>
      </w:pPr>
      <w:r>
        <w:t xml:space="preserve">What the three agree on</w:t>
      </w:r>
    </w:p>
    <w:p>
      <w:pPr>
        <w:pStyle w:val="FirstParagraph"/>
      </w:pPr>
      <w:r>
        <w:rPr>
          <w:b/>
          <w:bCs/>
        </w:rPr>
        <w:t xml:space="preserve">Decomposition is the only architectural move all three make.</w:t>
      </w:r>
      <w:r>
        <w:t xml:space="preserve"> </w:t>
      </w:r>
      <w:r>
        <w:t xml:space="preserve">Stoppa’s rubric hard-codes the decision procedure; AstroAlertBench’s cascade charges error to a named gate (Stage-2 54.21–81.60%, Stage-3 conditional 32.12–60.78%); ALeRCE’s step-by-step pipeline takes six of the top seven ranks. Staging localises failure without removing it: Stage-1 looks</w:t>
      </w:r>
      <w:r>
        <w:t xml:space="preserve"> </w:t>
      </w:r>
      <w:r>
        <w:t xml:space="preserve">“essentially solved”</w:t>
      </w:r>
      <w:r>
        <w:t xml:space="preserve"> </w:t>
      </w:r>
      <w:r>
        <w:t xml:space="preserve">at 77–87% while its majority-class floor is exactly 80.00%.</w:t>
      </w:r>
    </w:p>
    <w:p>
      <w:pPr>
        <w:pStyle w:val="BodyText"/>
      </w:pPr>
      <w:r>
        <w:rPr>
          <w:b/>
          <w:bCs/>
        </w:rPr>
        <w:t xml:space="preserve">Every headline leans on an artefact for at least part of its gold.</w:t>
      </w:r>
      <w:r>
        <w:t xml:space="preserve"> </w:t>
      </w:r>
      <w:r>
        <w:t xml:space="preserve">The bogus halves of Stoppa’s Pan-STARRS and ATLAS sets are the pipelines’ own reject lists (MeerLICHT alone is expert-labelled); AstroAlertBench’s classes are a CNN’s posterior; ALeRCE’s queries are one annotator’s SQL conventions. Only AstroAlertBench measures a human ceiling on its own gold, on 15 of 1,500 items: five astronomers reproduce the manifest on 30.67 ± 5.32% of 75 trials — in Appendix G, not beside the headline, conceded as</w:t>
      </w:r>
      <w:r>
        <w:t xml:space="preserve"> </w:t>
      </w:r>
      <w:r>
        <w:t xml:space="preserve">“itself a signal”</w:t>
      </w:r>
      <w:r>
        <w:t xml:space="preserve">. Stoppa’s 12-astronomer panel rates prose and never re-classifies; ALeRCE’s gold has one author. So 93%, 60.60% and PM 0.44 are capped by construction.</w:t>
      </w:r>
    </w:p>
    <w:p>
      <w:pPr>
        <w:pStyle w:val="BodyText"/>
      </w:pPr>
      <w:r>
        <w:rPr>
          <w:b/>
          <w:bCs/>
        </w:rPr>
        <w:t xml:space="preserve">More effort is not monotone.</w:t>
      </w:r>
      <w:r>
        <w:t xml:space="preserve"> </w:t>
      </w:r>
      <w:r>
        <w:t xml:space="preserve">Five of six few-shot settings significantly depress Opus 4.6 sbs hard rows below the 0-shot 0.59, bottoming at 0.38 (3-shot Random); none improves them. AstroAlertBench’s Qwen3.5-4B</w:t>
      </w:r>
      <w:r>
        <w:t xml:space="preserve"> </w:t>
      </w:r>
      <w:r>
        <w:rPr>
          <w:i/>
          <w:iCs/>
        </w:rPr>
        <w:t xml:space="preserve">loses</w:t>
      </w:r>
      <w:r>
        <w:t xml:space="preserve"> </w:t>
      </w:r>
      <w:r>
        <w:t xml:space="preserve">13.90 ± 1.29 pp when told to think, truncated at a mean 16,623 output tokens/row against Opus 4.7 think’s 806.</w:t>
      </w:r>
    </w:p>
    <w:bookmarkEnd w:id="10"/>
    <w:bookmarkStart w:id="11" w:name="where-they-disagree-and-why-it-matters"/>
    <w:p>
      <w:pPr>
        <w:pStyle w:val="Heading2"/>
      </w:pPr>
      <w:r>
        <w:t xml:space="preserve">Where they disagree, and why it matters</w:t>
      </w:r>
    </w:p>
    <w:p>
      <w:pPr>
        <w:pStyle w:val="FirstParagraph"/>
      </w:pPr>
      <w:r>
        <w:t xml:space="preserve">All three instrument the model’s self-assessment; they return three incompatible verdicts.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Stoppa: trust it.</w:t>
      </w:r>
      <w:r>
        <w:t xml:space="preserve"> </w:t>
      </w:r>
      <w:r>
        <w:t xml:space="preserve">Self-rated coherence separates correct from incorrect calls across the full MeerLICHT set; re-feeding low-coherence cases as exemplars is worth 3.3 pp (not held out).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AstroAlertBench: do not.</w:t>
      </w:r>
      <w:r>
        <w:t xml:space="preserve"> </w:t>
      </w:r>
      <w:r>
        <w:t xml:space="preserve">Population-level modesty is</w:t>
      </w:r>
      <w:r>
        <w:t xml:space="preserve"> </w:t>
      </w:r>
      <w:r>
        <w:rPr>
          <w:i/>
          <w:iCs/>
        </w:rPr>
        <w:t xml:space="preserve">inversely</w:t>
      </w:r>
      <w:r>
        <w:t xml:space="preserve"> </w:t>
      </w:r>
      <w:r>
        <w:t xml:space="preserve">related to accuracy (−31.2 ± 10.0 pp per rubric point); per-alert confidence–correctness r never exceeds 0.2517, collapsing to 0.047 under adaptive thinking. Gemini 2.5 Flash, re-prompted, changed not one classification while raising its own rating by +0.43.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ALeRCE: trust it, within its lane.</w:t>
      </w:r>
      <w:r>
        <w:t xml:space="preserve"> </w:t>
      </w:r>
      <w:r>
        <w:t xml:space="preserve">Self-correction improves or ties 154 of 156 comparisons for $0.09 of a $2.87 run — but fires only on a database execution error, and semantic errors survive it.</w:t>
      </w:r>
    </w:p>
    <w:p>
      <w:pPr>
        <w:pStyle w:val="FirstParagraph"/>
      </w:pPr>
      <w:r>
        <w:t xml:space="preserve">The resolving variable is the</w:t>
      </w:r>
      <w:r>
        <w:t xml:space="preserve"> </w:t>
      </w:r>
      <w:r>
        <w:rPr>
          <w:b/>
          <w:bCs/>
        </w:rPr>
        <w:t xml:space="preserve">oracle</w:t>
      </w:r>
      <w:r>
        <w:t xml:space="preserve">. SQL has a hard one: a bad query throws, and something ran it. Real/bogus has a soft one — the decision is local to the pixels, so the model’s own coherence score tracks correctness. Five-class taxonomy has none: the gold is a CNN that five experts reproduce a third of the time. Self-assessment is worth what the task’s external check is worth: that, not model tier, orders the three verdicts.</w:t>
      </w:r>
    </w:p>
    <w:bookmarkEnd w:id="11"/>
    <w:bookmarkStart w:id="12" w:name="Xdfc00e3f20730d4c733f713f86cb98dcf8523e7"/>
    <w:p>
      <w:pPr>
        <w:pStyle w:val="Heading2"/>
      </w:pPr>
      <w:r>
        <w:t xml:space="preserve">What this means for the agentic lensing programme</w:t>
      </w:r>
    </w:p>
    <w:p>
      <w:pPr>
        <w:pStyle w:val="FirstParagraph"/>
      </w:pPr>
      <w:r>
        <w:t xml:space="preserve">Lens grading sits</w:t>
      </w:r>
      <w:r>
        <w:t xml:space="preserve"> </w:t>
      </w:r>
      <w:r>
        <w:rPr>
          <w:b/>
          <w:bCs/>
        </w:rPr>
        <w:t xml:space="preserve">below all three</w:t>
      </w:r>
      <w:r>
        <w:t xml:space="preserve">. Nothing throws when an agent calls a merger an arc; the between-team human ceiling is QWK 0.29 [0.12–0.44] and 0.17, and the human grade’s own AUC against truth is 0.577 [0.40, 0.76]. AstroAlertBench’s verdict, not Stoppa’s, is our prior, and our results match it:</w:t>
      </w:r>
      <w:r>
        <w:t xml:space="preserve"> </w:t>
      </w:r>
      <w:r>
        <w:rPr>
          <w:rStyle w:val="VerbatimChar"/>
        </w:rPr>
        <w:t xml:space="preserve">uncertain</w:t>
      </w:r>
      <w:r>
        <w:t xml:space="preserve"> </w:t>
      </w:r>
      <w:r>
        <w:t xml:space="preserve">fired on 5 of 1,050 JWST judgements, and the critic stack collapses the advocate’s ranking (AUC 0.764 → 0.468, ΔAUC −0.301) while staying the right FPR layer (D-rule veto, FPR@(A or B) 2.0%).</w:t>
      </w:r>
    </w:p>
    <w:p>
      <w:pPr>
        <w:pStyle w:val="BodyText"/>
      </w:pPr>
      <w:r>
        <w:t xml:space="preserve">So stop shopping for better self-critique and</w:t>
      </w:r>
      <w:r>
        <w:t xml:space="preserve"> </w:t>
      </w:r>
      <w:r>
        <w:rPr>
          <w:b/>
          <w:bCs/>
        </w:rPr>
        <w:t xml:space="preserve">buy oracles</w:t>
      </w:r>
      <w:r>
        <w:t xml:space="preserve">. Two work: spectroscopy (20/20 Hsu-2025 grade-A pairs plausible, 4/4 Foundry-II non-lenses rejected) and resolution (same objects at 1.3″ → 0.1″: mean p_lens 0.14 → 0.75, grade-C 0.05 → 0.90).</w:t>
      </w:r>
    </w:p>
    <w:p>
      <w:pPr>
        <w:pStyle w:val="BodyText"/>
      </w:pPr>
      <w:r>
        <w:t xml:space="preserve">Two gaps run the other way. None of the three is agentic in our sense: Stoppa and AstroAlertBench are single-shot prompted classification with no tool use, and ALeRCE executes its SQL but re-prompts only on the database’s error text — never reading returned rows, calling a second tool, or designing a pipeline against 6,848 NIRCam observations from one prompt, which is ours to claim. Only ALeRCE prices a run per stage ($0.23 schema / $0.43 difficulty / $1.07 decomposition / $1.05 generation / $0.09 self-correction, of $2.87); AstroAlertBench gives wall-clock and tokens but no dollars; Stoppa, one qualitative</w:t>
      </w:r>
      <w:r>
        <w:t xml:space="preserve"> </w:t>
      </w:r>
      <w:r>
        <w:t xml:space="preserve">“thousands of dollars per night”</w:t>
      </w:r>
      <w:r>
        <w:t xml:space="preserve">. We price per mode (lean ~$0.06, panel ~$0.27, multiagent ~$0.33), per stage never.</w:t>
      </w:r>
    </w:p>
    <w:bookmarkEnd w:id="12"/>
    <w:bookmarkStart w:id="13" w:name="recommended-actions"/>
    <w:p>
      <w:pPr>
        <w:pStyle w:val="Heading2"/>
      </w:pPr>
      <w:r>
        <w:t xml:space="preserve">Recommended actions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Run AstroAlertBench’s second-rollout ablation on the evidence-first advocate,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the control arm they omit.</w:t>
      </w:r>
      <w:r>
        <w:t xml:space="preserve"> </w:t>
      </w:r>
      <w:r>
        <w:t xml:space="preserve">Two arms on the</w:t>
      </w:r>
      <w:r>
        <w:t xml:space="preserve"> </w:t>
      </w:r>
      <w:r>
        <w:rPr>
          <w:rStyle w:val="VerbatimChar"/>
        </w:rPr>
        <w:t xml:space="preserve">lensjudge/golden/</w:t>
      </w:r>
      <w:r>
        <w:t xml:space="preserve"> </w:t>
      </w:r>
      <w:r>
        <w:t xml:space="preserve">design split, prior answer attached versus withheld, over the lowest-p_ev rows. Moves: recall@5%FPR off 33.3% (incumbent 9.5%); settles whether their +28.57 pp is self-critique or regression to the mean.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Attach Stoppa’s 0–5 self-coherence rating to every advocate call on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lensjudge/golden/</w:t>
      </w:r>
      <w:r>
        <w:rPr>
          <w:b/>
          <w:bCs/>
        </w:rPr>
        <w:t xml:space="preserve"> </w:t>
      </w:r>
      <w:r>
        <w:rPr>
          <w:b/>
          <w:bCs/>
        </w:rPr>
        <w:t xml:space="preserve">holdout and score its AUC against correctness.</w:t>
      </w:r>
      <w:r>
        <w:t xml:space="preserve"> </w:t>
      </w:r>
      <w:r>
        <w:t xml:space="preserve">Moves: a routing signal benchmarked against the advocate’s own 0.764, needing no consensus label — the test Stoppa reports as a correlation, never as a ranker.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Re-derive every LensBench-VI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lensjudge/golden/</w:t>
      </w:r>
      <w:r>
        <w:rPr>
          <w:b/>
          <w:bCs/>
        </w:rPr>
        <w:t xml:space="preserve"> </w:t>
      </w:r>
      <w:r>
        <w:rPr>
          <w:b/>
          <w:bCs/>
        </w:rPr>
        <w:t xml:space="preserve">headline by bootstrapping over items, not runs.</w:t>
      </w:r>
      <w:r>
        <w:t xml:space="preserve"> </w:t>
      </w:r>
      <w:r>
        <w:t xml:space="preserve">ALeRCE’s ten-run permutation fragility is ours too. Moves: recall@5%FPR 33.3% vs 9.5% from a bare McNemar p 0.046 on ~86 positives to an actual interval.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Meter the evidence-first pipeline per stage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reproductions/lensjudge/</w:t>
      </w:r>
      <w:r>
        <w:rPr>
          <w:b/>
          <w:bCs/>
        </w:rPr>
        <w:t xml:space="preserve">, as ALeRCE’s Table 3 does.</w:t>
      </w:r>
      <w:r>
        <w:t xml:space="preserve"> </w:t>
      </w:r>
      <w:r>
        <w:t xml:space="preserve">Moves: the ~$244 programme aggregate into advocate / critics / arbitrator dollars — what decides whether a critic stack costing ΔAUC −0.301 earns its keep as a veto layer. (The JWST search’s 76.5M tokens over 1,281 subagents is a separate pipeline, wanting its own split in</w:t>
      </w:r>
      <w:r>
        <w:t xml:space="preserve"> </w:t>
      </w:r>
      <w:r>
        <w:rPr>
          <w:rStyle w:val="VerbatimChar"/>
        </w:rPr>
        <w:t xml:space="preserve">reproductions/agentic-lens-discovery/</w:t>
      </w:r>
      <w:r>
        <w:t xml:space="preserve">.)</w:t>
      </w:r>
    </w:p>
    <w:bookmarkEnd w:id="13"/>
    <w:bookmarkEnd w:id="14"/>
    <w:sectPr>
      <w:footnotePr>
        <w:numRestart w:val="eachSect"/>
      </w:footnotePr>
      <w:pgSz w:h="15840" w:w="12240"/>
      <w:pgMar w:bottom="1440" w:footer="720" w:gutter="0" w:header="72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52" w:lineRule="auto"/>
    </w:pPr>
    <w:rPr>
      <w:rFonts w:ascii="Charter" w:cs="Charter" w:hAnsi="Charter"/>
      <w:sz w:val="22"/>
      <w:szCs w:val="22"/>
    </w:rPr>
  </w:style>
  <w:style w:styleId="BodyText" w:type="paragraph">
    <w:name w:val="Body Text"/>
    <w:basedOn w:val="Normal"/>
    <w:link w:val="BodyTextChar"/>
    <w:qFormat/>
    <w:pPr>
      <w:spacing w:after="12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60" w:before="20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60" w:before="15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5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2026-08-31T02:12:22Z</dcterms:created>
  <dcterms:modified xsi:type="dcterms:W3CDTF">2026-08-31T02:12:22Z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