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view-astroalertbench"/>
    <w:p>
      <w:pPr>
        <w:pStyle w:val="Heading1"/>
      </w:pPr>
      <w:r>
        <w:t xml:space="preserve">Review: AstroAlertBench</w:t>
      </w:r>
    </w:p>
    <w:p>
      <w:pPr>
        <w:pStyle w:val="FirstParagraph"/>
      </w:pPr>
      <w:r>
        <w:rPr>
          <w:b/>
          <w:bCs/>
        </w:rPr>
        <w:t xml:space="preserve">Chen, C., Xiao, J. S., Liu, S. D., Perez Paolino, F., Handley, L., Jegou du Laz, T., Nilsson, R., Zou, A., Graham, M. &amp; Mahabal, A. (2026),</w:t>
      </w:r>
      <w:r>
        <w:rPr>
          <w:b/>
          <w:bCs/>
        </w:rPr>
        <w:t xml:space="preserve"> </w:t>
      </w:r>
      <w:r>
        <w:rPr>
          <w:b/>
          <w:bCs/>
        </w:rPr>
        <w:t xml:space="preserve">“AstroAlertBench: Evaluating the Accuracy, Reasoning, and Honesty of Multimodal LLMs in Astronomical Classification”</w:t>
      </w:r>
      <w:r>
        <w:rPr>
          <w:b/>
          <w:bCs/>
        </w:rPr>
        <w:t xml:space="preserve">, arXiv:2605.05573v1 [astro-ph.IM].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AstroAlertBench is a 1,500-alert multimodal benchmark (300 each of bogus, asteroid, supernova, AGN, variable star) built from ZTF first-detection alerts served through ALeRCE. Each item is a labelled science/reference/difference montage of three 63x63 cutouts plus 19 AVRO metadata fields; the returned JSON has Part A (six decoded fields), Part B (three rationale fields, self-scored 0-5) and Part C (a cascade: artifact, origin, subclass). Thirteen configurations from five families run one sample per alert at temperature 0.2 where the API accepts it - GPT-5.4 and Opus 4.7, the two leading families, omit it (App. A.1, uncaveated in Table 2). Claude Opus 4.7 think leads end-to-end at 60.60 +/- 1.26%, 9.53 pp above GPT-5.4 high-think. The distinctive material is the three-lens</w:t>
      </w:r>
      <w:r>
        <w:t xml:space="preserve"> </w:t>
      </w:r>
      <w:r>
        <w:t xml:space="preserve">“honesty”</w:t>
      </w:r>
      <w:r>
        <w:t xml:space="preserve"> </w:t>
      </w:r>
      <w:r>
        <w:t xml:space="preserve">analysis and a small human cohort (5 experts, 15 alerts, 75 trials, abstention permitted) - not the leaderboard.</w:t>
      </w:r>
    </w:p>
    <w:bookmarkEnd w:id="9"/>
    <w:bookmarkStart w:id="10" w:name="main-contributions"/>
    <w:p>
      <w:pPr>
        <w:pStyle w:val="Heading2"/>
      </w:pPr>
      <w:r>
        <w:t xml:space="preserve">Main contributions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staged protocol that separates instrument plumbing from science.</w:t>
      </w:r>
      <w:r>
        <w:t xml:space="preserve"> </w:t>
      </w:r>
      <w:r>
        <w:t xml:space="preserve">Every run is reported at 100.00 +/- 0.00% on all six Part A fields (Sect. 4.2, App. C.1), which the authors take as proof that downstream errors are not serialization failures - see below. The cascade then localises failure to a named gate: Stage-2 spans 54.21-81.60%, Stage-3 conditional accuracy 32.12-60.78% (Table 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reasoning-mode ablation on identical alert sets, analysed with the wrong test.</w:t>
      </w:r>
      <w:r>
        <w:t xml:space="preserve"> </w:t>
      </w:r>
      <w:r>
        <w:t xml:space="preserve">Five same-architecture pairs at n = 1,500 give Opus 4.7 +11.73 +/- 1.80 pp (z = 6.52), Qwen3.5-397B +9.29 (5.25), GPT-5.4 +7.40 (4.07), a tie at 35B (+1.23) and an inversion at 4B (-13.90, truncation) (Table 13). Both arms see the same alerts, yet App. D propagates the independent two-sample SE_delta = sqrt(SE_think^2 + SE_nothink^2) instead of McNemar on the discordant cells, which the same authors use correctly in Table 17; the quoted z are conservative, not correct.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universal, model-independent AGN failure.</w:t>
      </w:r>
      <w:r>
        <w:t xml:space="preserve"> </w:t>
      </w:r>
      <w:r>
        <w:t xml:space="preserve">AGN accuracy stays below 8% and AGN F1 below 0.13 in all 13 runs (Tables 9, 11); in the four leading runs 272-278 of the 300 true AGN are predicted variable_star (Table 12). No per-class lead reaches z = 2 (Table 10) - unusually honest leaderboard reporting.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inverse modesty-accuracy relation, then its instance-level refutation.</w:t>
      </w:r>
      <w:r>
        <w:t xml:space="preserve"> </w:t>
      </w:r>
      <w:r>
        <w:t xml:space="preserve">An OLS fit across the 13 runs gives -31.2 +/- 10.0 pp of accuracy per rubric point (Fig. 5): Opus at MSRS 3.99 and a 67% self pass rate, Gemini 2.5 Pro at 4.886 and 100%. But per-alert the confidence-correctness Pearson r never exceeds 0.2517 (Opus nothink), and adaptive thinking on Opus raises accuracy while collapsing that signal to r = 0.047 and a +0.24 pp bin gap (Tables 14, 15).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behavioural second-rollout test.</w:t>
      </w:r>
      <w:r>
        <w:t xml:space="preserve"> </w:t>
      </w:r>
      <w:r>
        <w:t xml:space="preserve">Re-prompting five of the six closed-source runs (Gemini 2.5 Pro high-think has no low-confidence pool, n &lt;= 2, Table 15) on 35 of each model’s own low-confidence alerts, first answer attached, gives Opus think +28.57 pp (correction 58.82%, damage 0%, McNemar p = 0.00195), Opus nothink +42.86 pp (68.18%, 0%, p = 6.1e-5), GPT-5.4 high-think +8.57 pp while breaking 18.75% of correct rows (p = 0.51), and Gemini 2.5 Flash changing nothing while raising its self-rating +0.43 (Table 16).</w:t>
      </w:r>
    </w:p>
    <w:bookmarkEnd w:id="10"/>
    <w:bookmarkStart w:id="11" w:name="critical-assessment"/>
    <w:p>
      <w:pPr>
        <w:pStyle w:val="Heading2"/>
      </w:pPr>
      <w:r>
        <w:t xml:space="preserve">Critical assessment</w:t>
      </w:r>
    </w:p>
    <w:p>
      <w:pPr>
        <w:pStyle w:val="FirstParagraph"/>
      </w:pPr>
      <w:r>
        <w:t xml:space="preserve">Stage-1 is not</w:t>
      </w:r>
      <w:r>
        <w:t xml:space="preserve"> </w:t>
      </w:r>
      <w:r>
        <w:t xml:space="preserve">“essentially solved across all model scales (77.15-87.07%)”</w:t>
      </w:r>
      <w:r>
        <w:t xml:space="preserve"> </w:t>
      </w:r>
      <w:r>
        <w:t xml:space="preserve">(Fig. 8); it is at the majority-class floor. With 300 bogus among 1,500 alerts, always answering real_object scores exactly 80.00%; four runs fall below that (77.15-79.30%), and only Opus 4.7 think clears it by 5 pp (86.60%). The paper names the mechanism itself:</w:t>
      </w:r>
      <w:r>
        <w:t xml:space="preserve"> </w:t>
      </w:r>
      <w:r>
        <w:t xml:space="preserve">“a strong majority-class bias in Stage-1”</w:t>
      </w:r>
      <w:r>
        <w:t xml:space="preserve"> </w:t>
      </w:r>
      <w:r>
        <w:t xml:space="preserve">(Sect. 4.4). Stage-3 conditional accuracy likewise does not</w:t>
      </w:r>
      <w:r>
        <w:t xml:space="preserve"> </w:t>
      </w:r>
      <w:r>
        <w:t xml:space="preserve">“explain most of the headline 5-class ranking”</w:t>
      </w:r>
      <w:r>
        <w:t xml:space="preserve"> </w:t>
      </w:r>
      <w:r>
        <w:t xml:space="preserve">(Fig. 8): its Spearman rho against end-to-end rank is 0.588, below Stage-2’s 0.659, and Opus 4.7 nothink is second on it, fourth end-to-end.</w:t>
      </w:r>
    </w:p>
    <w:p>
      <w:pPr>
        <w:pStyle w:val="BodyText"/>
      </w:pPr>
      <w:r>
        <w:t xml:space="preserve">The central problem is the label. Gold classes are ALeRCE stamp-classifier outputs drawn from a narrow slice of that classifier’s confidence surface (AGN 0.860-0.899, asteroid exactly 1.000; Table 6), so the benchmark measures agreement with a CNN. That reframes the Conclusion’s claim that frontier models</w:t>
      </w:r>
      <w:r>
        <w:t xml:space="preserve"> </w:t>
      </w:r>
      <w:r>
        <w:t xml:space="preserve">“can exceed human classification accuracy”</w:t>
      </w:r>
      <w:r>
        <w:t xml:space="preserve"> </w:t>
      </w:r>
      <w:r>
        <w:t xml:space="preserve">(Sect. 6) into the weaker statement that they imitate that classifier better than five astronomers do. Credit where due: App. G.1 concedes the expert-vs-manifest gap</w:t>
      </w:r>
      <w:r>
        <w:t xml:space="preserve"> </w:t>
      </w:r>
      <w:r>
        <w:t xml:space="preserve">“is itself a signal”</w:t>
      </w:r>
      <w:r>
        <w:t xml:space="preserve">, and G.4 reads many human misses as calibrated refusal. That caveat belongs beside Table 1’s human row and Fig. 21’s caption, not alone in Appendix G.</w:t>
      </w:r>
    </w:p>
    <w:p>
      <w:pPr>
        <w:pStyle w:val="BodyText"/>
      </w:pPr>
      <w:r>
        <w:t xml:space="preserve">The human comparison cannot bear its weight (Table 19):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Same 15 alerts</w:t>
            </w:r>
          </w:p>
        </w:tc>
        <w:tc>
          <w:tcPr/>
          <w:p>
            <w:pPr>
              <w:pStyle w:val="Compact"/>
            </w:pPr>
            <w:r>
              <w:t xml:space="preserve">Accuracy (%)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4.7 think</w:t>
            </w:r>
          </w:p>
        </w:tc>
        <w:tc>
          <w:tcPr/>
          <w:p>
            <w:pPr>
              <w:pStyle w:val="Compact"/>
            </w:pPr>
            <w:r>
              <w:t xml:space="preserve">53.33 +/- 12.88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individual expert</w:t>
            </w:r>
          </w:p>
        </w:tc>
        <w:tc>
          <w:tcPr/>
          <w:p>
            <w:pPr>
              <w:pStyle w:val="Compact"/>
            </w:pPr>
            <w:r>
              <w:t xml:space="preserve">46.67 +/- 12.88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human (abstain wrong)</w:t>
            </w:r>
          </w:p>
        </w:tc>
        <w:tc>
          <w:tcPr/>
          <w:p>
            <w:pPr>
              <w:pStyle w:val="Compact"/>
            </w:pPr>
            <w:r>
              <w:t xml:space="preserve">30.67 +/- 5.32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3/5 ensemble</w:t>
            </w:r>
          </w:p>
        </w:tc>
        <w:tc>
          <w:tcPr/>
          <w:p>
            <w:pPr>
              <w:pStyle w:val="Compact"/>
            </w:pPr>
            <w:r>
              <w:t xml:space="preserve">26.67 +/- 11.42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pPr>
        <w:pStyle w:val="BodyText"/>
      </w:pPr>
      <w:r>
        <w:t xml:space="preserve">The model-beats-expert result is 8 correct versus 7, one alert worth 6.67 pp. Per-expert accuracy ranges 13.33-46.67% with no calibration round, three of the five aliases match author names, and humans may answer</w:t>
      </w:r>
      <w:r>
        <w:t xml:space="preserve"> </w:t>
      </w:r>
      <w:r>
        <w:t xml:space="preserve">“Don’t Know”</w:t>
      </w:r>
      <w:r>
        <w:t xml:space="preserve"> </w:t>
      </w:r>
      <w:r>
        <w:t xml:space="preserve">(10.67% refusal) while models are forced to commit. The slice is too small to rank anything.</w:t>
      </w:r>
    </w:p>
    <w:p>
      <w:pPr>
        <w:pStyle w:val="BodyText"/>
      </w:pPr>
      <w:r>
        <w:t xml:space="preserve">Part A is a null test, not a perception test: four numbers copied from the prompt survive a round trip, and two coded fields (fid, isdiffpos) are decoded from a key the prompt supplies. The grounding failure it should catch sits in the authors’ own material: on ZTF26aargnnp Gemini 2.5 Flash calls the source</w:t>
      </w:r>
      <w:r>
        <w:t xml:space="preserve"> </w:t>
      </w:r>
      <w:r>
        <w:t xml:space="preserve">“absent in the reference”</w:t>
      </w:r>
      <w:r>
        <w:t xml:space="preserve"> </w:t>
      </w:r>
      <w:r>
        <w:t xml:space="preserve">in one field of a JSON and</w:t>
      </w:r>
      <w:r>
        <w:t xml:space="preserve"> </w:t>
      </w:r>
      <w:r>
        <w:t xml:space="preserve">“clearly present in the reference”</w:t>
      </w:r>
      <w:r>
        <w:t xml:space="preserve"> </w:t>
      </w:r>
      <w:r>
        <w:t xml:space="preserve">in another, self-scoring them 5 and 3 (App. H.3.3) - which no coherence rubric over a model’s prose can catch.</w:t>
      </w:r>
    </w:p>
    <w:p>
      <w:pPr>
        <w:pStyle w:val="BodyText"/>
      </w:pPr>
      <w:r>
        <w:t xml:space="preserve">The second-rollout design lacks its control arm: the low-confidence stratum is selected on a within-model extreme, so regression to the mean alone predicts a positive delta, and the +28.57/+42.86 pp gains cannot be credited to self-critique without a prior-withheld re-run. Parse failures also give one Table 1 row two denominators: Qwen3.5-4B think’s Stage-1 bar (87.07 +/- 1.88) inverts to n ~ 318 - Table 14’s n_linked = 317 - while its 5-class bar (8.41 +/- 0.72) inverts to n ~ 1,486; Qwen3.5-35B think splits 967 against ~1,500. Unparsed rows are dropped from the stage columns but scored wrong end-to-end, so the caption’s</w:t>
      </w:r>
      <w:r>
        <w:t xml:space="preserve"> </w:t>
      </w:r>
      <w:r>
        <w:t xml:space="preserve">“Results are reported over 1,500 alerts”</w:t>
      </w:r>
      <w:r>
        <w:t xml:space="preserve"> </w:t>
      </w:r>
      <w:r>
        <w:t xml:space="preserve">is false for two rows.</w:t>
      </w:r>
    </w:p>
    <w:bookmarkEnd w:id="11"/>
    <w:bookmarkStart w:id="12" w:name="X1e4beb4360ffe925fde2938304959be7488f5f8"/>
    <w:p>
      <w:pPr>
        <w:pStyle w:val="Heading2"/>
      </w:pPr>
      <w:r>
        <w:t xml:space="preserve">Relation to the agentic lensing programme</w:t>
      </w:r>
    </w:p>
    <w:p>
      <w:pPr>
        <w:pStyle w:val="FirstParagraph"/>
      </w:pPr>
      <w:r>
        <w:t xml:space="preserve">First, external corroboration of our label-wall thesis. Their five experts agree with the manifest gold on 30.67% of 75 trials and the best model reaches 53.33% on the same 15 alerts, while the headline 60.60% belongs to a different, 1,500-alert population. We have the same asymmetry from the other side: identical engineered features score AUC ~0.80 on spectroscopically confirmed labels and ~0.51 on the DESI hard consensus pool, inter-team QWK is 0.29 [0.12-0.44] (n = 103) and 0.17 (n = 24), and the human grade’s own AUC against followed-up truth is 0.577 [0.40, 0.76]. Cite it in LensJudge that way: a benchmark’s headline is bounded by its labels, not by LLM astrophysics competence.</w:t>
      </w:r>
    </w:p>
    <w:p>
      <w:pPr>
        <w:pStyle w:val="BodyText"/>
      </w:pPr>
      <w:r>
        <w:t xml:space="preserve">Second, it caps what abstention buys, lower than we assumed: selective accuracy exceeds effective by only 3.7 pp (34.33 +/- 5.80 on 67 committed trials against 30.67 +/- 5.32 on 75), a gap inside its own error bars that App. G.4 calls</w:t>
      </w:r>
      <w:r>
        <w:t xml:space="preserve"> </w:t>
      </w:r>
      <w:r>
        <w:t xml:space="preserve">“small relative to the cross-model spread”</w:t>
      </w:r>
      <w:r>
        <w:t xml:space="preserve">, and measured on humans only - their models are forced-choice. In our JWST three-persona run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was effectively dead (5 of 1,050 judgements); the evidence-first critics address that by design with an explicit</w:t>
      </w:r>
      <w:r>
        <w:t xml:space="preserve"> </w:t>
      </w:r>
      <w:r>
        <w:rPr>
          <w:rStyle w:val="VerbatimChar"/>
        </w:rPr>
        <w:t xml:space="preserve">no_opinion</w:t>
      </w:r>
      <w:r>
        <w:t xml:space="preserve">, but we have not published the rate at which they use it. We should generalise their three-definition reporting into the coverage-accuracy curve they stop short of.</w:t>
      </w:r>
    </w:p>
    <w:p>
      <w:pPr>
        <w:pStyle w:val="BodyText"/>
      </w:pPr>
      <w:r>
        <w:t xml:space="preserve">Third, and this is what we should actually adopt: run their second-rollout ablation on our advocate. Our holdout makes the Opus-5 advocate the best ranker we have measured (recall@5%FPR 33.3% vs incumbent 9.5%, AUC 0.764, McNemar p 0.046), but the full critic stack collapses that ranking (AUC 0.468, dAUC -0.301) while remaining the right FPR layer (D-rule-only veto R2, FPR@A-union-B 2.0%). A same-model retry on the advocate’s own low-</w:t>
      </w:r>
      <w:r>
        <w:rPr>
          <w:rStyle w:val="VerbatimChar"/>
        </w:rPr>
        <w:t xml:space="preserve">p_ev</w:t>
      </w:r>
      <w:r>
        <w:t xml:space="preserve"> </w:t>
      </w:r>
      <w:r>
        <w:t xml:space="preserve">rows costs one extra call, against the four-judge panel mode’s ~$0.27/candidate (multiagent ~$0.33), and stacks no correlated refuters, though it inherits the advocate’s priors, so run a prior-withheld control arm beside it, both scored by dAUC and recall@5%FPR. Their per-gate conditional accuracy is worth stealing too: it would have exposed our geometry hard gate (2.3% pass) as one arm of the cascade that, with correlated refuters (kappa 0.46-0.63) and</w:t>
      </w:r>
      <w:r>
        <w:t xml:space="preserve"> </w:t>
      </w:r>
      <w:r>
        <w:t xml:space="preserve">“prefer fail”</w:t>
      </w:r>
      <w:r>
        <w:t xml:space="preserve"> </w:t>
      </w:r>
      <w:r>
        <w:t xml:space="preserve">mandates, rejected 23 of 24 known lenses.</w:t>
      </w:r>
    </w:p>
    <w:p>
      <w:pPr>
        <w:pStyle w:val="BodyText"/>
      </w:pPr>
      <w:r>
        <w:t xml:space="preserve">Where it will not transfer: the operating point. Lenses are ~1 in 10^4 massive ellipticals, so balanced five-class accuracy above a 20% chance floor says nothing about purity at that prior; our currency is recall@5%FPR and FPR control. The honesty machinery transfers less well still: Part B scores prose against a coherence rubric, but our diagnosed failure was priors hard-coded wrong for NIRCam - theta_E</w:t>
      </w:r>
      <w:r>
        <w:t xml:space="preserve"> </w:t>
      </w:r>
      <w:r>
        <w:t xml:space="preserve">“0.3-3 arcsec, larger implies group/cluster”</w:t>
      </w:r>
      <w:r>
        <w:t xml:space="preserve">, and</w:t>
      </w:r>
      <w:r>
        <w:t xml:space="preserve"> </w:t>
      </w:r>
      <w:r>
        <w:t xml:space="preserve">“the arc is bluer than the deflector”</w:t>
      </w:r>
      <w:r>
        <w:t xml:space="preserve">, which fires on 62% of real lenses. That reasoning is coherent and evidence-citing; a self-score rubric would rate it 5/5. And this is prompted classification, not agentic work - no tool use, no code execution - against a JWST run that designed its own pipeline over 6,848 NIRCam observations and inspected 5,308 cutouts from one prompt.</w:t>
      </w:r>
    </w:p>
    <w:bookmarkEnd w:id="12"/>
    <w:bookmarkStart w:id="1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This is a careful, well-instrumented benchmark whose honesty analysis is more novel than its leaderboard. Its structural weaknesses are gold labels that are a CNN’s opinion from a narrow probability band, and a human comparison resting on 15 alerts, five graders and an asymmetric abstention rule. The abstract is appropriately modest; the overreach is downstream, in the Conclusion’s</w:t>
      </w:r>
      <w:r>
        <w:t xml:space="preserve"> </w:t>
      </w:r>
      <w:r>
        <w:t xml:space="preserve">“can exceed human classification accuracy”</w:t>
      </w:r>
      <w:r>
        <w:t xml:space="preserve">, Table 1’s human row and Fig. 21. Recommend acceptance conditional on demoting the human-parity claim, printing Stage-1’s 80.00% majority-class baseline, replacing the two-sample SE with McNemar, and adding a prior-withheld control to the retry ablation.</w:t>
      </w:r>
    </w:p>
    <w:bookmarkEnd w:id="13"/>
    <w:bookmarkEnd w:id="14"/>
    <w:sectPr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52" w:lineRule="auto"/>
    </w:pPr>
    <w:rPr>
      <w:rFonts w:ascii="Charter" w:cs="Charter" w:hAnsi="Charter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5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5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2026-08-31T02:11:48Z</dcterms:created>
  <dcterms:modified xsi:type="dcterms:W3CDTF">2026-08-31T02:11:48Z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