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sz w:val="24"/>
          <w:szCs w:val="24"/>
        </w:rPr>
      </w:pPr>
      <w:r w:rsidDel="00000000" w:rsidR="00000000" w:rsidRPr="00000000">
        <w:rPr>
          <w:b w:val="1"/>
          <w:bCs w:val="1"/>
          <w:sz w:val="36"/>
          <w:szCs w:val="36"/>
          <w:rtl w:val="0"/>
        </w:rPr>
        <w:t xml:space="preserve">An Extensible Foundation Model for</w:t>
      </w:r>
      <w:r w:rsidDel="00000000" w:rsidR="00000000" w:rsidRPr="00000000">
        <w:rPr>
          <w:rtl w:val="0"/>
        </w:rPr>
        <w:t xml:space="preserve"> </w:t>
      </w:r>
      <w:r w:rsidDel="00000000" w:rsidR="00000000" w:rsidRPr="00000000">
        <w:rPr>
          <w:b w:val="1"/>
          <w:bCs w:val="1"/>
          <w:sz w:val="36"/>
          <w:szCs w:val="36"/>
          <w:rtl w:val="0"/>
        </w:rPr>
        <w:t xml:space="preserve">Automated Spectroscopic Analysis</w:t>
      </w:r>
      <w:r w:rsidDel="00000000" w:rsidR="00000000" w:rsidRPr="00000000">
        <w:rPr>
          <w:rtl w:val="0"/>
        </w:rPr>
        <w:t xml:space="preserve"> </w:t>
      </w:r>
      <w:r w:rsidDel="00000000" w:rsidR="00000000" w:rsidRPr="00000000">
        <w:rPr>
          <w:b w:val="1"/>
          <w:bCs w:val="1"/>
          <w:sz w:val="36"/>
          <w:szCs w:val="36"/>
          <w:rtl w:val="0"/>
        </w:rPr>
        <w:t xml:space="preserve">in Cosmological Surveys</w:t>
      </w:r>
      <w:r w:rsidDel="00000000" w:rsidR="00000000" w:rsidRPr="00000000">
        <w:rPr>
          <w:rtl w:val="0"/>
        </w:rPr>
      </w:r>
    </w:p>
    <w:p w:rsidR="00000000" w:rsidDel="00000000" w:rsidP="00000000" w:rsidRDefault="00000000" w:rsidRPr="00000000" w14:paraId="00000002">
      <w:pPr>
        <w:pStyle w:val="Heading1"/>
        <w:widowControl w:val="0"/>
        <w:spacing w:after="0" w:lineRule="auto"/>
        <w:ind w:left="720" w:firstLine="0"/>
        <w:rPr>
          <w:b w:val="0"/>
          <w:bCs w:val="0"/>
          <w:sz w:val="24"/>
          <w:szCs w:val="24"/>
        </w:rPr>
      </w:pPr>
      <w:r w:rsidDel="00000000" w:rsidR="00000000" w:rsidRPr="00000000">
        <w:rPr>
          <w:sz w:val="24"/>
          <w:szCs w:val="24"/>
          <w:rtl w:val="0"/>
        </w:rPr>
        <w:t xml:space="preserve">Lead Applicant/Institution</w:t>
      </w:r>
      <w:r w:rsidDel="00000000" w:rsidR="00000000" w:rsidRPr="00000000">
        <w:rPr>
          <w:b w:val="0"/>
          <w:bCs w:val="0"/>
          <w:sz w:val="24"/>
          <w:szCs w:val="24"/>
          <w:rtl w:val="0"/>
        </w:rPr>
        <w:t xml:space="preserve">:</w:t>
        <w:tab/>
        <w:t xml:space="preserve">University of San Francisco</w:t>
        <w:br w:type="textWrapping"/>
        <w:tab/>
        <w:tab/>
        <w:tab/>
      </w:r>
      <w:r w:rsidDel="00000000" w:rsidR="00000000" w:rsidRPr="00000000">
        <w:rPr>
          <w:b w:val="0"/>
          <w:bCs w:val="0"/>
          <w:sz w:val="22"/>
          <w:szCs w:val="22"/>
          <w:rtl w:val="0"/>
        </w:rPr>
        <w:tab/>
      </w:r>
      <w:r w:rsidDel="00000000" w:rsidR="00000000" w:rsidRPr="00000000">
        <w:rPr>
          <w:b w:val="0"/>
          <w:bCs w:val="0"/>
          <w:sz w:val="24"/>
          <w:szCs w:val="24"/>
          <w:rtl w:val="0"/>
        </w:rPr>
        <w:t xml:space="preserve">2130 Fulton Street, </w:t>
      </w:r>
    </w:p>
    <w:p w:rsidR="00000000" w:rsidDel="00000000" w:rsidP="00000000" w:rsidRDefault="00000000" w:rsidRPr="00000000" w14:paraId="00000003">
      <w:pPr>
        <w:pStyle w:val="Heading1"/>
        <w:widowControl w:val="0"/>
        <w:spacing w:before="0" w:lineRule="auto"/>
        <w:ind w:left="2880" w:firstLine="720"/>
        <w:rPr>
          <w:b w:val="0"/>
          <w:bCs w:val="0"/>
          <w:sz w:val="20"/>
          <w:szCs w:val="20"/>
        </w:rPr>
      </w:pPr>
      <w:r w:rsidDel="00000000" w:rsidR="00000000" w:rsidRPr="00000000">
        <w:rPr>
          <w:b w:val="0"/>
          <w:bCs w:val="0"/>
          <w:sz w:val="24"/>
          <w:szCs w:val="24"/>
          <w:rtl w:val="0"/>
        </w:rPr>
        <w:t xml:space="preserve">San Francisco, CA 94117-1080</w:t>
      </w:r>
      <w:r w:rsidDel="00000000" w:rsidR="00000000" w:rsidRPr="00000000">
        <w:rPr>
          <w:rtl w:val="0"/>
        </w:rPr>
      </w:r>
    </w:p>
    <w:p w:rsidR="00000000" w:rsidDel="00000000" w:rsidP="00000000" w:rsidRDefault="00000000" w:rsidRPr="00000000" w14:paraId="00000004">
      <w:pPr>
        <w:spacing w:after="0" w:before="0" w:line="278.00000000000006" w:lineRule="auto"/>
        <w:ind w:left="720" w:firstLine="0"/>
        <w:rPr>
          <w:sz w:val="24"/>
          <w:szCs w:val="24"/>
        </w:rPr>
      </w:pPr>
      <w:r w:rsidDel="00000000" w:rsidR="00000000" w:rsidRPr="00000000">
        <w:rPr>
          <w:b w:val="1"/>
          <w:bCs w:val="1"/>
          <w:sz w:val="24"/>
          <w:szCs w:val="24"/>
          <w:rtl w:val="0"/>
        </w:rPr>
        <w:t xml:space="preserve">Principal Investigator:</w:t>
        <w:tab/>
      </w:r>
      <w:r w:rsidDel="00000000" w:rsidR="00000000" w:rsidRPr="00000000">
        <w:rPr>
          <w:sz w:val="24"/>
          <w:szCs w:val="24"/>
          <w:rtl w:val="0"/>
        </w:rPr>
        <w:t xml:space="preserve">Prof. Xiaosheng Huang</w:t>
      </w:r>
      <w:r w:rsidDel="00000000" w:rsidR="00000000" w:rsidRPr="00000000">
        <w:rPr>
          <w:rtl w:val="0"/>
        </w:rPr>
        <w:br w:type="textWrapping"/>
        <w:tab/>
        <w:tab/>
        <w:tab/>
        <w:tab/>
      </w:r>
      <w:r w:rsidDel="00000000" w:rsidR="00000000" w:rsidRPr="00000000">
        <w:rPr>
          <w:sz w:val="24"/>
          <w:szCs w:val="24"/>
          <w:rtl w:val="0"/>
        </w:rPr>
        <w:t xml:space="preserve">Phone: (415) 422-6281</w:t>
      </w:r>
    </w:p>
    <w:p w:rsidR="00000000" w:rsidDel="00000000" w:rsidP="00000000" w:rsidRDefault="00000000" w:rsidRPr="00000000" w14:paraId="00000005">
      <w:pPr>
        <w:spacing w:after="160" w:before="0" w:line="278.00000000000006" w:lineRule="auto"/>
        <w:ind w:left="2880" w:firstLine="720"/>
        <w:rPr>
          <w:color w:val="ff0000"/>
          <w:sz w:val="24"/>
          <w:szCs w:val="24"/>
        </w:rPr>
      </w:pPr>
      <w:r w:rsidDel="00000000" w:rsidR="00000000" w:rsidRPr="00000000">
        <w:rPr>
          <w:sz w:val="24"/>
          <w:szCs w:val="24"/>
          <w:rtl w:val="0"/>
        </w:rPr>
        <w:t xml:space="preserve">E-mail: xhuang22@usfca.edu</w:t>
      </w:r>
      <w:r w:rsidDel="00000000" w:rsidR="00000000" w:rsidRPr="00000000">
        <w:rPr>
          <w:rtl w:val="0"/>
        </w:rPr>
      </w:r>
    </w:p>
    <w:p w:rsidR="00000000" w:rsidDel="00000000" w:rsidP="00000000" w:rsidRDefault="00000000" w:rsidRPr="00000000" w14:paraId="00000006">
      <w:pPr>
        <w:spacing w:after="0" w:before="0" w:line="278.00000000000006" w:lineRule="auto"/>
        <w:ind w:left="720" w:firstLine="0"/>
        <w:rPr>
          <w:sz w:val="24"/>
          <w:szCs w:val="24"/>
        </w:rPr>
      </w:pPr>
      <w:r w:rsidDel="00000000" w:rsidR="00000000" w:rsidRPr="00000000">
        <w:rPr>
          <w:b w:val="1"/>
          <w:bCs w:val="1"/>
          <w:sz w:val="24"/>
          <w:szCs w:val="24"/>
          <w:rtl w:val="0"/>
        </w:rPr>
        <w:t xml:space="preserve">Admin Point of Contact:</w:t>
      </w:r>
      <w:r w:rsidDel="00000000" w:rsidR="00000000" w:rsidRPr="00000000">
        <w:rPr>
          <w:color w:val="ff0000"/>
          <w:sz w:val="24"/>
          <w:szCs w:val="24"/>
          <w:rtl w:val="0"/>
        </w:rPr>
        <w:tab/>
      </w:r>
      <w:r w:rsidDel="00000000" w:rsidR="00000000" w:rsidRPr="00000000">
        <w:rPr>
          <w:sz w:val="24"/>
          <w:szCs w:val="24"/>
          <w:rtl w:val="0"/>
        </w:rPr>
        <w:t xml:space="preserve">Rachel Castillo (</w:t>
      </w:r>
      <w:hyperlink r:id="rId7">
        <w:r w:rsidDel="00000000" w:rsidR="00000000" w:rsidRPr="00000000">
          <w:rPr>
            <w:sz w:val="24"/>
            <w:szCs w:val="24"/>
            <w:u w:val="single"/>
            <w:rtl w:val="0"/>
          </w:rPr>
          <w:t xml:space="preserve">rvcastillo@usfca.edu</w:t>
        </w:r>
      </w:hyperlink>
      <w:r w:rsidDel="00000000" w:rsidR="00000000" w:rsidRPr="00000000">
        <w:rPr>
          <w:sz w:val="24"/>
          <w:szCs w:val="24"/>
          <w:rtl w:val="0"/>
        </w:rPr>
        <w:t xml:space="preserve">), 415-422-5555</w:t>
      </w:r>
    </w:p>
    <w:p w:rsidR="00000000" w:rsidDel="00000000" w:rsidP="00000000" w:rsidRDefault="00000000" w:rsidRPr="00000000" w14:paraId="00000007">
      <w:pPr>
        <w:spacing w:after="160" w:before="0" w:line="278.00000000000006" w:lineRule="auto"/>
        <w:ind w:left="720" w:firstLine="0"/>
        <w:rPr>
          <w:sz w:val="24"/>
          <w:szCs w:val="24"/>
        </w:rPr>
      </w:pPr>
      <w:r w:rsidDel="00000000" w:rsidR="00000000" w:rsidRPr="00000000">
        <w:rPr>
          <w:b w:val="1"/>
          <w:bCs w:val="1"/>
          <w:sz w:val="24"/>
          <w:szCs w:val="24"/>
          <w:rtl w:val="0"/>
        </w:rPr>
        <w:t xml:space="preserve">RFA Number</w:t>
      </w:r>
      <w:r w:rsidDel="00000000" w:rsidR="00000000" w:rsidRPr="00000000">
        <w:rPr>
          <w:sz w:val="24"/>
          <w:szCs w:val="24"/>
          <w:rtl w:val="0"/>
        </w:rPr>
        <w:t xml:space="preserve">:</w:t>
        <w:tab/>
        <w:tab/>
        <w:t xml:space="preserve">DE-FOA-0003612</w:t>
      </w:r>
    </w:p>
    <w:p w:rsidR="00000000" w:rsidDel="00000000" w:rsidP="00000000" w:rsidRDefault="00000000" w:rsidRPr="00000000" w14:paraId="00000008">
      <w:pPr>
        <w:spacing w:after="120" w:lineRule="auto"/>
        <w:ind w:firstLine="720"/>
        <w:rPr/>
      </w:pPr>
      <w:r w:rsidDel="00000000" w:rsidR="00000000" w:rsidRPr="00000000">
        <w:rPr>
          <w:b w:val="1"/>
          <w:bCs w:val="1"/>
          <w:sz w:val="24"/>
          <w:szCs w:val="24"/>
          <w:rtl w:val="0"/>
        </w:rPr>
        <w:t xml:space="preserve">Application Stage:</w:t>
      </w:r>
      <w:r w:rsidDel="00000000" w:rsidR="00000000" w:rsidRPr="00000000">
        <w:rPr>
          <w:sz w:val="24"/>
          <w:szCs w:val="24"/>
          <w:rtl w:val="0"/>
        </w:rPr>
        <w:t xml:space="preserve"> </w:t>
        <w:tab/>
        <w:tab/>
        <w:t xml:space="preserve">Phase I</w:t>
      </w:r>
      <w:r w:rsidDel="00000000" w:rsidR="00000000" w:rsidRPr="00000000">
        <w:rPr>
          <w:rtl w:val="0"/>
        </w:rPr>
      </w:r>
    </w:p>
    <w:p w:rsidR="00000000" w:rsidDel="00000000" w:rsidP="00000000" w:rsidRDefault="00000000" w:rsidRPr="00000000" w14:paraId="00000009">
      <w:pPr>
        <w:spacing w:after="120" w:lineRule="auto"/>
        <w:jc w:val="center"/>
        <w:rPr>
          <w:sz w:val="24"/>
          <w:szCs w:val="24"/>
        </w:rPr>
      </w:pPr>
      <w:r w:rsidDel="00000000" w:rsidR="00000000" w:rsidRPr="00000000">
        <w:rPr>
          <w:b w:val="1"/>
          <w:bCs w:val="1"/>
          <w:sz w:val="24"/>
          <w:szCs w:val="24"/>
          <w:rtl w:val="0"/>
        </w:rPr>
        <w:t xml:space="preserve">Topic 14: Unifying Physics from Quarks to the Cosmos</w:t>
      </w:r>
      <w:r w:rsidDel="00000000" w:rsidR="00000000" w:rsidRPr="00000000">
        <w:rPr>
          <w:sz w:val="24"/>
          <w:szCs w:val="24"/>
          <w:rtl w:val="0"/>
        </w:rPr>
        <w:br w:type="textWrapping"/>
      </w:r>
      <w:r w:rsidDel="00000000" w:rsidR="00000000" w:rsidRPr="00000000">
        <w:rPr>
          <w:sz w:val="24"/>
          <w:szCs w:val="24"/>
          <w:rtl w:val="0"/>
        </w:rPr>
        <w:t xml:space="preserve">Focus Area A: Foundation Models of Particle Interactions and Cosmic Physics</w:t>
      </w:r>
    </w:p>
    <w:sdt>
      <w:sdtPr>
        <w:lock w:val="contentLocked"/>
        <w:id w:val="1057992943"/>
        <w:tag w:val="goog_rdk_0"/>
      </w:sdtPr>
      <w:sdtContent>
        <w:tbl>
          <w:tblPr>
            <w:tblStyle w:val="Table1"/>
            <w:tblW w:w="9555.0" w:type="dxa"/>
            <w:jc w:val="left"/>
            <w:tblInd w:w="-168.0" w:type="dxa"/>
            <w:tblBorders>
              <w:top w:color="000000" w:space="0" w:sz="0" w:val="nil"/>
              <w:left w:color="000000" w:space="0" w:sz="0" w:val="nil"/>
              <w:bottom w:color="000000" w:space="0" w:sz="0" w:val="nil"/>
              <w:right w:color="000000" w:space="0" w:sz="0" w:val="nil"/>
            </w:tblBorders>
            <w:tblLayout w:type="fixed"/>
            <w:tblLook w:val="0000"/>
          </w:tblPr>
          <w:tblGrid>
            <w:gridCol w:w="4215"/>
            <w:gridCol w:w="5340"/>
            <w:tblGridChange w:id="0">
              <w:tblGrid>
                <w:gridCol w:w="4215"/>
                <w:gridCol w:w="5340"/>
              </w:tblGrid>
            </w:tblGridChange>
          </w:tblGrid>
          <w:tr>
            <w:trPr>
              <w:cantSplit w:val="0"/>
              <w:trHeight w:val="166"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00A">
                <w:pPr>
                  <w:spacing w:after="160" w:before="0" w:line="278.00000000000006" w:lineRule="auto"/>
                  <w:jc w:val="center"/>
                  <w:rPr/>
                </w:pPr>
                <w:r w:rsidDel="00000000" w:rsidR="00000000" w:rsidRPr="00000000">
                  <w:rPr>
                    <w:b w:val="1"/>
                    <w:bCs w:val="1"/>
                    <w:rtl w:val="0"/>
                  </w:rPr>
                  <w:t xml:space="preserve">Senior/Key Personnel for Lead Institution and All Partner Institutions</w:t>
                </w:r>
                <w:r w:rsidDel="00000000" w:rsidR="00000000" w:rsidRPr="00000000">
                  <w:rPr>
                    <w:rtl w:val="0"/>
                  </w:rPr>
                </w:r>
              </w:p>
            </w:tc>
          </w:tr>
          <w:tr>
            <w:trPr>
              <w:cantSplit w:val="0"/>
              <w:trHeight w:val="357" w:hRule="atLeast"/>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00C">
                <w:pPr>
                  <w:spacing w:after="160" w:before="0" w:line="278.00000000000006" w:lineRule="auto"/>
                  <w:rPr>
                    <w:b w:val="1"/>
                    <w:bCs w:val="1"/>
                  </w:rPr>
                </w:pPr>
                <w:r w:rsidDel="00000000" w:rsidR="00000000" w:rsidRPr="00000000">
                  <w:rPr>
                    <w:b w:val="1"/>
                    <w:bCs w:val="1"/>
                    <w:rtl w:val="0"/>
                  </w:rPr>
                  <w:t xml:space="preserve">Institution Name </w:t>
                </w:r>
              </w:p>
            </w:tc>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00D">
                <w:pPr>
                  <w:spacing w:after="160" w:before="0" w:line="278.00000000000006" w:lineRule="auto"/>
                  <w:rPr>
                    <w:b w:val="1"/>
                    <w:bCs w:val="1"/>
                  </w:rPr>
                </w:pPr>
                <w:r w:rsidDel="00000000" w:rsidR="00000000" w:rsidRPr="00000000">
                  <w:rPr>
                    <w:b w:val="1"/>
                    <w:bCs w:val="1"/>
                    <w:rtl w:val="0"/>
                  </w:rPr>
                  <w:t xml:space="preserve">Senior/Key Personnel</w:t>
                </w:r>
              </w:p>
            </w:tc>
          </w:tr>
          <w:tr>
            <w:trPr>
              <w:cantSplit w:val="0"/>
              <w:trHeight w:val="1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160" w:before="0" w:line="278.00000000000006" w:lineRule="auto"/>
                  <w:rPr/>
                </w:pPr>
                <w:r w:rsidDel="00000000" w:rsidR="00000000" w:rsidRPr="00000000">
                  <w:rPr>
                    <w:rtl w:val="0"/>
                  </w:rPr>
                  <w:t xml:space="preserve">University of San Francisco</w:t>
                </w:r>
                <w:r w:rsidDel="00000000" w:rsidR="00000000" w:rsidRPr="00000000">
                  <w:rPr>
                    <w:rtl w:val="0"/>
                  </w:rPr>
                  <w:t xml:space="preserve"> (Lead)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160" w:before="0" w:line="278.00000000000006" w:lineRule="auto"/>
                  <w:rPr/>
                </w:pPr>
                <w:r w:rsidDel="00000000" w:rsidR="00000000" w:rsidRPr="00000000">
                  <w:rPr>
                    <w:rtl w:val="0"/>
                  </w:rPr>
                  <w:t xml:space="preserve">Prof. Xiaosheng Huang (PI); Prof. Shan Wang; Prof. Greg Benson</w:t>
                </w:r>
              </w:p>
            </w:tc>
          </w:tr>
          <w:tr>
            <w:trPr>
              <w:cantSplit w:val="0"/>
              <w:trHeight w:val="1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after="160" w:before="0" w:line="278.00000000000006" w:lineRule="auto"/>
                  <w:rPr/>
                </w:pPr>
                <w:r w:rsidDel="00000000" w:rsidR="00000000" w:rsidRPr="00000000">
                  <w:rPr>
                    <w:rtl w:val="0"/>
                  </w:rPr>
                  <w:t xml:space="preserve">Lawrence Berkeley National Laboratory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160" w:before="0" w:line="278.00000000000006" w:lineRule="auto"/>
                  <w:rPr/>
                </w:pPr>
                <w:r w:rsidDel="00000000" w:rsidR="00000000" w:rsidRPr="00000000">
                  <w:rPr>
                    <w:rtl w:val="0"/>
                  </w:rPr>
                  <w:t xml:space="preserve">Dr. Stephen Bailey</w:t>
                </w:r>
              </w:p>
            </w:tc>
          </w:tr>
          <w:tr>
            <w:trPr>
              <w:cantSplit w:val="0"/>
              <w:trHeight w:val="1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160" w:before="0" w:line="278.00000000000006" w:lineRule="auto"/>
                  <w:rPr/>
                </w:pPr>
                <w:r w:rsidDel="00000000" w:rsidR="00000000" w:rsidRPr="00000000">
                  <w:rPr>
                    <w:rtl w:val="0"/>
                  </w:rPr>
                  <w:t xml:space="preserve">NSF NOIRLab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160" w:before="0" w:line="278.00000000000006" w:lineRule="auto"/>
                  <w:rPr/>
                </w:pPr>
                <w:r w:rsidDel="00000000" w:rsidR="00000000" w:rsidRPr="00000000">
                  <w:rPr>
                    <w:rtl w:val="0"/>
                  </w:rPr>
                  <w:t xml:space="preserve">Dr. Stephanie Juneau</w:t>
                </w:r>
              </w:p>
            </w:tc>
          </w:tr>
          <w:tr>
            <w:trPr>
              <w:cantSplit w:val="0"/>
              <w:trHeight w:val="1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160" w:before="0" w:line="278.00000000000006" w:lineRule="auto"/>
                  <w:rPr/>
                </w:pPr>
                <w:r w:rsidDel="00000000" w:rsidR="00000000" w:rsidRPr="00000000">
                  <w:rPr>
                    <w:rtl w:val="0"/>
                  </w:rPr>
                  <w:t xml:space="preserve">Florida State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160" w:before="0" w:line="278.00000000000006" w:lineRule="auto"/>
                  <w:rPr/>
                </w:pPr>
                <w:r w:rsidDel="00000000" w:rsidR="00000000" w:rsidRPr="00000000">
                  <w:rPr>
                    <w:rtl w:val="0"/>
                  </w:rPr>
                  <w:t xml:space="preserve">Prof. Nao Suzuki; Prof. Eric Hsiao</w:t>
                </w:r>
              </w:p>
            </w:tc>
          </w:tr>
        </w:tbl>
      </w:sdtContent>
    </w:sdt>
    <w:p w:rsidR="00000000" w:rsidDel="00000000" w:rsidP="00000000" w:rsidRDefault="00000000" w:rsidRPr="00000000" w14:paraId="00000016">
      <w:pPr>
        <w:spacing w:after="160" w:before="0" w:line="278.00000000000006" w:lineRule="auto"/>
        <w:rPr>
          <w:sz w:val="16"/>
          <w:szCs w:val="16"/>
        </w:rPr>
      </w:pPr>
      <w:r w:rsidDel="00000000" w:rsidR="00000000" w:rsidRPr="00000000">
        <w:rPr>
          <w:rtl w:val="0"/>
        </w:rPr>
      </w:r>
    </w:p>
    <w:sdt>
      <w:sdtPr>
        <w:lock w:val="contentLocked"/>
        <w:id w:val="-202356860"/>
        <w:tag w:val="goog_rdk_1"/>
      </w:sdtPr>
      <w:sdtContent>
        <w:tbl>
          <w:tblPr>
            <w:tblStyle w:val="Table2"/>
            <w:tblW w:w="5409.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9"/>
            <w:gridCol w:w="1980"/>
            <w:tblGridChange w:id="0">
              <w:tblGrid>
                <w:gridCol w:w="3429"/>
                <w:gridCol w:w="1980"/>
              </w:tblGrid>
            </w:tblGridChange>
          </w:tblGrid>
          <w:tr>
            <w:trPr>
              <w:cantSplit w:val="0"/>
              <w:trHeight w:val="553" w:hRule="atLeast"/>
              <w:tblHeader w:val="0"/>
            </w:trPr>
            <w:tc>
              <w:tcPr>
                <w:gridSpan w:val="2"/>
                <w:shd w:fill="efefef" w:val="clear"/>
              </w:tcPr>
              <w:p w:rsidR="00000000" w:rsidDel="00000000" w:rsidP="00000000" w:rsidRDefault="00000000" w:rsidRPr="00000000" w14:paraId="00000017">
                <w:pPr>
                  <w:widowControl w:val="0"/>
                  <w:spacing w:before="0" w:line="240" w:lineRule="auto"/>
                  <w:ind w:left="491" w:right="456" w:hanging="27.00000000000003"/>
                  <w:rPr>
                    <w:b w:val="1"/>
                    <w:bCs w:val="1"/>
                  </w:rPr>
                </w:pPr>
                <w:r w:rsidDel="00000000" w:rsidR="00000000" w:rsidRPr="00000000">
                  <w:rPr>
                    <w:b w:val="1"/>
                    <w:bCs w:val="1"/>
                    <w:rtl w:val="0"/>
                  </w:rPr>
                  <w:t xml:space="preserve">Summary budget information for lead institution and all partner institutions</w:t>
                </w:r>
              </w:p>
            </w:tc>
          </w:tr>
          <w:tr>
            <w:trPr>
              <w:cantSplit w:val="0"/>
              <w:trHeight w:val="290" w:hRule="atLeast"/>
              <w:tblHeader w:val="0"/>
            </w:trPr>
            <w:tc>
              <w:tcPr>
                <w:shd w:fill="efefef" w:val="clear"/>
              </w:tcPr>
              <w:p w:rsidR="00000000" w:rsidDel="00000000" w:rsidP="00000000" w:rsidRDefault="00000000" w:rsidRPr="00000000" w14:paraId="00000019">
                <w:pPr>
                  <w:widowControl w:val="0"/>
                  <w:spacing w:before="0" w:line="270" w:lineRule="auto"/>
                  <w:ind w:left="107" w:firstLine="0"/>
                  <w:rPr>
                    <w:b w:val="1"/>
                    <w:bCs w:val="1"/>
                  </w:rPr>
                </w:pPr>
                <w:r w:rsidDel="00000000" w:rsidR="00000000" w:rsidRPr="00000000">
                  <w:rPr>
                    <w:b w:val="1"/>
                    <w:bCs w:val="1"/>
                    <w:rtl w:val="0"/>
                  </w:rPr>
                  <w:t xml:space="preserve">Institution</w:t>
                </w:r>
              </w:p>
            </w:tc>
            <w:tc>
              <w:tcPr>
                <w:shd w:fill="efefef" w:val="clear"/>
              </w:tcPr>
              <w:p w:rsidR="00000000" w:rsidDel="00000000" w:rsidP="00000000" w:rsidRDefault="00000000" w:rsidRPr="00000000" w14:paraId="0000001A">
                <w:pPr>
                  <w:widowControl w:val="0"/>
                  <w:spacing w:before="0" w:line="270" w:lineRule="auto"/>
                  <w:ind w:left="108" w:firstLine="0"/>
                  <w:rPr>
                    <w:b w:val="1"/>
                    <w:bCs w:val="1"/>
                  </w:rPr>
                </w:pPr>
                <w:r w:rsidDel="00000000" w:rsidR="00000000" w:rsidRPr="00000000">
                  <w:rPr>
                    <w:b w:val="1"/>
                    <w:bCs w:val="1"/>
                    <w:rtl w:val="0"/>
                  </w:rPr>
                  <w:t xml:space="preserve">Year 1 Budget </w:t>
                </w:r>
              </w:p>
            </w:tc>
          </w:tr>
          <w:tr>
            <w:trPr>
              <w:cantSplit w:val="0"/>
              <w:trHeight w:val="290" w:hRule="atLeast"/>
              <w:tblHeader w:val="0"/>
            </w:trPr>
            <w:tc>
              <w:tcPr/>
              <w:p w:rsidR="00000000" w:rsidDel="00000000" w:rsidP="00000000" w:rsidRDefault="00000000" w:rsidRPr="00000000" w14:paraId="0000001B">
                <w:pPr>
                  <w:widowControl w:val="0"/>
                  <w:spacing w:before="0" w:line="270" w:lineRule="auto"/>
                  <w:ind w:left="167" w:firstLine="0"/>
                  <w:rPr/>
                </w:pPr>
                <w:r w:rsidDel="00000000" w:rsidR="00000000" w:rsidRPr="00000000">
                  <w:rPr>
                    <w:rtl w:val="0"/>
                  </w:rPr>
                  <w:t xml:space="preserve">USF</w:t>
                </w:r>
                <w:r w:rsidDel="00000000" w:rsidR="00000000" w:rsidRPr="00000000">
                  <w:rPr>
                    <w:rtl w:val="0"/>
                  </w:rPr>
                  <w:t xml:space="preserve"> (lead)</w:t>
                </w:r>
              </w:p>
            </w:tc>
            <w:tc>
              <w:tcPr/>
              <w:p w:rsidR="00000000" w:rsidDel="00000000" w:rsidP="00000000" w:rsidRDefault="00000000" w:rsidRPr="00000000" w14:paraId="0000001C">
                <w:pPr>
                  <w:widowControl w:val="0"/>
                  <w:spacing w:before="0" w:line="240" w:lineRule="auto"/>
                  <w:ind w:left="90" w:firstLine="0"/>
                  <w:rPr/>
                </w:pPr>
                <w:r w:rsidDel="00000000" w:rsidR="00000000" w:rsidRPr="00000000">
                  <w:rPr>
                    <w:rtl w:val="0"/>
                  </w:rPr>
                  <w:t xml:space="preserve">$407,283</w:t>
                </w:r>
              </w:p>
            </w:tc>
          </w:tr>
          <w:tr>
            <w:trPr>
              <w:cantSplit w:val="0"/>
              <w:trHeight w:val="289" w:hRule="atLeast"/>
              <w:tblHeader w:val="0"/>
            </w:trPr>
            <w:tc>
              <w:tcPr/>
              <w:p w:rsidR="00000000" w:rsidDel="00000000" w:rsidP="00000000" w:rsidRDefault="00000000" w:rsidRPr="00000000" w14:paraId="0000001D">
                <w:pPr>
                  <w:widowControl w:val="0"/>
                  <w:spacing w:before="0" w:line="270" w:lineRule="auto"/>
                  <w:ind w:left="167" w:firstLine="0"/>
                  <w:rPr/>
                </w:pPr>
                <w:r w:rsidDel="00000000" w:rsidR="00000000" w:rsidRPr="00000000">
                  <w:rPr>
                    <w:rtl w:val="0"/>
                  </w:rPr>
                  <w:t xml:space="preserve">LBNL</w:t>
                </w:r>
              </w:p>
            </w:tc>
            <w:tc>
              <w:tcPr/>
              <w:p w:rsidR="00000000" w:rsidDel="00000000" w:rsidP="00000000" w:rsidRDefault="00000000" w:rsidRPr="00000000" w14:paraId="0000001E">
                <w:pPr>
                  <w:widowControl w:val="0"/>
                  <w:spacing w:before="0" w:line="240" w:lineRule="auto"/>
                  <w:ind w:left="90" w:firstLine="0"/>
                  <w:rPr/>
                </w:pPr>
                <w:r w:rsidDel="00000000" w:rsidR="00000000" w:rsidRPr="00000000">
                  <w:rPr>
                    <w:rtl w:val="0"/>
                  </w:rPr>
                  <w:t xml:space="preserve">$116,283</w:t>
                </w:r>
              </w:p>
            </w:tc>
          </w:tr>
          <w:tr>
            <w:trPr>
              <w:cantSplit w:val="0"/>
              <w:trHeight w:val="289" w:hRule="atLeast"/>
              <w:tblHeader w:val="0"/>
            </w:trPr>
            <w:tc>
              <w:tcPr/>
              <w:p w:rsidR="00000000" w:rsidDel="00000000" w:rsidP="00000000" w:rsidRDefault="00000000" w:rsidRPr="00000000" w14:paraId="0000001F">
                <w:pPr>
                  <w:widowControl w:val="0"/>
                  <w:spacing w:before="0" w:line="270" w:lineRule="auto"/>
                  <w:ind w:left="167" w:firstLine="0"/>
                  <w:rPr/>
                </w:pPr>
                <w:r w:rsidDel="00000000" w:rsidR="00000000" w:rsidRPr="00000000">
                  <w:rPr>
                    <w:rtl w:val="0"/>
                  </w:rPr>
                  <w:t xml:space="preserve">NSF NOIRLab</w:t>
                </w:r>
              </w:p>
            </w:tc>
            <w:tc>
              <w:tcPr/>
              <w:p w:rsidR="00000000" w:rsidDel="00000000" w:rsidP="00000000" w:rsidRDefault="00000000" w:rsidRPr="00000000" w14:paraId="00000020">
                <w:pPr>
                  <w:widowControl w:val="0"/>
                  <w:spacing w:before="0" w:line="240" w:lineRule="auto"/>
                  <w:ind w:left="90" w:firstLine="0"/>
                  <w:rPr/>
                </w:pPr>
                <w:r w:rsidDel="00000000" w:rsidR="00000000" w:rsidRPr="00000000">
                  <w:rPr>
                    <w:rtl w:val="0"/>
                  </w:rPr>
                  <w:t xml:space="preserve">$</w:t>
                </w:r>
                <w:r w:rsidDel="00000000" w:rsidR="00000000" w:rsidRPr="00000000">
                  <w:rPr>
                    <w:rtl w:val="0"/>
                  </w:rPr>
                  <w:t xml:space="preserve">82,356</w:t>
                </w:r>
              </w:p>
            </w:tc>
          </w:tr>
          <w:tr>
            <w:trPr>
              <w:cantSplit w:val="0"/>
              <w:trHeight w:val="289"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1">
                <w:pPr>
                  <w:spacing w:before="0" w:line="240" w:lineRule="auto"/>
                  <w:rPr/>
                </w:pPr>
                <w:r w:rsidDel="00000000" w:rsidR="00000000" w:rsidRPr="00000000">
                  <w:rPr>
                    <w:rtl w:val="0"/>
                  </w:rPr>
                  <w:t xml:space="preserve">Florida State University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2">
                <w:pPr>
                  <w:spacing w:before="0" w:line="240" w:lineRule="auto"/>
                  <w:rPr/>
                </w:pPr>
                <w:r w:rsidDel="00000000" w:rsidR="00000000" w:rsidRPr="00000000">
                  <w:rPr>
                    <w:rtl w:val="0"/>
                  </w:rPr>
                  <w:t xml:space="preserve">$0.00</w:t>
                </w:r>
              </w:p>
            </w:tc>
          </w:tr>
          <w:tr>
            <w:trPr>
              <w:cantSplit w:val="0"/>
              <w:trHeight w:val="289" w:hRule="atLeast"/>
              <w:tblHeader w:val="0"/>
            </w:trPr>
            <w:tc>
              <w:tcPr/>
              <w:p w:rsidR="00000000" w:rsidDel="00000000" w:rsidP="00000000" w:rsidRDefault="00000000" w:rsidRPr="00000000" w14:paraId="00000023">
                <w:pPr>
                  <w:widowControl w:val="0"/>
                  <w:spacing w:before="0" w:line="270" w:lineRule="auto"/>
                  <w:ind w:left="167" w:firstLine="0"/>
                  <w:rPr/>
                </w:pPr>
                <w:r w:rsidDel="00000000" w:rsidR="00000000" w:rsidRPr="00000000">
                  <w:rPr>
                    <w:rtl w:val="0"/>
                  </w:rPr>
                  <w:t xml:space="preserve">Total</w:t>
                </w:r>
              </w:p>
            </w:tc>
            <w:tc>
              <w:tcPr/>
              <w:p w:rsidR="00000000" w:rsidDel="00000000" w:rsidP="00000000" w:rsidRDefault="00000000" w:rsidRPr="00000000" w14:paraId="00000024">
                <w:pPr>
                  <w:widowControl w:val="0"/>
                  <w:spacing w:before="0" w:line="240" w:lineRule="auto"/>
                  <w:ind w:left="90" w:firstLine="0"/>
                  <w:rPr/>
                </w:pPr>
                <w:r w:rsidDel="00000000" w:rsidR="00000000" w:rsidRPr="00000000">
                  <w:rPr>
                    <w:rtl w:val="0"/>
                  </w:rPr>
                  <w:t xml:space="preserve">$605,922</w:t>
                </w:r>
              </w:p>
            </w:tc>
          </w:tr>
        </w:tbl>
      </w:sdtContent>
    </w:sdt>
    <w:p w:rsidR="00000000" w:rsidDel="00000000" w:rsidP="00000000" w:rsidRDefault="00000000" w:rsidRPr="00000000" w14:paraId="00000025">
      <w:pPr>
        <w:pStyle w:val="Heading1"/>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Project Narrative</w:t>
      </w:r>
    </w:p>
    <w:p w:rsidR="00000000" w:rsidDel="00000000" w:rsidP="00000000" w:rsidRDefault="00000000" w:rsidRPr="00000000" w14:paraId="00000027">
      <w:pPr>
        <w:pStyle w:val="Heading2"/>
        <w:rPr/>
      </w:pPr>
      <w:r w:rsidDel="00000000" w:rsidR="00000000" w:rsidRPr="00000000">
        <w:rPr>
          <w:rtl w:val="0"/>
        </w:rPr>
        <w:t xml:space="preserve">1. </w:t>
      </w: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Massive spectroscopic surveys, such as the Dark Energy Spectroscopic Instrument (DESI), are the backbone of precision cosmology, providing the data to map the universe's structure and constrain dark energy. The current spectroscopic classification algorithm used by DESI, Redrock, relies upon hand-crafted templates that require extensive re-engineering when new target classes are introduced, e.g., Lyman-alpha emitters (LAEs) and Lyman-break galaxies (LBGs) for </w:t>
      </w:r>
      <w:r w:rsidDel="00000000" w:rsidR="00000000" w:rsidRPr="00000000">
        <w:rPr>
          <w:rtl w:val="0"/>
        </w:rPr>
        <w:t xml:space="preserve">DESI-II</w:t>
      </w:r>
      <w:r w:rsidDel="00000000" w:rsidR="00000000" w:rsidRPr="00000000">
        <w:rPr>
          <w:rtl w:val="0"/>
        </w:rPr>
        <w:t xml:space="preserve">. This fragility is a structural bottleneck that will compound as next-generation surveys (e.g., Spec-S5) come online.</w:t>
      </w:r>
    </w:p>
    <w:p w:rsidR="00000000" w:rsidDel="00000000" w:rsidP="00000000" w:rsidRDefault="00000000" w:rsidRPr="00000000" w14:paraId="00000029">
      <w:pPr>
        <w:rPr/>
      </w:pPr>
      <w:r w:rsidDel="00000000" w:rsidR="00000000" w:rsidRPr="00000000">
        <w:rPr>
          <w:rtl w:val="0"/>
        </w:rPr>
        <w:t xml:space="preserve">We propose </w:t>
      </w:r>
      <w:r w:rsidDel="00000000" w:rsidR="00000000" w:rsidRPr="00000000">
        <w:rPr>
          <w:b w:val="1"/>
          <w:bCs w:val="1"/>
          <w:rtl w:val="0"/>
        </w:rPr>
        <w:t xml:space="preserve">SpectrumFM</w:t>
      </w:r>
      <w:r w:rsidDel="00000000" w:rsidR="00000000" w:rsidRPr="00000000">
        <w:rPr>
          <w:rtl w:val="0"/>
        </w:rPr>
        <w:t xml:space="preserve">, a transformer-based foundation model focused</w:t>
      </w:r>
      <w:r w:rsidDel="00000000" w:rsidR="00000000" w:rsidRPr="00000000">
        <w:rPr>
          <w:rtl w:val="0"/>
        </w:rPr>
        <w:t xml:space="preserve"> </w:t>
      </w:r>
      <w:r w:rsidDel="00000000" w:rsidR="00000000" w:rsidRPr="00000000">
        <w:rPr>
          <w:rtl w:val="0"/>
        </w:rPr>
        <w:t xml:space="preserve">exclusively on </w:t>
      </w:r>
      <w:r w:rsidDel="00000000" w:rsidR="00000000" w:rsidRPr="00000000">
        <w:rPr>
          <w:b w:val="1"/>
          <w:bCs w:val="1"/>
          <w:rtl w:val="0"/>
        </w:rPr>
        <w:t xml:space="preserve">DESI spectra</w:t>
      </w:r>
      <w:r w:rsidDel="00000000" w:rsidR="00000000" w:rsidRPr="00000000">
        <w:rPr>
          <w:rtl w:val="0"/>
        </w:rPr>
        <w:t xml:space="preserve">. We will pre-train SpectrumFM from scratch on the full ~50 million extragalactic spectra from DESI, </w:t>
      </w:r>
      <w:r w:rsidDel="00000000" w:rsidR="00000000" w:rsidRPr="00000000">
        <w:rPr>
          <w:rtl w:val="0"/>
        </w:rPr>
        <w:t xml:space="preserve">augmented with ~10 million stellar spectra</w:t>
      </w:r>
      <w:r w:rsidDel="00000000" w:rsidR="00000000" w:rsidRPr="00000000">
        <w:rPr>
          <w:rtl w:val="0"/>
        </w:rPr>
        <w:t xml:space="preserve">—a training corpus 60× larger than any existing spectroscopic foundation model—enabling generalization to new object classes without manual re-engineering. The model learns spectral physics directly from the data, developing a contextual understanding of features (e.g., emission lines, continuum breaks) that generalizes</w:t>
      </w:r>
      <w:r w:rsidDel="00000000" w:rsidR="00000000" w:rsidRPr="00000000">
        <w:rPr>
          <w:rtl w:val="0"/>
        </w:rPr>
        <w:t xml:space="preserve"> across object types. </w:t>
      </w:r>
      <w:r w:rsidDel="00000000" w:rsidR="00000000" w:rsidRPr="00000000">
        <w:rPr>
          <w:rtl w:val="0"/>
        </w:rPr>
        <w:t xml:space="preserve">This approach directly addresses the limitations of template-fitting, which suffers from performance degradation (e.g., false positives) when new target classes are introduced. We scope Phase I deliberately to a single modality—DESI spectra—to establish the pre-training, scaling, and alignment foundations at full DESI scale. Phase II will extend this foundation by synthesizing across modalities—directly addressing Focus Area 14-A's call to combine different modalities of data across multiple space- and ground-based large-scale sky surveys (e.g., LSST, Roman, and Euclid).</w:t>
      </w:r>
    </w:p>
    <w:p w:rsidR="00000000" w:rsidDel="00000000" w:rsidP="00000000" w:rsidRDefault="00000000" w:rsidRPr="00000000" w14:paraId="0000002A">
      <w:pPr>
        <w:rPr/>
      </w:pPr>
      <w:r w:rsidDel="00000000" w:rsidR="00000000" w:rsidRPr="00000000">
        <w:rPr>
          <w:rtl w:val="0"/>
        </w:rPr>
        <w:t xml:space="preserve">A key innovation is the application of </w:t>
      </w:r>
      <w:r w:rsidDel="00000000" w:rsidR="00000000" w:rsidRPr="00000000">
        <w:rPr>
          <w:b w:val="1"/>
          <w:bCs w:val="1"/>
          <w:rtl w:val="0"/>
        </w:rPr>
        <w:t xml:space="preserve">human alignment</w:t>
      </w:r>
      <w:r w:rsidDel="00000000" w:rsidR="00000000" w:rsidRPr="00000000">
        <w:rPr>
          <w:rtl w:val="0"/>
        </w:rPr>
        <w:t xml:space="preserve"> </w:t>
      </w:r>
      <w:r w:rsidDel="00000000" w:rsidR="00000000" w:rsidRPr="00000000">
        <w:rPr>
          <w:b w:val="1"/>
          <w:bCs w:val="1"/>
          <w:rtl w:val="0"/>
        </w:rPr>
        <w:t xml:space="preserve">techniques</w:t>
      </w:r>
      <w:r w:rsidDel="00000000" w:rsidR="00000000" w:rsidRPr="00000000">
        <w:rPr>
          <w:rtl w:val="0"/>
        </w:rPr>
        <w:t xml:space="preserve">, inspired by Ouyang et al. 2022, to a scientific foundation model. Trained on astronomical measurement data, SpectrumFM will use expert visual inspection (VI) annotations as the alignment signal—encoding expert judgment directly into the model. The </w:t>
      </w:r>
      <w:r w:rsidDel="00000000" w:rsidR="00000000" w:rsidRPr="00000000">
        <w:rPr>
          <w:rtl w:val="0"/>
        </w:rPr>
        <w:t xml:space="preserve">time invested in alignment during Phase I </w:t>
      </w:r>
      <w:r w:rsidDel="00000000" w:rsidR="00000000" w:rsidRPr="00000000">
        <w:rPr>
          <w:rtl w:val="0"/>
        </w:rPr>
        <w:t xml:space="preserve">will compound across future spectroscopic surveys, making it a high-leverage investment. In Phase II, we plan to extend alignment beyond preference signals toward </w:t>
      </w:r>
      <w:r w:rsidDel="00000000" w:rsidR="00000000" w:rsidRPr="00000000">
        <w:rPr>
          <w:b w:val="1"/>
          <w:bCs w:val="1"/>
          <w:rtl w:val="0"/>
        </w:rPr>
        <w:t xml:space="preserve">rationale-based supervision</w:t>
      </w:r>
      <w:r w:rsidDel="00000000" w:rsidR="00000000" w:rsidRPr="00000000">
        <w:rPr>
          <w:rtl w:val="0"/>
        </w:rPr>
        <w:t xml:space="preserve">, incorporating free-text VI comment fields as natural-language supervision for short model-generated rationales, mirroring the recent shift in LLM alignment from preference-only to rationale-based training. Our team uniquely combines DOE national laboratory infrastructure (LBNL Physics Division and NERSC) and deep domain expertise (LBNL, NOIRLab, FSU) essential for implementing scientific alignment at scale.</w:t>
      </w:r>
    </w:p>
    <w:p w:rsidR="00000000" w:rsidDel="00000000" w:rsidP="00000000" w:rsidRDefault="00000000" w:rsidRPr="00000000" w14:paraId="0000002B">
      <w:pPr>
        <w:rPr/>
      </w:pPr>
      <w:r w:rsidDel="00000000" w:rsidR="00000000" w:rsidRPr="00000000">
        <w:rPr>
          <w:b w:val="1"/>
          <w:bCs w:val="1"/>
          <w:rtl w:val="0"/>
        </w:rPr>
        <w:t xml:space="preserve">Buy America Preference Statement</w:t>
      </w:r>
      <w:r w:rsidDel="00000000" w:rsidR="00000000" w:rsidRPr="00000000">
        <w:rPr>
          <w:rtl w:val="0"/>
        </w:rPr>
        <w:t xml:space="preserve">. This project will not involve the construction, alteration, maintenance, or repair of infrastructure in the United States. The proposed work consists exclusively of AI model development, training, fine-tuning, and evaluation using existing computational resources at NERSC and existing data from DESI. Accordingly, the Buy America Preference does not apply.</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2. </w:t>
      </w:r>
      <w:r w:rsidDel="00000000" w:rsidR="00000000" w:rsidRPr="00000000">
        <w:rPr>
          <w:rtl w:val="0"/>
        </w:rPr>
        <w:t xml:space="preserve">Project Objectives</w:t>
      </w: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t xml:space="preserve">The project aims to demonstrate that a spectra-first, human-aligned foundation model can overcome key limitations of current spectroscopic pipelines and deliver a clear AI advantage for cosmological surveys. The central claim is "one model, six classes": a single SpectrumFM with one set of weights will handle six DESI target classes at production-grade quality, organized into two regimes:</w:t>
      </w:r>
      <w:r w:rsidDel="00000000" w:rsidR="00000000" w:rsidRPr="00000000">
        <w:rPr>
          <w:rtl w:val="0"/>
        </w:rPr>
      </w:r>
    </w:p>
    <w:tbl>
      <w:tblPr>
        <w:tblStyle w:val="Table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3225"/>
        <w:gridCol w:w="4065"/>
        <w:tblGridChange w:id="0">
          <w:tblGrid>
            <w:gridCol w:w="2055"/>
            <w:gridCol w:w="3225"/>
            <w:gridCol w:w="4065"/>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2E">
            <w:pPr>
              <w:spacing w:before="0" w:line="240" w:lineRule="auto"/>
              <w:rPr/>
            </w:pPr>
            <w:r w:rsidDel="00000000" w:rsidR="00000000" w:rsidRPr="00000000">
              <w:rPr>
                <w:b w:val="1"/>
                <w:bCs w:val="1"/>
                <w:rtl w:val="0"/>
              </w:rPr>
              <w:t xml:space="preserve">Regime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2F">
            <w:pPr>
              <w:spacing w:before="0" w:line="240" w:lineRule="auto"/>
              <w:rPr/>
            </w:pPr>
            <w:r w:rsidDel="00000000" w:rsidR="00000000" w:rsidRPr="00000000">
              <w:rPr>
                <w:b w:val="1"/>
                <w:bCs w:val="1"/>
                <w:rtl w:val="0"/>
              </w:rPr>
              <w:t xml:space="preserve">Classes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30">
            <w:pPr>
              <w:spacing w:before="0" w:line="240" w:lineRule="auto"/>
              <w:rPr/>
            </w:pPr>
            <w:r w:rsidDel="00000000" w:rsidR="00000000" w:rsidRPr="00000000">
              <w:rPr>
                <w:b w:val="1"/>
                <w:bCs w:val="1"/>
                <w:rtl w:val="0"/>
              </w:rPr>
              <w:t xml:space="preserve">Phase I Approach</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31">
            <w:pPr>
              <w:spacing w:before="0" w:line="240" w:lineRule="auto"/>
              <w:rPr/>
            </w:pPr>
            <w:r w:rsidDel="00000000" w:rsidR="00000000" w:rsidRPr="00000000">
              <w:rPr>
                <w:rtl w:val="0"/>
              </w:rPr>
              <w:t xml:space="preserve">Label-rich</w:t>
            </w:r>
          </w:p>
          <w:p w:rsidR="00000000" w:rsidDel="00000000" w:rsidP="00000000" w:rsidRDefault="00000000" w:rsidRPr="00000000" w14:paraId="00000032">
            <w:pPr>
              <w:spacing w:before="0" w:line="240" w:lineRule="auto"/>
              <w:rPr/>
            </w:pPr>
            <w:r w:rsidDel="00000000" w:rsidR="00000000" w:rsidRPr="00000000">
              <w:rPr>
                <w:rtl w:val="0"/>
              </w:rPr>
              <w:t xml:space="preserve">(Redrock redshifts)</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33">
            <w:pPr>
              <w:spacing w:before="0" w:line="240" w:lineRule="auto"/>
              <w:rPr/>
            </w:pPr>
            <w:r w:rsidDel="00000000" w:rsidR="00000000" w:rsidRPr="00000000">
              <w:rPr>
                <w:rtl w:val="0"/>
              </w:rPr>
              <w:t xml:space="preserve">LRG, ELG, QSO (</w:t>
            </w:r>
            <w:r w:rsidDel="00000000" w:rsidR="00000000" w:rsidRPr="00000000">
              <w:rPr>
                <w:i w:val="1"/>
                <w:iCs w:val="1"/>
                <w:rtl w:val="0"/>
              </w:rPr>
              <w:t xml:space="preserve">extragalactic</w:t>
            </w:r>
            <w:r w:rsidDel="00000000" w:rsidR="00000000" w:rsidRPr="00000000">
              <w:rPr>
                <w:rtl w:val="0"/>
              </w:rPr>
              <w:t xml:space="preserve">);</w:t>
            </w:r>
          </w:p>
          <w:p w:rsidR="00000000" w:rsidDel="00000000" w:rsidP="00000000" w:rsidRDefault="00000000" w:rsidRPr="00000000" w14:paraId="00000034">
            <w:pPr>
              <w:spacing w:before="0" w:line="240" w:lineRule="auto"/>
              <w:rPr/>
            </w:pPr>
            <w:r w:rsidDel="00000000" w:rsidR="00000000" w:rsidRPr="00000000">
              <w:rPr>
                <w:rtl w:val="0"/>
              </w:rPr>
              <w:t xml:space="preserve">MWS (</w:t>
            </w:r>
            <w:r w:rsidDel="00000000" w:rsidR="00000000" w:rsidRPr="00000000">
              <w:rPr>
                <w:i w:val="1"/>
                <w:iCs w:val="1"/>
                <w:rtl w:val="0"/>
              </w:rPr>
              <w:t xml:space="preserve">stars</w:t>
            </w:r>
            <w:r w:rsidDel="00000000" w:rsidR="00000000" w:rsidRPr="00000000">
              <w:rPr>
                <w:rtl w:val="0"/>
              </w:rPr>
              <w:t xml:space="preserve">)</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35">
            <w:pPr>
              <w:spacing w:before="0" w:line="240" w:lineRule="auto"/>
              <w:rPr/>
            </w:pPr>
            <w:r w:rsidDel="00000000" w:rsidR="00000000" w:rsidRPr="00000000">
              <w:rPr>
                <w:rtl w:val="0"/>
              </w:rPr>
              <w:t xml:space="preserve">Pre-training with auxiliary redshift head</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36">
            <w:pPr>
              <w:spacing w:before="0" w:line="240" w:lineRule="auto"/>
              <w:rPr/>
            </w:pPr>
            <w:r w:rsidDel="00000000" w:rsidR="00000000" w:rsidRPr="00000000">
              <w:rPr>
                <w:rtl w:val="0"/>
              </w:rPr>
              <w:t xml:space="preserve">Extensibility</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37">
            <w:pPr>
              <w:spacing w:before="0" w:line="240" w:lineRule="auto"/>
              <w:rPr/>
            </w:pPr>
            <w:r w:rsidDel="00000000" w:rsidR="00000000" w:rsidRPr="00000000">
              <w:rPr>
                <w:rtl w:val="0"/>
              </w:rPr>
              <w:t xml:space="preserve">LBGs, LAEs (</w:t>
            </w:r>
            <w:r w:rsidDel="00000000" w:rsidR="00000000" w:rsidRPr="00000000">
              <w:rPr>
                <w:i w:val="1"/>
                <w:iCs w:val="1"/>
                <w:rtl w:val="0"/>
              </w:rPr>
              <w:t xml:space="preserve">extragalactic</w:t>
            </w:r>
            <w:r w:rsidDel="00000000" w:rsidR="00000000" w:rsidRPr="00000000">
              <w:rPr>
                <w:rtl w:val="0"/>
              </w:rPr>
              <w:t xml:space="preserve">)</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38">
            <w:pPr>
              <w:spacing w:before="0" w:line="240" w:lineRule="auto"/>
              <w:rPr/>
            </w:pPr>
            <w:sdt>
              <w:sdtPr>
                <w:id w:val="632542517"/>
                <w:tag w:val="goog_rdk_2"/>
              </w:sdtPr>
              <w:sdtContent>
                <w:r w:rsidDel="00000000" w:rsidR="00000000" w:rsidRPr="00000000">
                  <w:rPr>
                    <w:rFonts w:ascii="Gungsuh" w:cs="Gungsuh" w:eastAsia="Gungsuh" w:hAnsi="Gungsuh"/>
                    <w:rtl w:val="0"/>
                  </w:rPr>
                  <w:t xml:space="preserve">Few-shot fine-tuning (≤5,000 examples per class)</w:t>
                </w:r>
              </w:sdtContent>
            </w:sdt>
          </w:p>
        </w:tc>
      </w:tr>
    </w:tbl>
    <w:p w:rsidR="00000000" w:rsidDel="00000000" w:rsidP="00000000" w:rsidRDefault="00000000" w:rsidRPr="00000000" w14:paraId="00000039">
      <w:pPr>
        <w:rPr/>
      </w:pPr>
      <w:r w:rsidDel="00000000" w:rsidR="00000000" w:rsidRPr="00000000">
        <w:rPr>
          <w:rtl w:val="0"/>
        </w:rPr>
        <w:t xml:space="preserve">The objectives align with Focus Topic 14A by establishing a scalable and extensible unimodal model architecture that can be expanded into a multimodal foundation model in Phase II.</w:t>
      </w:r>
    </w:p>
    <w:p w:rsidR="00000000" w:rsidDel="00000000" w:rsidP="00000000" w:rsidRDefault="00000000" w:rsidRPr="00000000" w14:paraId="0000003A">
      <w:pPr>
        <w:rPr/>
      </w:pPr>
      <w:r w:rsidDel="00000000" w:rsidR="00000000" w:rsidRPr="00000000">
        <w:rPr>
          <w:rtl w:val="0"/>
        </w:rPr>
        <w:t xml:space="preserve">Phase I objectives are</w:t>
      </w:r>
      <w:r w:rsidDel="00000000" w:rsidR="00000000" w:rsidRPr="00000000">
        <w:rPr>
          <w:rtl w:val="0"/>
        </w:rPr>
        <w:t xml:space="preserve">:</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Pre-training and Scaling:</w:t>
      </w:r>
      <w:r w:rsidDel="00000000" w:rsidR="00000000" w:rsidRPr="00000000">
        <w:rPr>
          <w:rtl w:val="0"/>
        </w:rPr>
        <w:t xml:space="preserve"> Pre-train SpectrumFM on the full ~60 million DESI spectral corpus, incorporating physical priors. Establish scaling curves relating performance to data volume and compute.</w:t>
      </w:r>
    </w:p>
    <w:p w:rsidR="00000000" w:rsidDel="00000000" w:rsidP="00000000" w:rsidRDefault="00000000" w:rsidRPr="00000000" w14:paraId="0000003C">
      <w:pPr>
        <w:numPr>
          <w:ilvl w:val="0"/>
          <w:numId w:val="1"/>
        </w:numPr>
        <w:spacing w:before="0" w:lineRule="auto"/>
        <w:ind w:left="720" w:hanging="360"/>
        <w:rPr>
          <w:u w:val="none"/>
        </w:rPr>
      </w:pPr>
      <w:r w:rsidDel="00000000" w:rsidR="00000000" w:rsidRPr="00000000">
        <w:rPr>
          <w:b w:val="1"/>
          <w:bCs w:val="1"/>
          <w:rtl w:val="0"/>
        </w:rPr>
        <w:t xml:space="preserve">Six-Class Performance: </w:t>
      </w:r>
      <w:r w:rsidDel="00000000" w:rsidR="00000000" w:rsidRPr="00000000">
        <w:rPr>
          <w:rtl w:val="0"/>
        </w:rPr>
      </w:r>
    </w:p>
    <w:p w:rsidR="00000000" w:rsidDel="00000000" w:rsidP="00000000" w:rsidRDefault="00000000" w:rsidRPr="00000000" w14:paraId="0000003D">
      <w:pPr>
        <w:spacing w:before="0" w:lineRule="auto"/>
        <w:ind w:left="1440" w:firstLine="0"/>
        <w:rPr/>
      </w:pPr>
      <w:r w:rsidDel="00000000" w:rsidR="00000000" w:rsidRPr="00000000">
        <w:rPr>
          <w:rtl w:val="0"/>
        </w:rPr>
        <w:t xml:space="preserve">2a. Label-rich classes: Demonstrate that a single SpectrumFM matches or exceeds the production DESI pipeline across the four label-rich classes (LRG, ELG, QSO, MWS).</w:t>
      </w:r>
    </w:p>
    <w:p w:rsidR="00000000" w:rsidDel="00000000" w:rsidP="00000000" w:rsidRDefault="00000000" w:rsidRPr="00000000" w14:paraId="0000003E">
      <w:pPr>
        <w:spacing w:before="0" w:lineRule="auto"/>
        <w:ind w:left="1440" w:firstLine="0"/>
        <w:rPr/>
      </w:pPr>
      <w:sdt>
        <w:sdtPr>
          <w:id w:val="1992627510"/>
          <w:tag w:val="goog_rdk_3"/>
        </w:sdtPr>
        <w:sdtContent>
          <w:r w:rsidDel="00000000" w:rsidR="00000000" w:rsidRPr="00000000">
            <w:rPr>
              <w:rFonts w:ascii="Gungsuh" w:cs="Gungsuh" w:eastAsia="Gungsuh" w:hAnsi="Gungsuh"/>
              <w:rtl w:val="0"/>
            </w:rPr>
            <w:t xml:space="preserve">2b. Extensibility classes: Demonstrate that the same model generalizes via few-shot fine-tuning to LBGs and LAEs (≤5,000 examples per class) without degrading the four label-rich classes.</w:t>
          </w:r>
        </w:sdtContent>
      </w:sdt>
    </w:p>
    <w:p w:rsidR="00000000" w:rsidDel="00000000" w:rsidP="00000000" w:rsidRDefault="00000000" w:rsidRPr="00000000" w14:paraId="0000003F">
      <w:pPr>
        <w:numPr>
          <w:ilvl w:val="0"/>
          <w:numId w:val="1"/>
        </w:numPr>
        <w:spacing w:before="0" w:lineRule="auto"/>
        <w:ind w:left="720" w:hanging="360"/>
      </w:pPr>
      <w:r w:rsidDel="00000000" w:rsidR="00000000" w:rsidRPr="00000000">
        <w:rPr>
          <w:b w:val="1"/>
          <w:bCs w:val="1"/>
          <w:rtl w:val="0"/>
        </w:rPr>
        <w:t xml:space="preserve">Downstream Validation:</w:t>
      </w:r>
      <w:r w:rsidDel="00000000" w:rsidR="00000000" w:rsidRPr="00000000">
        <w:rPr>
          <w:rtl w:val="0"/>
        </w:rPr>
        <w:t xml:space="preserve"> Validate learned representations on scientifically distinct downstream tasks: strong gravitational lens identification and supernova typing.</w:t>
      </w:r>
    </w:p>
    <w:p w:rsidR="00000000" w:rsidDel="00000000" w:rsidP="00000000" w:rsidRDefault="00000000" w:rsidRPr="00000000" w14:paraId="00000040">
      <w:pPr>
        <w:pStyle w:val="Heading2"/>
        <w:rPr/>
      </w:pPr>
      <w:r w:rsidDel="00000000" w:rsidR="00000000" w:rsidRPr="00000000">
        <w:rPr>
          <w:rtl w:val="0"/>
        </w:rPr>
        <w:t xml:space="preserve">3. </w:t>
      </w:r>
      <w:r w:rsidDel="00000000" w:rsidR="00000000" w:rsidRPr="00000000">
        <w:rPr>
          <w:rtl w:val="0"/>
        </w:rPr>
        <w:t xml:space="preserve">Proposed Research and Methods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Phase I focuses on model architecture, physics-informed training, and the human alignment process.</w:t>
      </w:r>
    </w:p>
    <w:p w:rsidR="00000000" w:rsidDel="00000000" w:rsidP="00000000" w:rsidRDefault="00000000" w:rsidRPr="00000000" w14:paraId="00000042">
      <w:pPr>
        <w:rPr>
          <w:b w:val="1"/>
          <w:bCs w:val="1"/>
        </w:rPr>
      </w:pPr>
      <w:r w:rsidDel="00000000" w:rsidR="00000000" w:rsidRPr="00000000">
        <w:rPr>
          <w:b w:val="1"/>
          <w:bCs w:val="1"/>
          <w:rtl w:val="0"/>
        </w:rPr>
        <w:t xml:space="preserve">Why a Foundation Model, and Not a Redshift Fitter</w:t>
      </w:r>
    </w:p>
    <w:p w:rsidR="00000000" w:rsidDel="00000000" w:rsidP="00000000" w:rsidRDefault="00000000" w:rsidRPr="00000000" w14:paraId="00000043">
      <w:pPr>
        <w:rPr/>
      </w:pPr>
      <w:r w:rsidDel="00000000" w:rsidR="00000000" w:rsidRPr="00000000">
        <w:rPr>
          <w:rtl w:val="0"/>
        </w:rPr>
        <w:t xml:space="preserve">The five </w:t>
      </w:r>
      <w:r w:rsidDel="00000000" w:rsidR="00000000" w:rsidRPr="00000000">
        <w:rPr>
          <w:i w:val="1"/>
          <w:iCs w:val="1"/>
          <w:rtl w:val="0"/>
        </w:rPr>
        <w:t xml:space="preserve">extragalactic</w:t>
      </w:r>
      <w:r w:rsidDel="00000000" w:rsidR="00000000" w:rsidRPr="00000000">
        <w:rPr>
          <w:rtl w:val="0"/>
        </w:rPr>
        <w:t xml:space="preserve"> classes split into two regimes. For LRG, ELG, and QSO, DESI provides labeled redshifts at scale — including ~1.6M QSO redshifts from the Redrock + QuasarNET + broad-MgII pipeline — which the auxiliary redshift head (below) targets on every training step, supplementing Masked Spectrum Modeling (MSM) with millions of (spectrum, z) pairs of supervised signal. For LBG and LAE, comparable labels do not exist; redshift performance will be obtained by few-shot fine-tuning on thousands of DESI-II test spectra.</w:t>
      </w:r>
    </w:p>
    <w:p w:rsidR="00000000" w:rsidDel="00000000" w:rsidP="00000000" w:rsidRDefault="00000000" w:rsidRPr="00000000" w14:paraId="00000044">
      <w:pPr>
        <w:rPr/>
      </w:pPr>
      <w:r w:rsidDel="00000000" w:rsidR="00000000" w:rsidRPr="00000000">
        <w:rPr>
          <w:rtl w:val="0"/>
        </w:rPr>
        <w:t xml:space="preserve">This split is why an extensible foundation model—not a redshift fitter —is the right deliverable. Hand-crafted methods have not been shown to fit all five extragalactic classes within a single framework: Redrock alone handles LRGs and ELGs, but extending it even to QSOs already requires two bolted-on afterburners (Alexander et al. 2023), including QuasarNET, </w:t>
      </w:r>
      <w:r w:rsidDel="00000000" w:rsidR="00000000" w:rsidRPr="00000000">
        <w:rPr>
          <w:rtl w:val="0"/>
        </w:rPr>
        <w:t xml:space="preserve">a supervised CNN trained on QSOs, which by itself is not sufficient either. </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foundation model, by contrast, learns a transferable representation: the same encoder can deliver production-grade redshifts for the four label-rich classes, support few-shot adaptation to LBG and LAE in DESI-II, and, in Phase II, </w:t>
      </w:r>
      <w:r w:rsidDel="00000000" w:rsidR="00000000" w:rsidRPr="00000000">
        <w:rPr>
          <w:rtl w:val="0"/>
        </w:rPr>
        <w:t xml:space="preserve">can expand to different modality, and generalize to Spec-S5 and other successor surveys.</w:t>
      </w:r>
      <w:r w:rsidDel="00000000" w:rsidR="00000000" w:rsidRPr="00000000">
        <w:rPr>
          <w:rtl w:val="0"/>
        </w:rPr>
        <w:t xml:space="preserve"> This is the AI advantage that hand-crafted codes and older neural architectures cannot deliver.</w:t>
      </w:r>
    </w:p>
    <w:p w:rsidR="00000000" w:rsidDel="00000000" w:rsidP="00000000" w:rsidRDefault="00000000" w:rsidRPr="00000000" w14:paraId="00000046">
      <w:pPr>
        <w:rPr/>
      </w:pPr>
      <w:r w:rsidDel="00000000" w:rsidR="00000000" w:rsidRPr="00000000">
        <w:rPr>
          <w:b w:val="1"/>
          <w:bCs w:val="1"/>
          <w:rtl w:val="0"/>
        </w:rPr>
        <w:t xml:space="preserve">Architecture and Model T</w:t>
      </w:r>
      <w:r w:rsidDel="00000000" w:rsidR="00000000" w:rsidRPr="00000000">
        <w:rPr>
          <w:b w:val="1"/>
          <w:bCs w:val="1"/>
          <w:rtl w:val="0"/>
        </w:rPr>
        <w:t xml:space="preserve">raining</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SpectrumFM will utilize a transformer encoder-decoder operating at substantially higher spectral resolution than prior foundation models, beginning at ~10:1 compression with a path to full 7,081-pixel resolution. This enables the model to capture correlations across a wide range of feature separations including closely spaced features, a regime that is inaccessible to prior spectroscopic foundation models such as AION-1 (Parker et al. 2025), which applies attention to only 273 heavily compressed components. </w:t>
      </w:r>
    </w:p>
    <w:p w:rsidR="00000000" w:rsidDel="00000000" w:rsidP="00000000" w:rsidRDefault="00000000" w:rsidRPr="00000000" w14:paraId="00000048">
      <w:pPr>
        <w:rPr/>
      </w:pPr>
      <w:r w:rsidDel="00000000" w:rsidR="00000000" w:rsidRPr="00000000">
        <w:rPr>
          <w:rtl w:val="0"/>
        </w:rPr>
        <w:t xml:space="preserve">The primary training objective is </w:t>
      </w:r>
      <w:r w:rsidDel="00000000" w:rsidR="00000000" w:rsidRPr="00000000">
        <w:rPr>
          <w:b w:val="1"/>
          <w:bCs w:val="1"/>
          <w:rtl w:val="0"/>
        </w:rPr>
        <w:t xml:space="preserve">MSM</w:t>
      </w:r>
      <w:r w:rsidDel="00000000" w:rsidR="00000000" w:rsidRPr="00000000">
        <w:rPr>
          <w:rtl w:val="0"/>
        </w:rPr>
        <w:t xml:space="preserve">, where random spectral windows are masked and the model predicts missing flux values. AION-1 only achieves strong redshift accuracy by training a supervised redshift head on the frozen backbone—but that capability lives in the downstream head rather than the encoder, since redshift is one of 39 modalities masked under uniform token sampling and receives a redshift gradient on only a small fraction of pre-training steps. SpectrumFM instead bakes the redshift signal into pre-training via an auxiliary redshift head: a supervised regression head on the encoder's pooled output that predicts redshift jointly with the masked reconstruction loss on every step. A single encoder thus serves both the label-rich classes and the few-shot extensibility classes (LBGs, LAEs) without per-class supervised retraining. </w:t>
      </w:r>
      <w:r w:rsidDel="00000000" w:rsidR="00000000" w:rsidRPr="00000000">
        <w:rPr>
          <w:rtl w:val="0"/>
        </w:rPr>
        <w:t xml:space="preserve">This tight coupling between the encoder and redshift estimation enables the "one model, six classes" deliverable</w:t>
      </w:r>
      <w:r w:rsidDel="00000000" w:rsidR="00000000" w:rsidRPr="00000000">
        <w:rPr>
          <w:rtl w:val="0"/>
        </w:rPr>
        <w:t xml:space="preserve">. This Phase I focus on redshift accuracy is fully consistent with the more ambitious Phase II goal: the encoder is the same backbone that will be expanded in Phase II to a multimodal foundation model, and a redshift-accurate encoder is the right starting point for cross-modal generalization. </w:t>
      </w:r>
    </w:p>
    <w:p w:rsidR="00000000" w:rsidDel="00000000" w:rsidP="00000000" w:rsidRDefault="00000000" w:rsidRPr="00000000" w14:paraId="00000049">
      <w:pPr>
        <w:rPr/>
      </w:pPr>
      <w:r w:rsidDel="00000000" w:rsidR="00000000" w:rsidRPr="00000000">
        <w:rPr>
          <w:rtl w:val="0"/>
        </w:rPr>
        <w:t xml:space="preserve">Beyond the core MSM objective and auxiliary redshift head, SpectrumFM incorporates two further training components: </w:t>
      </w:r>
      <w:r w:rsidDel="00000000" w:rsidR="00000000" w:rsidRPr="00000000">
        <w:rPr>
          <w:b w:val="1"/>
          <w:bCs w:val="1"/>
          <w:rtl w:val="0"/>
        </w:rPr>
        <w:t xml:space="preserve">physical prior regularization</w:t>
      </w:r>
      <w:r w:rsidDel="00000000" w:rsidR="00000000" w:rsidRPr="00000000">
        <w:rPr>
          <w:rtl w:val="0"/>
        </w:rPr>
        <w:t xml:space="preserve"> and </w:t>
      </w:r>
      <w:r w:rsidDel="00000000" w:rsidR="00000000" w:rsidRPr="00000000">
        <w:rPr>
          <w:b w:val="1"/>
          <w:bCs w:val="1"/>
          <w:rtl w:val="0"/>
        </w:rPr>
        <w:t xml:space="preserve">human alignment</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i w:val="1"/>
          <w:iCs w:val="1"/>
          <w:rtl w:val="0"/>
        </w:rPr>
        <w:t xml:space="preserve">Physical Prior Regularization</w:t>
      </w: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SpectrumFM encodes known physical relationships—such as redshift equivariance (a coherent shift of all spectral features) and known emission/absorption line ratios—directly into the training objective; combined with the large training corpus, this yields robust representations.</w:t>
      </w:r>
    </w:p>
    <w:p w:rsidR="00000000" w:rsidDel="00000000" w:rsidP="00000000" w:rsidRDefault="00000000" w:rsidRPr="00000000" w14:paraId="0000004C">
      <w:pPr>
        <w:rPr>
          <w:i w:val="1"/>
          <w:iCs w:val="1"/>
        </w:rPr>
      </w:pPr>
      <w:r w:rsidDel="00000000" w:rsidR="00000000" w:rsidRPr="00000000">
        <w:rPr>
          <w:i w:val="1"/>
          <w:iCs w:val="1"/>
          <w:rtl w:val="0"/>
        </w:rPr>
        <w:t xml:space="preserve">Human Alignment Training</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key innovation of this proposal is to introduce Human Alignment Training after initial pre-training. This alignment phase grounds the model's outputs in expert judgment using DESI's extensive VI data (e.g., Lan et al. 2023; Alexander et al. 2023; Hsu et al. 2026; Weaverdyck et al., in prep.), a curated resource of human classifications and redshifts for aligning an AI model with expert-level spectral judgment. This step is analogous to Reinforcement Learning from Human Feedback (RLHF) in LLMs, but uses expert spectroscopic inspection as the alignment signal. It can substantially improve model performance, mirroring the leap from GPT-3 to ChatGPT (Ouyang et al. 2022). The alignment will proceed in two complementary stages. </w:t>
      </w:r>
      <w:r w:rsidDel="00000000" w:rsidR="00000000" w:rsidRPr="00000000">
        <w:rPr>
          <w:b w:val="1"/>
          <w:bCs w:val="1"/>
          <w:rtl w:val="0"/>
        </w:rPr>
        <w:t xml:space="preserve">Supervised Fine-Tuning (SFT)</w:t>
      </w:r>
      <w:r w:rsidDel="00000000" w:rsidR="00000000" w:rsidRPr="00000000">
        <w:rPr>
          <w:rtl w:val="0"/>
        </w:rPr>
        <w:t xml:space="preserve"> teaches the model to reproduce expert answers; </w:t>
      </w:r>
      <w:r w:rsidDel="00000000" w:rsidR="00000000" w:rsidRPr="00000000">
        <w:rPr>
          <w:b w:val="1"/>
          <w:bCs w:val="1"/>
          <w:rtl w:val="0"/>
        </w:rPr>
        <w:t xml:space="preserve">preference learning</w:t>
      </w:r>
      <w:r w:rsidDel="00000000" w:rsidR="00000000" w:rsidRPr="00000000">
        <w:rPr>
          <w:rtl w:val="0"/>
        </w:rPr>
        <w:t xml:space="preserve"> teaches it to calibrate confidence. In SFT, we fine-tune SpectrumFM on DESI spectra with VI redshifts. These labels serve as expert demonstrations of the correct output, correcting biases inherited from pre-training and imperfect Redrock labels, and bringing label-rich performance up to the production baseline. Preference learning exploits the fact that SpectrumFM's auxiliary redshift head will output a ranked list of candidate redshifts, analogous to the ranked alternatives produced by Redrock. From our experience with VI for the Redrock pipeline, we have a strong prior on which expert-inspected spectra will be most informative for confidence calibration, including both cases where the correct redshift is top-ranked and cases where it appears among lower-ranked candidates. These contrasts give the model a direct signal about uncertainty rather than only the final label. Learning from them yields a calibrated per-spectrum confidence score that downstream cosmology analyses can consume directly, weighting or thresholding SpectrumFM outputs as they currently do Redrock+ZWARN flags. The expertise of Dr. Bailey in Redrock failure modes and Dr. Green in VI data curation is essential for constructing these targeted preference-learning datasets.</w:t>
      </w:r>
      <w:r w:rsidDel="00000000" w:rsidR="00000000" w:rsidRPr="00000000">
        <w:rPr>
          <w:rtl w:val="0"/>
        </w:rPr>
      </w:r>
    </w:p>
    <w:p w:rsidR="00000000" w:rsidDel="00000000" w:rsidP="00000000" w:rsidRDefault="00000000" w:rsidRPr="00000000" w14:paraId="0000004E">
      <w:pPr>
        <w:ind w:left="0" w:firstLine="0"/>
        <w:rPr/>
      </w:pPr>
      <w:sdt>
        <w:sdtPr>
          <w:id w:val="719272156"/>
          <w:tag w:val="goog_rdk_4"/>
        </w:sdtPr>
        <w:sdtContent>
          <w:r w:rsidDel="00000000" w:rsidR="00000000" w:rsidRPr="00000000">
            <w:rPr>
              <w:rFonts w:ascii="Gungsuh" w:cs="Gungsuh" w:eastAsia="Gungsuh" w:hAnsi="Gungsuh"/>
              <w:rtl w:val="0"/>
            </w:rPr>
            <w:t xml:space="preserve">In Phase II we will extend alignment beyond preference signals toward rationale-based supervision: incorporating expert classification and free-text VI comment fields, where they exist, as natural-language supervision for short model-generated rationales (e.g., "broad Mg II emission near 4200 Å implies z ≈ 0.5 quasar"). This direction mirrors the recent shift in LLM alignment from preference-only to rationale-based training and is the natural place to ground the claim that the model has learned not just what expert classifications look like but how experts arrive at them.</w:t>
          </w:r>
        </w:sdtContent>
      </w:sdt>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Key Investigator Responsibilities and Activity Budget</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i w:val="1"/>
          <w:iCs w:val="1"/>
          <w:rtl w:val="0"/>
        </w:rPr>
        <w:t xml:space="preserve">Activity 1 — Architecture, Training, and Downstream Validation:</w:t>
      </w:r>
      <w:r w:rsidDel="00000000" w:rsidR="00000000" w:rsidRPr="00000000">
        <w:rPr>
          <w:rtl w:val="0"/>
        </w:rPr>
        <w:t xml:space="preserve"> Huang (PI, USF; </w:t>
      </w:r>
      <w:r w:rsidDel="00000000" w:rsidR="00000000" w:rsidRPr="00000000">
        <w:rPr>
          <w:b w:val="1"/>
          <w:bCs w:val="1"/>
          <w:rtl w:val="0"/>
        </w:rPr>
        <w:t xml:space="preserve">$42,478</w:t>
      </w:r>
      <w:r w:rsidDel="00000000" w:rsidR="00000000" w:rsidRPr="00000000">
        <w:rPr>
          <w:rtl w:val="0"/>
        </w:rPr>
        <w:t xml:space="preserve">) leads scientific direction, architecture design (with Wang), the strong-lens task, and supernova typing (with unfunded collaborators); Wang (USF; </w:t>
      </w:r>
      <w:r w:rsidDel="00000000" w:rsidR="00000000" w:rsidRPr="00000000">
        <w:rPr>
          <w:b w:val="1"/>
          <w:bCs w:val="1"/>
          <w:rtl w:val="0"/>
        </w:rPr>
        <w:t xml:space="preserve">$27,119</w:t>
      </w:r>
      <w:r w:rsidDel="00000000" w:rsidR="00000000" w:rsidRPr="00000000">
        <w:rPr>
          <w:rtl w:val="0"/>
        </w:rPr>
        <w:t xml:space="preserve">) co-leads architecture design and testing; Benson (USF; </w:t>
      </w:r>
      <w:r w:rsidDel="00000000" w:rsidR="00000000" w:rsidRPr="00000000">
        <w:rPr>
          <w:b w:val="1"/>
          <w:bCs w:val="1"/>
          <w:rtl w:val="0"/>
        </w:rPr>
        <w:t xml:space="preserve">$33,309</w:t>
      </w:r>
      <w:r w:rsidDel="00000000" w:rsidR="00000000" w:rsidRPr="00000000">
        <w:rPr>
          <w:rtl w:val="0"/>
        </w:rPr>
        <w:t xml:space="preserve">) leads agentic-AI tooling; one USF postdoc </w:t>
      </w:r>
      <w:r w:rsidDel="00000000" w:rsidR="00000000" w:rsidRPr="00000000">
        <w:rPr>
          <w:b w:val="1"/>
          <w:bCs w:val="1"/>
          <w:rtl w:val="0"/>
        </w:rPr>
        <w:t xml:space="preserve">($96,320</w:t>
      </w:r>
      <w:r w:rsidDel="00000000" w:rsidR="00000000" w:rsidRPr="00000000">
        <w:rPr>
          <w:rtl w:val="0"/>
        </w:rPr>
        <w:t xml:space="preserve">) and three graduate students (</w:t>
      </w:r>
      <w:r w:rsidDel="00000000" w:rsidR="00000000" w:rsidRPr="00000000">
        <w:rPr>
          <w:b w:val="1"/>
          <w:bCs w:val="1"/>
          <w:rtl w:val="0"/>
        </w:rPr>
        <w:t xml:space="preserve">$45,111</w:t>
      </w:r>
      <w:r w:rsidDel="00000000" w:rsidR="00000000" w:rsidRPr="00000000">
        <w:rPr>
          <w:rtl w:val="0"/>
        </w:rPr>
        <w:t xml:space="preserve">) execute pre-training, scaling, few-shot fine-tuning, ablations, and downstream validation; Bailey (LBNL) provides DESI corpus access and Redrock-baseline evaluation; Juneau (NOIRLab) and a NOIRLab intern (</w:t>
      </w:r>
      <w:r w:rsidDel="00000000" w:rsidR="00000000" w:rsidRPr="00000000">
        <w:rPr>
          <w:b w:val="1"/>
          <w:bCs w:val="1"/>
          <w:rtl w:val="0"/>
        </w:rPr>
        <w:t xml:space="preserve">$82,356</w:t>
      </w:r>
      <w:r w:rsidDel="00000000" w:rsidR="00000000" w:rsidRPr="00000000">
        <w:rPr>
          <w:rtl w:val="0"/>
        </w:rPr>
        <w:t xml:space="preserve"> combined) contribute foundation-model prototyping and evaluation.</w:t>
      </w:r>
    </w:p>
    <w:p w:rsidR="00000000" w:rsidDel="00000000" w:rsidP="00000000" w:rsidRDefault="00000000" w:rsidRPr="00000000" w14:paraId="00000051">
      <w:pPr>
        <w:spacing w:after="240" w:before="240" w:lineRule="auto"/>
        <w:rPr/>
      </w:pPr>
      <w:r w:rsidDel="00000000" w:rsidR="00000000" w:rsidRPr="00000000">
        <w:rPr>
          <w:i w:val="1"/>
          <w:iCs w:val="1"/>
          <w:rtl w:val="0"/>
        </w:rPr>
        <w:t xml:space="preserve">Activity 2 — Physical Prior Regularization:</w:t>
      </w:r>
      <w:r w:rsidDel="00000000" w:rsidR="00000000" w:rsidRPr="00000000">
        <w:rPr>
          <w:rtl w:val="0"/>
        </w:rPr>
        <w:t xml:space="preserve"> Huang and Wang formulate the loss terms; Bailey, Juneau, Huang specifies priors and DESI-specific systematics (all secondary effort).</w:t>
      </w:r>
    </w:p>
    <w:p w:rsidR="00000000" w:rsidDel="00000000" w:rsidP="00000000" w:rsidRDefault="00000000" w:rsidRPr="00000000" w14:paraId="00000052">
      <w:pPr>
        <w:spacing w:after="240" w:before="240" w:lineRule="auto"/>
        <w:rPr/>
      </w:pPr>
      <w:r w:rsidDel="00000000" w:rsidR="00000000" w:rsidRPr="00000000">
        <w:rPr>
          <w:i w:val="1"/>
          <w:iCs w:val="1"/>
          <w:rtl w:val="0"/>
        </w:rPr>
        <w:t xml:space="preserve">Activity 3 — Human Alignment Training:</w:t>
      </w:r>
      <w:r w:rsidDel="00000000" w:rsidR="00000000" w:rsidRPr="00000000">
        <w:rPr>
          <w:rtl w:val="0"/>
        </w:rPr>
        <w:t xml:space="preserve"> Green (LBNL postdoc) leads VI data curation and preference-pair construction; Bailey contributes the Redrock failure-mode taxonomy (secondary); Juneau evaluates cross-survey generalization (secondary). The LBNL subaward totals </w:t>
      </w:r>
      <w:r w:rsidDel="00000000" w:rsidR="00000000" w:rsidRPr="00000000">
        <w:rPr>
          <w:b w:val="1"/>
          <w:bCs w:val="1"/>
          <w:rtl w:val="0"/>
        </w:rPr>
        <w:t xml:space="preserve">$116,283</w:t>
      </w:r>
      <w:r w:rsidDel="00000000" w:rsidR="00000000" w:rsidRPr="00000000">
        <w:rPr>
          <w:rtl w:val="0"/>
        </w:rPr>
        <w:t xml:space="preserve">, supporting Bailey and Green personnel effort across Activities 1–3 plus travel. The USF total of </w:t>
      </w:r>
      <w:r w:rsidDel="00000000" w:rsidR="00000000" w:rsidRPr="00000000">
        <w:rPr>
          <w:b w:val="1"/>
          <w:bCs w:val="1"/>
          <w:rtl w:val="0"/>
        </w:rPr>
        <w:t xml:space="preserve">$407,283</w:t>
      </w:r>
      <w:r w:rsidDel="00000000" w:rsidR="00000000" w:rsidRPr="00000000">
        <w:rPr>
          <w:rtl w:val="0"/>
        </w:rPr>
        <w:t xml:space="preserve"> also covers travel, publications, computer/recruitment costs.</w:t>
      </w:r>
    </w:p>
    <w:p w:rsidR="00000000" w:rsidDel="00000000" w:rsidP="00000000" w:rsidRDefault="00000000" w:rsidRPr="00000000" w14:paraId="00000053">
      <w:pPr>
        <w:pStyle w:val="Heading2"/>
        <w:rPr/>
      </w:pPr>
      <w:r w:rsidDel="00000000" w:rsidR="00000000" w:rsidRPr="00000000">
        <w:rPr>
          <w:rtl w:val="0"/>
        </w:rPr>
        <w:t xml:space="preserve">4. </w:t>
      </w:r>
      <w:r w:rsidDel="00000000" w:rsidR="00000000" w:rsidRPr="00000000">
        <w:rPr>
          <w:rtl w:val="0"/>
        </w:rPr>
        <w:t xml:space="preserve">Milestones</w:t>
      </w: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t xml:space="preserve">Phase I is structured into three 3-month phases with defined, measurable milestones:</w:t>
      </w:r>
      <w:r w:rsidDel="00000000" w:rsidR="00000000" w:rsidRPr="00000000">
        <w:rPr>
          <w:rtl w:val="0"/>
        </w:rPr>
      </w:r>
    </w:p>
    <w:sdt>
      <w:sdtPr>
        <w:lock w:val="contentLocked"/>
        <w:id w:val="-982509412"/>
        <w:tag w:val="goog_rdk_5"/>
      </w:sdtPr>
      <w:sdtContent>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55">
                <w:pPr>
                  <w:spacing w:before="0" w:line="240" w:lineRule="auto"/>
                  <w:rPr/>
                </w:pPr>
                <w:r w:rsidDel="00000000" w:rsidR="00000000" w:rsidRPr="00000000">
                  <w:rPr>
                    <w:b w:val="1"/>
                    <w:bCs w:val="1"/>
                    <w:rtl w:val="0"/>
                  </w:rPr>
                  <w:t xml:space="preserve">Timeline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56">
                <w:pPr>
                  <w:spacing w:before="0" w:line="240" w:lineRule="auto"/>
                  <w:rPr/>
                </w:pPr>
                <w:r w:rsidDel="00000000" w:rsidR="00000000" w:rsidRPr="00000000">
                  <w:rPr>
                    <w:b w:val="1"/>
                    <w:bCs w:val="1"/>
                    <w:rtl w:val="0"/>
                  </w:rPr>
                  <w:t xml:space="preserve">Focus Area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57">
                <w:pPr>
                  <w:spacing w:before="0" w:line="240" w:lineRule="auto"/>
                  <w:rPr/>
                </w:pPr>
                <w:r w:rsidDel="00000000" w:rsidR="00000000" w:rsidRPr="00000000">
                  <w:rPr>
                    <w:b w:val="1"/>
                    <w:bCs w:val="1"/>
                    <w:rtl w:val="0"/>
                  </w:rPr>
                  <w:t xml:space="preserve">Measurable Milestone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8">
                <w:pPr>
                  <w:spacing w:before="0" w:line="240" w:lineRule="auto"/>
                  <w:rPr/>
                </w:pPr>
                <w:r w:rsidDel="00000000" w:rsidR="00000000" w:rsidRPr="00000000">
                  <w:rPr>
                    <w:b w:val="1"/>
                    <w:bCs w:val="1"/>
                    <w:rtl w:val="0"/>
                  </w:rPr>
                  <w:t xml:space="preserve">Months 1–3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9">
                <w:pPr>
                  <w:spacing w:before="0" w:line="240" w:lineRule="auto"/>
                  <w:rPr/>
                </w:pPr>
                <w:r w:rsidDel="00000000" w:rsidR="00000000" w:rsidRPr="00000000">
                  <w:rPr>
                    <w:rtl w:val="0"/>
                  </w:rPr>
                  <w:t xml:space="preserve">Data Curation and Architecture</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A">
                <w:pPr>
                  <w:spacing w:before="0" w:line="240" w:lineRule="auto"/>
                  <w:rPr/>
                </w:pPr>
                <w:r w:rsidDel="00000000" w:rsidR="00000000" w:rsidRPr="00000000">
                  <w:rPr>
                    <w:rtl w:val="0"/>
                  </w:rPr>
                  <w:t xml:space="preserve">DESI corpus and VI labels assembled. Architecture (auxiliary redshift head, physical prior regularization, MSM) implemented and validated on small-scale runs.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B">
                <w:pPr>
                  <w:spacing w:before="0" w:line="240" w:lineRule="auto"/>
                  <w:rPr/>
                </w:pPr>
                <w:r w:rsidDel="00000000" w:rsidR="00000000" w:rsidRPr="00000000">
                  <w:rPr>
                    <w:b w:val="1"/>
                    <w:bCs w:val="1"/>
                    <w:rtl w:val="0"/>
                  </w:rPr>
                  <w:t xml:space="preserve">Months 4–6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C">
                <w:pPr>
                  <w:spacing w:before="0" w:line="240" w:lineRule="auto"/>
                  <w:rPr/>
                </w:pPr>
                <w:r w:rsidDel="00000000" w:rsidR="00000000" w:rsidRPr="00000000">
                  <w:rPr>
                    <w:rtl w:val="0"/>
                  </w:rPr>
                  <w:t xml:space="preserve">Pre-training </w:t>
                </w:r>
                <w:r w:rsidDel="00000000" w:rsidR="00000000" w:rsidRPr="00000000">
                  <w:rPr>
                    <w:rtl w:val="0"/>
                  </w:rPr>
                  <w:t xml:space="preserve">from Scratch </w:t>
                </w:r>
                <w:r w:rsidDel="00000000" w:rsidR="00000000" w:rsidRPr="00000000">
                  <w:rPr>
                    <w:rtl w:val="0"/>
                  </w:rPr>
                  <w:t xml:space="preserve">and Label-Rich Performance</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D">
                <w:pPr>
                  <w:spacing w:before="0" w:line="240" w:lineRule="auto"/>
                  <w:rPr/>
                </w:pPr>
                <w:r w:rsidDel="00000000" w:rsidR="00000000" w:rsidRPr="00000000">
                  <w:rPr>
                    <w:rtl w:val="0"/>
                  </w:rPr>
                  <w:t xml:space="preserve">Full-scale pre-training on Perlmutter executed; scaling curves established. </w:t>
                </w:r>
                <w:r w:rsidDel="00000000" w:rsidR="00000000" w:rsidRPr="00000000">
                  <w:rPr>
                    <w:b w:val="1"/>
                    <w:bCs w:val="1"/>
                    <w:rtl w:val="0"/>
                  </w:rPr>
                  <w:t xml:space="preserve">Objective 2a</w:t>
                </w:r>
                <w:r w:rsidDel="00000000" w:rsidR="00000000" w:rsidRPr="00000000">
                  <w:rPr>
                    <w:rtl w:val="0"/>
                  </w:rPr>
                  <w:t xml:space="preserve"> complete.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E">
                <w:pPr>
                  <w:spacing w:before="0" w:line="240" w:lineRule="auto"/>
                  <w:rPr/>
                </w:pPr>
                <w:r w:rsidDel="00000000" w:rsidR="00000000" w:rsidRPr="00000000">
                  <w:rPr>
                    <w:b w:val="1"/>
                    <w:bCs w:val="1"/>
                    <w:rtl w:val="0"/>
                  </w:rPr>
                  <w:t xml:space="preserve">Months 7–9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F">
                <w:pPr>
                  <w:spacing w:before="0" w:line="240" w:lineRule="auto"/>
                  <w:rPr/>
                </w:pPr>
                <w:r w:rsidDel="00000000" w:rsidR="00000000" w:rsidRPr="00000000">
                  <w:rPr>
                    <w:rtl w:val="0"/>
                  </w:rPr>
                  <w:t xml:space="preserve">Extensibility, Alignment, and Validation</w:t>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0">
                <w:pPr>
                  <w:spacing w:before="0" w:line="240" w:lineRule="auto"/>
                  <w:rPr/>
                </w:pPr>
                <w:r w:rsidDel="00000000" w:rsidR="00000000" w:rsidRPr="00000000">
                  <w:rPr>
                    <w:rtl w:val="0"/>
                  </w:rPr>
                  <w:t xml:space="preserve">Human Alignment Training executed. </w:t>
                </w:r>
                <w:r w:rsidDel="00000000" w:rsidR="00000000" w:rsidRPr="00000000">
                  <w:rPr>
                    <w:b w:val="1"/>
                    <w:bCs w:val="1"/>
                    <w:rtl w:val="0"/>
                  </w:rPr>
                  <w:t xml:space="preserve">Objectives 1, 2b, and 3</w:t>
                </w:r>
                <w:r w:rsidDel="00000000" w:rsidR="00000000" w:rsidRPr="00000000">
                  <w:rPr>
                    <w:rtl w:val="0"/>
                  </w:rPr>
                  <w:t xml:space="preserve"> complete. Phase I report and </w:t>
                </w:r>
                <w:r w:rsidDel="00000000" w:rsidR="00000000" w:rsidRPr="00000000">
                  <w:rPr>
                    <w:rtl w:val="0"/>
                  </w:rPr>
                  <w:t xml:space="preserve">Phase II proposal submitte</w:t>
                </w:r>
                <w:r w:rsidDel="00000000" w:rsidR="00000000" w:rsidRPr="00000000">
                  <w:rPr>
                    <w:rtl w:val="0"/>
                  </w:rPr>
                  <w:t xml:space="preserve">d.</w:t>
                </w:r>
              </w:p>
            </w:tc>
          </w:tr>
        </w:tbl>
      </w:sdtContent>
    </w:sdt>
    <w:p w:rsidR="00000000" w:rsidDel="00000000" w:rsidP="00000000" w:rsidRDefault="00000000" w:rsidRPr="00000000" w14:paraId="00000061">
      <w:pPr>
        <w:rPr>
          <w:b w:val="1"/>
          <w:bCs w:val="1"/>
          <w:sz w:val="26"/>
          <w:szCs w:val="26"/>
        </w:rPr>
      </w:pPr>
      <w:r w:rsidDel="00000000" w:rsidR="00000000" w:rsidRPr="00000000">
        <w:rPr>
          <w:b w:val="1"/>
          <w:bCs w:val="1"/>
          <w:sz w:val="26"/>
          <w:szCs w:val="26"/>
          <w:rtl w:val="0"/>
        </w:rPr>
        <w:t xml:space="preserve">5. </w:t>
      </w:r>
      <w:r w:rsidDel="00000000" w:rsidR="00000000" w:rsidRPr="00000000">
        <w:rPr>
          <w:b w:val="1"/>
          <w:bCs w:val="1"/>
          <w:sz w:val="26"/>
          <w:szCs w:val="26"/>
          <w:rtl w:val="0"/>
        </w:rPr>
        <w:t xml:space="preserve">Data Sources</w:t>
      </w:r>
      <w:r w:rsidDel="00000000" w:rsidR="00000000" w:rsidRPr="00000000">
        <w:rPr>
          <w:b w:val="1"/>
          <w:bCs w:val="1"/>
          <w:sz w:val="26"/>
          <w:szCs w:val="26"/>
          <w:rtl w:val="0"/>
        </w:rPr>
        <w:t xml:space="preserve"> and Models</w:t>
      </w:r>
    </w:p>
    <w:p w:rsidR="00000000" w:rsidDel="00000000" w:rsidP="00000000" w:rsidRDefault="00000000" w:rsidRPr="00000000" w14:paraId="00000062">
      <w:pPr>
        <w:spacing w:after="240" w:before="240" w:lineRule="auto"/>
        <w:rPr/>
      </w:pPr>
      <w:r w:rsidDel="00000000" w:rsidR="00000000" w:rsidRPr="00000000">
        <w:rPr>
          <w:rtl w:val="0"/>
        </w:rPr>
        <w:t xml:space="preserve">The primary training corpus is DESI DR1 and subsequent internal releases — ~60 million spectra already hosted at NERSC. Labels for fine-tuning and alignment come from DESI Visual Inspection (VI) campaigns. Additional curated data include LBG/LAE test observations for few-shot extensibility, visually inspected SN spectra for supernova-typing validation, and 12,000 candidates across the full dataset for strong-lens identification validation. Because portions of the DESI corpus and VI labels are not yet publicly released, all team members with direct access are either DESI collaboration members or will be added as External Collaborators sponsored by Dr. Bailey (LBNL); training occurs entirely within NERSC behind DOE authentication, and raw pre-public data is never copied off-platform. SpectrumFM checkpoints, embeddings, and derived catalogs intended for public release will be reviewed under DESI's publication policy and released on a schedule aligned with the corresponding public DESI data release.</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SpectrumFM is a transformer model for 1D spectral inputs, trained with Masked Spectrum Modeling, an auxiliary redshift head, physical prior regularization, and human alignment. Phase I will study performance vs. model size, scaling toward ~1B parameters, and will inform Phase II decisions on target size, </w:t>
      </w:r>
      <w:r w:rsidDel="00000000" w:rsidR="00000000" w:rsidRPr="00000000">
        <w:rPr>
          <w:rtl w:val="0"/>
        </w:rPr>
        <w:t xml:space="preserve">data mixture</w:t>
      </w:r>
      <w:r w:rsidDel="00000000" w:rsidR="00000000" w:rsidRPr="00000000">
        <w:rPr>
          <w:rtl w:val="0"/>
        </w:rPr>
        <w:t xml:space="preserve">, and training duration. </w:t>
      </w:r>
    </w:p>
    <w:p w:rsidR="00000000" w:rsidDel="00000000" w:rsidP="00000000" w:rsidRDefault="00000000" w:rsidRPr="00000000" w14:paraId="00000064">
      <w:pPr>
        <w:pStyle w:val="Heading2"/>
        <w:rPr/>
      </w:pPr>
      <w:bookmarkStart w:colFirst="0" w:colLast="0" w:name="_heading=h.v64wbipeu7k5" w:id="0"/>
      <w:bookmarkEnd w:id="0"/>
      <w:r w:rsidDel="00000000" w:rsidR="00000000" w:rsidRPr="00000000">
        <w:rPr>
          <w:rtl w:val="0"/>
        </w:rPr>
        <w:t xml:space="preserve">6. </w:t>
      </w:r>
      <w:r w:rsidDel="00000000" w:rsidR="00000000" w:rsidRPr="00000000">
        <w:rPr>
          <w:rtl w:val="0"/>
        </w:rPr>
        <w:t xml:space="preserve">Decision Gate Metrics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Phase I Go/No-Go decision criteria focus on quantitative metrics demonstrating AI advantage and scalable performance trajectory:</w:t>
      </w:r>
    </w:p>
    <w:p w:rsidR="00000000" w:rsidDel="00000000" w:rsidP="00000000" w:rsidRDefault="00000000" w:rsidRPr="00000000" w14:paraId="00000066">
      <w:pPr>
        <w:rPr/>
      </w:pPr>
      <w:r w:rsidDel="00000000" w:rsidR="00000000" w:rsidRPr="00000000">
        <w:rPr>
          <w:b w:val="1"/>
          <w:bCs w:val="1"/>
          <w:rtl w:val="0"/>
        </w:rPr>
        <w:t xml:space="preserve">1. Performance Advancement:</w:t>
      </w:r>
      <w:r w:rsidDel="00000000" w:rsidR="00000000" w:rsidRPr="00000000">
        <w:rPr>
          <w:rtl w:val="0"/>
        </w:rPr>
        <w:t xml:space="preserve"> For the three label-rich extragalactic classes and stars, SpectrumFM must match or exceed the accuracy of the production DESI pipeline—Redrock for LRG and ELG, and Redrock + QuasarNET + broad-MgII for QSO while ensuring that </w:t>
      </w:r>
      <w:r w:rsidDel="00000000" w:rsidR="00000000" w:rsidRPr="00000000">
        <w:rPr>
          <w:b w:val="1"/>
          <w:bCs w:val="1"/>
          <w:rtl w:val="0"/>
        </w:rPr>
        <w:t xml:space="preserve">no class degrades</w:t>
      </w:r>
      <w:r w:rsidDel="00000000" w:rsidR="00000000" w:rsidRPr="00000000">
        <w:rPr>
          <w:rtl w:val="0"/>
        </w:rPr>
        <w:t xml:space="preserve"> by more than 5% relative to the baseline. This metric verifies the model’s ability to resolve the multi-class trade-off.</w:t>
      </w:r>
    </w:p>
    <w:p w:rsidR="00000000" w:rsidDel="00000000" w:rsidP="00000000" w:rsidRDefault="00000000" w:rsidRPr="00000000" w14:paraId="00000067">
      <w:pPr>
        <w:spacing w:before="0" w:lineRule="auto"/>
        <w:rPr/>
      </w:pPr>
      <w:r w:rsidDel="00000000" w:rsidR="00000000" w:rsidRPr="00000000">
        <w:rPr>
          <w:b w:val="1"/>
          <w:bCs w:val="1"/>
          <w:rtl w:val="0"/>
        </w:rPr>
        <w:t xml:space="preserve">2. Extensibility (AI Advantage):</w:t>
      </w:r>
      <w:r w:rsidDel="00000000" w:rsidR="00000000" w:rsidRPr="00000000">
        <w:rPr>
          <w:rtl w:val="0"/>
        </w:rPr>
        <w:t xml:space="preserve"> Few-shot fine-tuning on LAE/LBG using </w:t>
      </w:r>
      <w:sdt>
        <w:sdtPr>
          <w:id w:val="444032698"/>
          <w:tag w:val="goog_rdk_6"/>
        </w:sdtPr>
        <w:sdtContent>
          <w:r w:rsidDel="00000000" w:rsidR="00000000" w:rsidRPr="00000000">
            <w:rPr>
              <w:rFonts w:ascii="Gungsuh" w:cs="Gungsuh" w:eastAsia="Gungsuh" w:hAnsi="Gungsuh"/>
              <w:b w:val="1"/>
              <w:bCs w:val="1"/>
              <w:rtl w:val="0"/>
            </w:rPr>
            <w:t xml:space="preserve">≤ </w:t>
          </w:r>
        </w:sdtContent>
      </w:sdt>
      <w:r w:rsidDel="00000000" w:rsidR="00000000" w:rsidRPr="00000000">
        <w:rPr>
          <w:b w:val="1"/>
          <w:bCs w:val="1"/>
          <w:rtl w:val="0"/>
        </w:rPr>
        <w:t xml:space="preserve">5,000 examples</w:t>
      </w:r>
      <w:r w:rsidDel="00000000" w:rsidR="00000000" w:rsidRPr="00000000">
        <w:rPr>
          <w:rtl w:val="0"/>
        </w:rPr>
        <w:t xml:space="preserve"> must achieve classification accuracy </w:t>
      </w:r>
      <w:r w:rsidDel="00000000" w:rsidR="00000000" w:rsidRPr="00000000">
        <w:rPr>
          <w:b w:val="1"/>
          <w:bCs w:val="1"/>
          <w:rtl w:val="0"/>
        </w:rPr>
        <w:t xml:space="preserve">within 10%</w:t>
      </w:r>
      <w:r w:rsidDel="00000000" w:rsidR="00000000" w:rsidRPr="00000000">
        <w:rPr>
          <w:rtl w:val="0"/>
        </w:rPr>
        <w:t xml:space="preserve"> of </w:t>
      </w:r>
      <w:r w:rsidDel="00000000" w:rsidR="00000000" w:rsidRPr="00000000">
        <w:rPr>
          <w:rtl w:val="0"/>
        </w:rPr>
        <w:t xml:space="preserve">a specialized algorithm</w:t>
      </w:r>
      <w:r w:rsidDel="00000000" w:rsidR="00000000" w:rsidRPr="00000000">
        <w:rPr>
          <w:rtl w:val="0"/>
        </w:rPr>
        <w:t xml:space="preserve"> without degrading the model performance on the original targets (ELG, LRG, QSO, MWS). This quantifies the value of the extensible foundation capability.</w:t>
      </w:r>
    </w:p>
    <w:p w:rsidR="00000000" w:rsidDel="00000000" w:rsidP="00000000" w:rsidRDefault="00000000" w:rsidRPr="00000000" w14:paraId="00000068">
      <w:pPr>
        <w:spacing w:before="0" w:lineRule="auto"/>
        <w:rPr/>
      </w:pPr>
      <w:r w:rsidDel="00000000" w:rsidR="00000000" w:rsidRPr="00000000">
        <w:rPr>
          <w:b w:val="1"/>
          <w:bCs w:val="1"/>
          <w:rtl w:val="0"/>
        </w:rPr>
        <w:t xml:space="preserve">3. Scaling Behavior:</w:t>
      </w:r>
      <w:r w:rsidDel="00000000" w:rsidR="00000000" w:rsidRPr="00000000">
        <w:rPr>
          <w:rtl w:val="0"/>
        </w:rPr>
        <w:t xml:space="preserve"> Empirical scaling curves relating model performance to training data size and compute (FLOPs) must show </w:t>
      </w:r>
      <w:r w:rsidDel="00000000" w:rsidR="00000000" w:rsidRPr="00000000">
        <w:rPr>
          <w:b w:val="1"/>
          <w:bCs w:val="1"/>
          <w:rtl w:val="0"/>
        </w:rPr>
        <w:t xml:space="preserve">positive power-law trends</w:t>
      </w:r>
      <w:r w:rsidDel="00000000" w:rsidR="00000000" w:rsidRPr="00000000">
        <w:rPr>
          <w:rtl w:val="0"/>
        </w:rPr>
        <w:t xml:space="preserve">, indicating continued improvement with resource application and providing quantitative justification for Phase II investment.</w:t>
      </w:r>
    </w:p>
    <w:p w:rsidR="00000000" w:rsidDel="00000000" w:rsidP="00000000" w:rsidRDefault="00000000" w:rsidRPr="00000000" w14:paraId="00000069">
      <w:pPr>
        <w:pStyle w:val="Heading2"/>
        <w:rPr/>
      </w:pPr>
      <w:bookmarkStart w:colFirst="0" w:colLast="0" w:name="_heading=h.al32uaptmrow" w:id="1"/>
      <w:bookmarkEnd w:id="1"/>
      <w:r w:rsidDel="00000000" w:rsidR="00000000" w:rsidRPr="00000000">
        <w:rPr>
          <w:rtl w:val="0"/>
        </w:rPr>
        <w:t xml:space="preserve">7. Acknowledgements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AI models (Gemini, Claude) were used to develop, refine, and condense the narrative text.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Post submission comment: We should include a flowchart like this: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before="0" w:lineRule="auto"/>
        <w:rPr/>
      </w:pPr>
      <w:r w:rsidDel="00000000" w:rsidR="00000000" w:rsidRPr="00000000">
        <w:rPr>
          <w:rtl w:val="0"/>
        </w:rPr>
        <w:t xml:space="preserve"> </w:t>
      </w:r>
    </w:p>
    <w:p w:rsidR="00000000" w:rsidDel="00000000" w:rsidP="00000000" w:rsidRDefault="00000000" w:rsidRPr="00000000" w14:paraId="0000006F">
      <w:pPr>
        <w:spacing w:before="0" w:lineRule="auto"/>
        <w:rPr/>
      </w:pPr>
      <w:r w:rsidDel="00000000" w:rsidR="00000000" w:rsidRPr="00000000">
        <w:rPr>
          <w:rtl w:val="0"/>
        </w:rPr>
        <w:t xml:space="preserve"> </w:t>
      </w:r>
    </w:p>
    <w:p w:rsidR="00000000" w:rsidDel="00000000" w:rsidP="00000000" w:rsidRDefault="00000000" w:rsidRPr="00000000" w14:paraId="00000070">
      <w:pPr>
        <w:pStyle w:val="Heading1"/>
        <w:jc w:val="center"/>
        <w:rPr>
          <w:rFonts w:ascii="Calibri" w:cs="Calibri" w:eastAsia="Calibri" w:hAnsi="Calibri"/>
        </w:rPr>
      </w:pPr>
      <w:bookmarkStart w:colFirst="0" w:colLast="0" w:name="_heading=h.clay94ivtn0f" w:id="2"/>
      <w:bookmarkEnd w:id="2"/>
      <w:r w:rsidDel="00000000" w:rsidR="00000000" w:rsidRPr="00000000">
        <w:rPr/>
        <w:drawing>
          <wp:inline distB="114300" distT="114300" distL="114300" distR="114300">
            <wp:extent cx="5943600" cy="3949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1"/>
        <w:jc w:val="center"/>
        <w:rPr/>
      </w:pPr>
      <w:bookmarkStart w:colFirst="0" w:colLast="0" w:name="_heading=h.skv5rnymtmq1" w:id="3"/>
      <w:bookmarkEnd w:id="3"/>
      <w:r w:rsidDel="00000000" w:rsidR="00000000" w:rsidRPr="00000000">
        <w:rPr>
          <w:rFonts w:ascii="Calibri" w:cs="Calibri" w:eastAsia="Calibri" w:hAnsi="Calibri"/>
          <w:sz w:val="20"/>
          <w:szCs w:val="20"/>
          <w:rtl w:val="0"/>
        </w:rPr>
        <w:t xml:space="preserve">Figure 1. </w:t>
      </w:r>
      <w:r w:rsidDel="00000000" w:rsidR="00000000" w:rsidRPr="00000000">
        <w:rPr>
          <w:rFonts w:ascii="Calibri" w:cs="Calibri" w:eastAsia="Calibri" w:hAnsi="Calibri"/>
          <w:b w:val="0"/>
          <w:bCs w:val="0"/>
          <w:i w:val="1"/>
          <w:iCs w:val="1"/>
          <w:sz w:val="20"/>
          <w:szCs w:val="20"/>
          <w:rtl w:val="0"/>
        </w:rPr>
        <w:t xml:space="preserve">SpectrumFM training pipeline. Stage 1 pre-trains the encoder on the full ~60M DESI spectral corpus under three joint objectives (MSM, auxiliary redshift head, physical prior regularization). Stage 2 aligns the pre-trained encoder to expert judgment in two complementary sub-stages — SFT against VI redshifts, then preference learning over ranked candidates for confidence calibration. Stage 3 extends the same encoder to the LBG and LAE classes via few-shot fine-tuning (≤5,000 examples per class). The resulting single model serves all six target classes and is further validated on strong-lens identification and supernova typing.</w:t>
      </w:r>
      <w:r w:rsidDel="00000000" w:rsidR="00000000" w:rsidRPr="00000000">
        <w:br w:type="page"/>
      </w:r>
      <w:r w:rsidDel="00000000" w:rsidR="00000000" w:rsidRPr="00000000">
        <w:rPr>
          <w:rtl w:val="0"/>
        </w:rPr>
        <w:t xml:space="preserve">Appendix 1. Bibliography and References Cited</w:t>
      </w:r>
    </w:p>
    <w:p w:rsidR="00000000" w:rsidDel="00000000" w:rsidP="00000000" w:rsidRDefault="00000000" w:rsidRPr="00000000" w14:paraId="00000072">
      <w:pPr>
        <w:pStyle w:val="Heading1"/>
        <w:spacing w:after="240" w:before="240" w:lineRule="auto"/>
        <w:rPr>
          <w:b w:val="0"/>
          <w:bCs w:val="0"/>
          <w:sz w:val="22"/>
          <w:szCs w:val="22"/>
        </w:rPr>
      </w:pPr>
      <w:bookmarkStart w:colFirst="0" w:colLast="0" w:name="_heading=h.idpbw2jl24rs" w:id="4"/>
      <w:bookmarkEnd w:id="4"/>
      <w:r w:rsidDel="00000000" w:rsidR="00000000" w:rsidRPr="00000000">
        <w:rPr>
          <w:b w:val="0"/>
          <w:bCs w:val="0"/>
          <w:sz w:val="22"/>
          <w:szCs w:val="22"/>
          <w:rtl w:val="0"/>
        </w:rPr>
        <w:t xml:space="preserve">Alexander, D. M., Davis, T. M., Chaussidon, E., et al. (DESI Collaboration), 2023, “The DESI Survey Validation: Results from Visual Inspection of the Quasar Survey Spectra,” </w:t>
      </w:r>
      <w:r w:rsidDel="00000000" w:rsidR="00000000" w:rsidRPr="00000000">
        <w:rPr>
          <w:b w:val="0"/>
          <w:bCs w:val="0"/>
          <w:i w:val="1"/>
          <w:iCs w:val="1"/>
          <w:sz w:val="22"/>
          <w:szCs w:val="22"/>
          <w:rtl w:val="0"/>
        </w:rPr>
        <w:t xml:space="preserve">The Astronomical Journal</w:t>
      </w:r>
      <w:r w:rsidDel="00000000" w:rsidR="00000000" w:rsidRPr="00000000">
        <w:rPr>
          <w:b w:val="0"/>
          <w:bCs w:val="0"/>
          <w:sz w:val="22"/>
          <w:szCs w:val="22"/>
          <w:rtl w:val="0"/>
        </w:rPr>
        <w:t xml:space="preserve">, 165, 124.</w:t>
      </w:r>
    </w:p>
    <w:p w:rsidR="00000000" w:rsidDel="00000000" w:rsidP="00000000" w:rsidRDefault="00000000" w:rsidRPr="00000000" w14:paraId="00000073">
      <w:pPr>
        <w:pStyle w:val="Heading1"/>
        <w:spacing w:after="240" w:before="240" w:lineRule="auto"/>
        <w:rPr>
          <w:b w:val="0"/>
          <w:bCs w:val="0"/>
          <w:sz w:val="22"/>
          <w:szCs w:val="22"/>
        </w:rPr>
      </w:pPr>
      <w:bookmarkStart w:colFirst="0" w:colLast="0" w:name="_heading=h.idpbw2jl24rs" w:id="4"/>
      <w:bookmarkEnd w:id="4"/>
      <w:r w:rsidDel="00000000" w:rsidR="00000000" w:rsidRPr="00000000">
        <w:rPr>
          <w:b w:val="0"/>
          <w:bCs w:val="0"/>
          <w:sz w:val="22"/>
          <w:szCs w:val="22"/>
          <w:rtl w:val="0"/>
        </w:rPr>
        <w:t xml:space="preserve">DESI Collaboration, Aghamousa, A., Aguilar, J., et al., 2016, “The DESI Experiment Part I: Science, Targeting, and Survey Design,” arXiv:1611.00036.</w:t>
      </w:r>
    </w:p>
    <w:p w:rsidR="00000000" w:rsidDel="00000000" w:rsidP="00000000" w:rsidRDefault="00000000" w:rsidRPr="00000000" w14:paraId="00000074">
      <w:pPr>
        <w:pStyle w:val="Heading1"/>
        <w:spacing w:after="240" w:before="240" w:lineRule="auto"/>
        <w:rPr/>
      </w:pPr>
      <w:bookmarkStart w:colFirst="0" w:colLast="0" w:name="_heading=h.idpbw2jl24rs" w:id="4"/>
      <w:bookmarkEnd w:id="4"/>
      <w:r w:rsidDel="00000000" w:rsidR="00000000" w:rsidRPr="00000000">
        <w:rPr>
          <w:b w:val="0"/>
          <w:bCs w:val="0"/>
          <w:sz w:val="22"/>
          <w:szCs w:val="22"/>
          <w:rtl w:val="0"/>
        </w:rPr>
        <w:t xml:space="preserve">Hsu, Y-M, Huang, X., et al., 2026, “A New Way to Discover Strong Gravitational Lenses: Pairwise Spectroscopic Search from DESI DR1,” </w:t>
      </w:r>
      <w:r w:rsidDel="00000000" w:rsidR="00000000" w:rsidRPr="00000000">
        <w:rPr>
          <w:b w:val="0"/>
          <w:bCs w:val="0"/>
          <w:i w:val="1"/>
          <w:iCs w:val="1"/>
          <w:sz w:val="22"/>
          <w:szCs w:val="22"/>
          <w:rtl w:val="0"/>
        </w:rPr>
        <w:t xml:space="preserve">The Astrophysical Journal Supplement Series</w:t>
      </w:r>
      <w:r w:rsidDel="00000000" w:rsidR="00000000" w:rsidRPr="00000000">
        <w:rPr>
          <w:b w:val="0"/>
          <w:bCs w:val="0"/>
          <w:sz w:val="22"/>
          <w:szCs w:val="22"/>
          <w:rtl w:val="0"/>
        </w:rPr>
        <w:t xml:space="preserve">, 282 41</w:t>
      </w:r>
      <w:r w:rsidDel="00000000" w:rsidR="00000000" w:rsidRPr="00000000">
        <w:rPr>
          <w:rtl w:val="0"/>
        </w:rPr>
      </w:r>
    </w:p>
    <w:p w:rsidR="00000000" w:rsidDel="00000000" w:rsidP="00000000" w:rsidRDefault="00000000" w:rsidRPr="00000000" w14:paraId="00000075">
      <w:pPr>
        <w:pStyle w:val="Heading1"/>
        <w:spacing w:after="240" w:before="240" w:lineRule="auto"/>
        <w:rPr>
          <w:b w:val="0"/>
          <w:bCs w:val="0"/>
          <w:sz w:val="22"/>
          <w:szCs w:val="22"/>
        </w:rPr>
      </w:pPr>
      <w:bookmarkStart w:colFirst="0" w:colLast="0" w:name="_heading=h.idpbw2jl24rs" w:id="4"/>
      <w:bookmarkEnd w:id="4"/>
      <w:r w:rsidDel="00000000" w:rsidR="00000000" w:rsidRPr="00000000">
        <w:rPr>
          <w:b w:val="0"/>
          <w:bCs w:val="0"/>
          <w:sz w:val="22"/>
          <w:szCs w:val="22"/>
          <w:rtl w:val="0"/>
        </w:rPr>
        <w:t xml:space="preserve">Lan, T.-W., Tojeiro, R., Armengaud, E., et al. (DESI Collaboration), 2023, “The DESI Survey Validation: Results from Visual Inspection of Bright Galaxies, Luminous Red Galaxies, and Emission-line Galaxies,” </w:t>
      </w:r>
      <w:r w:rsidDel="00000000" w:rsidR="00000000" w:rsidRPr="00000000">
        <w:rPr>
          <w:b w:val="0"/>
          <w:bCs w:val="0"/>
          <w:i w:val="1"/>
          <w:iCs w:val="1"/>
          <w:sz w:val="22"/>
          <w:szCs w:val="22"/>
          <w:rtl w:val="0"/>
        </w:rPr>
        <w:t xml:space="preserve">The Astrophysical Journal</w:t>
      </w:r>
      <w:r w:rsidDel="00000000" w:rsidR="00000000" w:rsidRPr="00000000">
        <w:rPr>
          <w:b w:val="0"/>
          <w:bCs w:val="0"/>
          <w:sz w:val="22"/>
          <w:szCs w:val="22"/>
          <w:rtl w:val="0"/>
        </w:rPr>
        <w:t xml:space="preserve">, 943, 68.</w:t>
      </w:r>
    </w:p>
    <w:p w:rsidR="00000000" w:rsidDel="00000000" w:rsidP="00000000" w:rsidRDefault="00000000" w:rsidRPr="00000000" w14:paraId="00000076">
      <w:pPr>
        <w:pStyle w:val="Heading1"/>
        <w:spacing w:after="240" w:before="240" w:lineRule="auto"/>
        <w:rPr>
          <w:b w:val="0"/>
          <w:bCs w:val="0"/>
          <w:sz w:val="22"/>
          <w:szCs w:val="22"/>
        </w:rPr>
      </w:pPr>
      <w:bookmarkStart w:colFirst="0" w:colLast="0" w:name="_heading=h.9ikpj4mlmd7g" w:id="5"/>
      <w:bookmarkEnd w:id="5"/>
      <w:r w:rsidDel="00000000" w:rsidR="00000000" w:rsidRPr="00000000">
        <w:rPr>
          <w:b w:val="0"/>
          <w:bCs w:val="0"/>
          <w:sz w:val="22"/>
          <w:szCs w:val="22"/>
          <w:rtl w:val="0"/>
        </w:rPr>
        <w:t xml:space="preserve">Ouyang, L., Wu, J., Jiang, X., et al., 2022, “Training Language Models to Follow Instructions with Human Feedback,” </w:t>
      </w:r>
      <w:r w:rsidDel="00000000" w:rsidR="00000000" w:rsidRPr="00000000">
        <w:rPr>
          <w:b w:val="0"/>
          <w:bCs w:val="0"/>
          <w:i w:val="1"/>
          <w:iCs w:val="1"/>
          <w:sz w:val="22"/>
          <w:szCs w:val="22"/>
          <w:rtl w:val="0"/>
        </w:rPr>
        <w:t xml:space="preserve">Advances in Neural Information Processing Systems</w:t>
      </w:r>
      <w:r w:rsidDel="00000000" w:rsidR="00000000" w:rsidRPr="00000000">
        <w:rPr>
          <w:b w:val="0"/>
          <w:bCs w:val="0"/>
          <w:sz w:val="22"/>
          <w:szCs w:val="22"/>
          <w:rtl w:val="0"/>
        </w:rPr>
        <w:t xml:space="preserve">, 35, 27730.</w:t>
      </w:r>
    </w:p>
    <w:p w:rsidR="00000000" w:rsidDel="00000000" w:rsidP="00000000" w:rsidRDefault="00000000" w:rsidRPr="00000000" w14:paraId="00000077">
      <w:pPr>
        <w:pStyle w:val="Heading1"/>
        <w:spacing w:after="240" w:before="240" w:lineRule="auto"/>
        <w:rPr>
          <w:b w:val="0"/>
          <w:bCs w:val="0"/>
          <w:sz w:val="22"/>
          <w:szCs w:val="22"/>
        </w:rPr>
      </w:pPr>
      <w:bookmarkStart w:colFirst="0" w:colLast="0" w:name="_heading=h.idpbw2jl24rs" w:id="4"/>
      <w:bookmarkEnd w:id="4"/>
      <w:r w:rsidDel="00000000" w:rsidR="00000000" w:rsidRPr="00000000">
        <w:rPr>
          <w:b w:val="0"/>
          <w:bCs w:val="0"/>
          <w:sz w:val="22"/>
          <w:szCs w:val="22"/>
          <w:rtl w:val="0"/>
        </w:rPr>
        <w:t xml:space="preserve">Parker, L., et al. (Polymathic-AI Collaboration), 2025, “AION-1: Omnimodal Foundation Model for Astronomical Sciences,” arXiv:2510.17960.</w:t>
      </w:r>
    </w:p>
    <w:p w:rsidR="00000000" w:rsidDel="00000000" w:rsidP="00000000" w:rsidRDefault="00000000" w:rsidRPr="00000000" w14:paraId="00000078">
      <w:pPr>
        <w:pStyle w:val="Heading1"/>
        <w:spacing w:after="240" w:before="240" w:lineRule="auto"/>
        <w:rPr>
          <w:b w:val="0"/>
          <w:bCs w:val="0"/>
          <w:sz w:val="22"/>
          <w:szCs w:val="22"/>
        </w:rPr>
      </w:pPr>
      <w:bookmarkStart w:colFirst="0" w:colLast="0" w:name="_heading=h.5q4q6t11d3kx" w:id="6"/>
      <w:bookmarkEnd w:id="6"/>
      <w:r w:rsidDel="00000000" w:rsidR="00000000" w:rsidRPr="00000000">
        <w:rPr>
          <w:b w:val="0"/>
          <w:bCs w:val="0"/>
          <w:sz w:val="22"/>
          <w:szCs w:val="22"/>
          <w:rtl w:val="0"/>
        </w:rPr>
        <w:t xml:space="preserve">Weaverdyck, N., et al. (DESI Collaboration), in preparation, "Visual Inspection of the DESI Steel Program Spectra."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spacing w:after="240" w:before="240" w:lineRule="auto"/>
        <w:jc w:val="center"/>
        <w:rPr/>
      </w:pPr>
      <w:bookmarkStart w:colFirst="0" w:colLast="0" w:name="_heading=h.jhctc9ipq2tu" w:id="7"/>
      <w:bookmarkEnd w:id="7"/>
      <w:r w:rsidDel="00000000" w:rsidR="00000000" w:rsidRPr="00000000">
        <w:rPr>
          <w:rtl w:val="0"/>
        </w:rPr>
        <w:t xml:space="preserve">APPENDIX 2: FACILITIES &amp; OTHER RESOURCES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Computing: NERSC (Primary).</w:t>
      </w:r>
      <w:r w:rsidDel="00000000" w:rsidR="00000000" w:rsidRPr="00000000">
        <w:rPr>
          <w:rtl w:val="0"/>
        </w:rPr>
        <w:t xml:space="preserve"> The dominant computational resource for this project is the National Energy Research Scientific Computing Center (NERSC) at Lawrence Berkeley National Laboratory, a DOE Office of Science user facility. All pre-training, fine-tuning, and human-alignment stages of SpectrumFM will be executed on NERSC's Perlmutter system, an HPE Cray EX supercomputer whose GPU partition comprises NVIDIA A100 accelerators interconnected with HPE Slingshot and backed by a multi-tier Community File System and all-flash scratch. Perlmutter is purpose-built for large-scale AI training at the scales required by this project — model sizes from ~100M to ~1B parameters trained on a ~50M-spectrum DESI corpus (plus ~10M stellar spectra) — and is co-located with the DESI data archive, eliminating data-egress cost and latency. The full DESI DR1 release and subsequent internal releases are already hosted at NERSC, and key personnel (Dr. Bailey, LBNL) are DESI collaboration members authorized to sponsor external collaborator access for non-members on the team.</w:t>
      </w:r>
    </w:p>
    <w:p w:rsidR="00000000" w:rsidDel="00000000" w:rsidP="00000000" w:rsidRDefault="00000000" w:rsidRPr="00000000" w14:paraId="00000088">
      <w:pPr>
        <w:spacing w:after="240" w:before="240" w:lineRule="auto"/>
        <w:rPr/>
      </w:pPr>
      <w:r w:rsidDel="00000000" w:rsidR="00000000" w:rsidRPr="00000000">
        <w:rPr>
          <w:rtl w:val="0"/>
        </w:rPr>
        <w:t xml:space="preserve">NERSC access for this project is confirmed by the attached letter of collaboration in Appendix 7 from </w:t>
      </w:r>
      <w:r w:rsidDel="00000000" w:rsidR="00000000" w:rsidRPr="00000000">
        <w:rPr>
          <w:b w:val="1"/>
          <w:bCs w:val="1"/>
          <w:rtl w:val="0"/>
        </w:rPr>
        <w:t xml:space="preserve">Dr. Wahid Bhimji, Division Deputy for AI and Science, NERSC (Lawrence Berkeley National Laboratory)</w:t>
      </w:r>
      <w:r w:rsidDel="00000000" w:rsidR="00000000" w:rsidRPr="00000000">
        <w:rPr>
          <w:rtl w:val="0"/>
        </w:rPr>
        <w:t xml:space="preserve">, stating that NERSC intends to collaborate by providing access to NERSC systems and AI expertise aligned with NERSC's mission and allocation processes, including the Director's Discretionary Reserve if appropriate.</w:t>
      </w:r>
      <w:r w:rsidDel="00000000" w:rsidR="00000000" w:rsidRPr="00000000">
        <w:rPr>
          <w:rtl w:val="0"/>
        </w:rPr>
        <w:t xml:space="preserve"> </w:t>
      </w:r>
      <w:r w:rsidDel="00000000" w:rsidR="00000000" w:rsidRPr="00000000">
        <w:rPr>
          <w:rtl w:val="0"/>
        </w:rPr>
        <w:t xml:space="preserve">The team intends to apply for an ERCAP allocation for FY26 covering pre-training and scaling studies on Perlmutter, with Director's Reserve time available as a bridge for initial small-scale runs (Months 1–3) pending the formal allocation cycle. The project is also well-positioned to migrate to </w:t>
      </w:r>
      <w:r w:rsidDel="00000000" w:rsidR="00000000" w:rsidRPr="00000000">
        <w:rPr>
          <w:b w:val="1"/>
          <w:bCs w:val="1"/>
          <w:rtl w:val="0"/>
        </w:rPr>
        <w:t xml:space="preserve">Doudna (NERSC-10)</w:t>
      </w:r>
      <w:r w:rsidDel="00000000" w:rsidR="00000000" w:rsidRPr="00000000">
        <w:rPr>
          <w:rtl w:val="0"/>
        </w:rPr>
        <w:t xml:space="preserve">, NERSC's next flagship system entering production at LBNL in late 2026 and designed to deliver at least 10× Perlmutter's performance — aligning with the anticipated start of Phase II and providing a clear scaling path for SpectrumFM to larger model sizes and next-generation surveys. NERSC also hosts the Genesis Mission data platform capabilities expected of selected projects, enabling compliant sharing of trained checkpoints and metadata with other Consortium teams.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spacing w:after="240" w:before="240" w:lineRule="auto"/>
        <w:jc w:val="center"/>
        <w:rPr/>
      </w:pPr>
      <w:bookmarkStart w:colFirst="0" w:colLast="0" w:name="_heading=h.hchlotdp9qkk" w:id="8"/>
      <w:bookmarkEnd w:id="8"/>
      <w:r w:rsidDel="00000000" w:rsidR="00000000" w:rsidRPr="00000000">
        <w:rPr>
          <w:rtl w:val="0"/>
        </w:rPr>
        <w:t xml:space="preserve">APPENDIX 3: EQUIPMENT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N/A.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spacing w:after="240" w:before="240" w:lineRule="auto"/>
        <w:jc w:val="center"/>
        <w:rPr/>
      </w:pPr>
      <w:bookmarkStart w:colFirst="0" w:colLast="0" w:name="_heading=h.s2ith6qrmvza" w:id="9"/>
      <w:bookmarkEnd w:id="9"/>
      <w:r w:rsidDel="00000000" w:rsidR="00000000" w:rsidRPr="00000000">
        <w:rPr>
          <w:rtl w:val="0"/>
        </w:rPr>
        <w:t xml:space="preserve">APPENDIX 4: DATA MANAGEMENT AND SHARING PLAN</w:t>
      </w:r>
    </w:p>
    <w:p w:rsidR="00000000" w:rsidDel="00000000" w:rsidP="00000000" w:rsidRDefault="00000000" w:rsidRPr="00000000" w14:paraId="000000AE">
      <w:pPr>
        <w:rPr/>
      </w:pPr>
      <w:r w:rsidDel="00000000" w:rsidR="00000000" w:rsidRPr="00000000">
        <w:rPr>
          <w:rtl w:val="0"/>
        </w:rPr>
        <w:t xml:space="preserve">Not required at this time.</w:t>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vcastillo@usfca.edu"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ws6EbTiA9VA4+QCVUbuS3jh3Ag==">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