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</w:rPr>
        <w:drawing>
          <wp:inline distB="114300" distT="114300" distL="114300" distR="114300">
            <wp:extent cx="5943600" cy="4178300"/>
            <wp:effectExtent b="0" l="0" r="0" t="0"/>
            <wp:docPr descr="baseline.jpg" id="6" name="image14.jpg"/>
            <a:graphic>
              <a:graphicData uri="http://schemas.openxmlformats.org/drawingml/2006/picture">
                <pic:pic>
                  <pic:nvPicPr>
                    <pic:cNvPr descr="baseline.jpg"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rtl w:val="0"/>
        </w:rPr>
        <w:t xml:space="preserve">Figure 1.  First prototype developed based on survey results from students.   This early functional version was tested by students.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</w:rPr>
        <w:drawing>
          <wp:inline distB="114300" distT="114300" distL="114300" distR="114300">
            <wp:extent cx="5943600" cy="4178300"/>
            <wp:effectExtent b="0" l="0" r="0" t="0"/>
            <wp:docPr descr="PrototypeTab1.jpg" id="2" name="image8.jpg"/>
            <a:graphic>
              <a:graphicData uri="http://schemas.openxmlformats.org/drawingml/2006/picture">
                <pic:pic>
                  <pic:nvPicPr>
                    <pic:cNvPr descr="PrototypeTab1.jpg"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rtl w:val="0"/>
        </w:rPr>
        <w:t xml:space="preserve">Figure 2.  Landing page of second prototype, incorporating suggestions and recommendations made by key stakeholders, and the feedback from students who tested the first prototype.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</w:rPr>
        <w:drawing>
          <wp:inline distB="114300" distT="114300" distL="114300" distR="114300">
            <wp:extent cx="5943600" cy="4178300"/>
            <wp:effectExtent b="0" l="0" r="0" t="0"/>
            <wp:docPr descr="PrototypeTab2.jpg" id="7" name="image15.jpg"/>
            <a:graphic>
              <a:graphicData uri="http://schemas.openxmlformats.org/drawingml/2006/picture">
                <pic:pic>
                  <pic:nvPicPr>
                    <pic:cNvPr descr="PrototypeTab2.jpg"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rtl w:val="0"/>
        </w:rPr>
        <w:t xml:space="preserve">Figure 3.   Screenshot of the second tab of the prototype interface.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</w:rPr>
        <w:drawing>
          <wp:inline distB="114300" distT="114300" distL="114300" distR="114300">
            <wp:extent cx="5943600" cy="4660900"/>
            <wp:effectExtent b="0" l="0" r="0" t="0"/>
            <wp:docPr descr="PrototypeTab3.jpg" id="1" name="image7.jpg"/>
            <a:graphic>
              <a:graphicData uri="http://schemas.openxmlformats.org/drawingml/2006/picture">
                <pic:pic>
                  <pic:nvPicPr>
                    <pic:cNvPr descr="PrototypeTab3.jpg"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rtl w:val="0"/>
        </w:rPr>
        <w:t xml:space="preserve">Figure 4. Screenshot of the third tab of the prototype interface.  This third tab highlights the chat functionality of the prototype.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</w:rPr>
        <w:drawing>
          <wp:inline distB="114300" distT="114300" distL="114300" distR="114300">
            <wp:extent cx="5285422" cy="7542738"/>
            <wp:effectExtent b="0" l="0" r="0" t="0"/>
            <wp:docPr descr="PrototypeTab4.jpg" id="3" name="image11.jpg"/>
            <a:graphic>
              <a:graphicData uri="http://schemas.openxmlformats.org/drawingml/2006/picture">
                <pic:pic>
                  <pic:nvPicPr>
                    <pic:cNvPr descr="PrototypeTab4.jpg"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5422" cy="754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rtl w:val="0"/>
        </w:rPr>
        <w:t xml:space="preserve">Figure 5.  Screenshot of the fourth tab of the prototype interface.  This tab highlights the knowledge-base features of the prototype.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</w:rPr>
        <w:drawing>
          <wp:inline distB="114300" distT="114300" distL="114300" distR="114300">
            <wp:extent cx="5943600" cy="4660900"/>
            <wp:effectExtent b="0" l="0" r="0" t="0"/>
            <wp:docPr descr="PrototypeFAQ1.jpg" id="8" name="image16.jpg"/>
            <a:graphic>
              <a:graphicData uri="http://schemas.openxmlformats.org/drawingml/2006/picture">
                <pic:pic>
                  <pic:nvPicPr>
                    <pic:cNvPr descr="PrototypeFAQ1.jpg" id="0" name="image1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rtl w:val="0"/>
        </w:rPr>
        <w:t xml:space="preserve">Figure 6.  Screenshot of example FAQ generated from clicking on a selected link from the </w:t>
      </w:r>
      <w:r w:rsidDel="00000000" w:rsidR="00000000" w:rsidRPr="00000000">
        <w:rPr>
          <w:rFonts w:ascii="Droid Sans" w:cs="Droid Sans" w:eastAsia="Droid Sans" w:hAnsi="Droid Sans"/>
          <w:color w:val="434343"/>
          <w:rtl w:val="0"/>
        </w:rPr>
        <w:t xml:space="preserve">knowledge-base.  Note how the menu on the left -- offices associated with the topic-- adjusts to reflect only those offices that are relevant to the topic at hand.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</w:rPr>
        <w:drawing>
          <wp:inline distB="114300" distT="114300" distL="114300" distR="114300">
            <wp:extent cx="5943600" cy="5473700"/>
            <wp:effectExtent b="0" l="0" r="0" t="0"/>
            <wp:docPr descr="PrototypeFAQ2a.jpg" id="4" name="image12.jpg"/>
            <a:graphic>
              <a:graphicData uri="http://schemas.openxmlformats.org/drawingml/2006/picture">
                <pic:pic>
                  <pic:nvPicPr>
                    <pic:cNvPr descr="PrototypeFAQ2a.jpg"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rtl w:val="0"/>
        </w:rPr>
        <w:t xml:space="preserve">Figure 7.  Screenshot of a second FAQ generated from clicking on the knowledge-base screen. Note the customized menu on the left.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</w:rPr>
        <w:drawing>
          <wp:inline distB="114300" distT="114300" distL="114300" distR="114300">
            <wp:extent cx="5943600" cy="4826000"/>
            <wp:effectExtent b="0" l="0" r="0" t="0"/>
            <wp:docPr descr="PrototypeFAQ3.jpg" id="5" name="image13.jpg"/>
            <a:graphic>
              <a:graphicData uri="http://schemas.openxmlformats.org/drawingml/2006/picture">
                <pic:pic>
                  <pic:nvPicPr>
                    <pic:cNvPr descr="PrototypeFAQ3.jpg"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Fonts w:ascii="Droid Sans" w:cs="Droid Sans" w:eastAsia="Droid Sans" w:hAnsi="Droid Sans"/>
          <w:color w:val="434343"/>
          <w:rtl w:val="0"/>
        </w:rPr>
        <w:t xml:space="preserve">Figure 8. Screenshot of FAQ generated from selection of a knowledge-base article.  As in the examples before, note the customized menu on the left in alignment with the topic.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Droid Sans" w:cs="Droid Sans" w:eastAsia="Droid Sans" w:hAnsi="Droid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31.2" w:lineRule="auto"/>
        <w:contextualSpacing w:val="0"/>
        <w:rPr>
          <w:rFonts w:ascii="Droid Sans" w:cs="Droid Sans" w:eastAsia="Droid Sans" w:hAnsi="Droid Sans"/>
          <w:color w:val="434343"/>
          <w:highlight w:val="white"/>
        </w:rPr>
      </w:pPr>
      <w:r w:rsidDel="00000000" w:rsidR="00000000" w:rsidRPr="00000000">
        <w:rPr>
          <w:rtl w:val="0"/>
        </w:rPr>
      </w:r>
    </w:p>
    <w:sectPr>
      <w:footerReference r:id="rId14" w:type="default"/>
      <w:footerReference r:id="rId15" w:type="first"/>
      <w:pgSz w:h="15840" w:w="12240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Droid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>
        <w:b w:val="1"/>
        <w:color w:val="38761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jpg"/><Relationship Id="rId10" Type="http://schemas.openxmlformats.org/officeDocument/2006/relationships/image" Target="media/image11.jpg"/><Relationship Id="rId13" Type="http://schemas.openxmlformats.org/officeDocument/2006/relationships/image" Target="media/image13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4.jpg"/><Relationship Id="rId7" Type="http://schemas.openxmlformats.org/officeDocument/2006/relationships/image" Target="media/image8.jpg"/><Relationship Id="rId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