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ED" w:rsidRPr="00DD41ED" w:rsidRDefault="00DD41ED" w:rsidP="00DD41ED">
      <w:pPr>
        <w:pStyle w:val="Heading1"/>
        <w:numPr>
          <w:ilvl w:val="0"/>
          <w:numId w:val="0"/>
        </w:numPr>
      </w:pPr>
      <w:bookmarkStart w:id="0" w:name="_Toc364765832"/>
      <w:r w:rsidRPr="00DD41ED">
        <w:t xml:space="preserve">Connecting to </w:t>
      </w:r>
      <w:r w:rsidR="0056634B">
        <w:t xml:space="preserve">a </w:t>
      </w:r>
      <w:proofErr w:type="spellStart"/>
      <w:r w:rsidRPr="00DD41ED">
        <w:t>Shapefile</w:t>
      </w:r>
      <w:proofErr w:type="spellEnd"/>
      <w:r w:rsidRPr="00DD41ED">
        <w:t xml:space="preserve"> </w:t>
      </w:r>
      <w:r w:rsidR="0056634B">
        <w:t>data source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 xml:space="preserve">First, place the </w:t>
      </w:r>
      <w:proofErr w:type="spellStart"/>
      <w:r w:rsidRPr="00DD41ED">
        <w:t>shapefile</w:t>
      </w:r>
      <w:proofErr w:type="spellEnd"/>
      <w:r w:rsidRPr="00DD41ED">
        <w:t xml:space="preserve"> of the intended data source in a file location that can be accessed by your GeoServer instance. For the following example file location, a folder named “shapefiles” was created to house shapefiles in the </w:t>
      </w:r>
      <w:proofErr w:type="spellStart"/>
      <w:r w:rsidRPr="00DD41ED">
        <w:t>geoserver</w:t>
      </w:r>
      <w:proofErr w:type="spellEnd"/>
      <w:r w:rsidRPr="00DD41ED">
        <w:t xml:space="preserve"> installation directory: %</w:t>
      </w:r>
      <w:proofErr w:type="spellStart"/>
      <w:r w:rsidRPr="00DD41ED">
        <w:t>installLocation</w:t>
      </w:r>
      <w:proofErr w:type="spellEnd"/>
      <w:r w:rsidRPr="00DD41ED">
        <w:t>%\</w:t>
      </w:r>
      <w:proofErr w:type="spellStart"/>
      <w:r w:rsidRPr="00DD41ED">
        <w:t>geoserver</w:t>
      </w:r>
      <w:proofErr w:type="spellEnd"/>
      <w:r w:rsidRPr="00DD41ED">
        <w:t>\data\shapefiles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57FB6" wp14:editId="64A123C9">
                <wp:simplePos x="0" y="0"/>
                <wp:positionH relativeFrom="column">
                  <wp:posOffset>243840</wp:posOffset>
                </wp:positionH>
                <wp:positionV relativeFrom="paragraph">
                  <wp:posOffset>640715</wp:posOffset>
                </wp:positionV>
                <wp:extent cx="5212080" cy="5471160"/>
                <wp:effectExtent l="0" t="0" r="26670" b="152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547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1ED" w:rsidRDefault="00DD41ED" w:rsidP="00DD41ED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CF2798" wp14:editId="4C2ECE9B">
                                  <wp:extent cx="5006340" cy="4998720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6340" cy="4998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41ED" w:rsidRDefault="00DD41ED" w:rsidP="00DD41ED">
                            <w:pPr>
                              <w:pStyle w:val="Caption"/>
                            </w:pPr>
                            <w:proofErr w:type="gramStart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Create data store for </w:t>
                            </w:r>
                            <w:proofErr w:type="spellStart"/>
                            <w:r>
                              <w:t>Shapefile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DD41ED" w:rsidRDefault="00DD41ED" w:rsidP="00DD41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50.45pt;width:410.4pt;height:4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">
                <v:textbox>
                  <w:txbxContent>
                    <w:p w:rsidR="00DD41ED" w:rsidRDefault="00DD41ED" w:rsidP="00DD41ED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CF2798" wp14:editId="4C2ECE9B">
                            <wp:extent cx="5006340" cy="4998720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6340" cy="4998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41ED" w:rsidRDefault="00DD41ED" w:rsidP="00DD41ED">
                      <w:pPr>
                        <w:pStyle w:val="Caption"/>
                      </w:pPr>
                      <w:proofErr w:type="gramStart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proofErr w:type="gramEnd"/>
                      <w:r>
                        <w:t xml:space="preserve"> Create data store for </w:t>
                      </w:r>
                      <w:proofErr w:type="spellStart"/>
                      <w:r>
                        <w:t>Shapefile</w:t>
                      </w:r>
                      <w:proofErr w:type="spellEnd"/>
                      <w:r>
                        <w:t>.</w:t>
                      </w:r>
                    </w:p>
                    <w:p w:rsidR="00DD41ED" w:rsidRDefault="00DD41ED" w:rsidP="00DD41ED"/>
                  </w:txbxContent>
                </v:textbox>
                <w10:wrap type="topAndBottom"/>
              </v:shape>
            </w:pict>
          </mc:Fallback>
        </mc:AlternateContent>
      </w:r>
      <w:r w:rsidRPr="00DD41ED">
        <w:t>On the left side of the GeoServer Web Administration Interface, under Data, click Stores. This will bring you to the Stores page.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>On the Stores page, click Add New Store. This will bring you to the New Data Source page (Figure 4).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lastRenderedPageBreak/>
        <w:t xml:space="preserve">On the New Data Source page, choose </w:t>
      </w:r>
      <w:proofErr w:type="spellStart"/>
      <w:r w:rsidRPr="00DD41ED">
        <w:t>Shapefile</w:t>
      </w:r>
      <w:proofErr w:type="spellEnd"/>
      <w:r w:rsidRPr="00DD41ED">
        <w:t xml:space="preserve"> as the source by clicking </w:t>
      </w:r>
      <w:proofErr w:type="spellStart"/>
      <w:r w:rsidRPr="00DD41ED">
        <w:t>Shapefile</w:t>
      </w:r>
      <w:proofErr w:type="spellEnd"/>
      <w:r w:rsidRPr="00DD41ED">
        <w:t>. This will bring you to the New Vector Data Source page.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>In the Workspace drop down menu, select the workspace you created in the last step.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 xml:space="preserve">Type a name for your data store in the Data Source Name field. This will be the WMS layer name and must </w:t>
      </w:r>
      <w:proofErr w:type="gramStart"/>
      <w:r w:rsidRPr="00DD41ED">
        <w:t>conform</w:t>
      </w:r>
      <w:proofErr w:type="gramEnd"/>
      <w:r w:rsidRPr="00DD41ED">
        <w:t xml:space="preserve"> the OneGeology layer naming conventions set out in the </w:t>
      </w:r>
      <w:hyperlink r:id="rId7" w:history="1">
        <w:r w:rsidRPr="00DD41ED">
          <w:rPr>
            <w:rStyle w:val="Hyperlink"/>
          </w:rPr>
          <w:t>cookbook, section 2.5</w:t>
        </w:r>
      </w:hyperlink>
      <w:r w:rsidRPr="00DD41ED">
        <w:t>.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>add a description if desired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>Make sure that the Enabled checkbox is checked.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 xml:space="preserve">Under Connection Parameters, click Browse… and navigate to the saved </w:t>
      </w:r>
      <w:proofErr w:type="spellStart"/>
      <w:r w:rsidRPr="00DD41ED">
        <w:t>shapefile</w:t>
      </w:r>
      <w:proofErr w:type="spellEnd"/>
      <w:r w:rsidRPr="00DD41ED">
        <w:t>.  The file will have to be accessible in the file system on the server that is hosting GeoServer.</w:t>
      </w:r>
    </w:p>
    <w:p w:rsidR="00DD41ED" w:rsidRPr="00DD41ED" w:rsidRDefault="00DD41ED" w:rsidP="00DD41ED">
      <w:pPr>
        <w:numPr>
          <w:ilvl w:val="0"/>
          <w:numId w:val="6"/>
        </w:numPr>
        <w:ind w:left="720" w:hanging="720"/>
      </w:pPr>
      <w:r w:rsidRPr="00DD41ED">
        <w:t>Click Save.</w:t>
      </w:r>
    </w:p>
    <w:p w:rsidR="008D79C8" w:rsidRDefault="008D79C8" w:rsidP="00DD41ED">
      <w:pPr>
        <w:pStyle w:val="Heading2"/>
        <w:numPr>
          <w:ilvl w:val="0"/>
          <w:numId w:val="0"/>
        </w:numPr>
      </w:pPr>
      <w:r>
        <w:t xml:space="preserve">Using Application Schemas </w:t>
      </w:r>
      <w:bookmarkEnd w:id="0"/>
      <w:r>
        <w:t>Extension</w:t>
      </w:r>
    </w:p>
    <w:p w:rsidR="0056634B" w:rsidRPr="0056634B" w:rsidRDefault="0056634B" w:rsidP="0056634B">
      <w:r w:rsidRPr="0056634B">
        <w:t>Shapefiles use dBase tables to contain thematic property data, and the field names in a shape file are limited to 10 characters in length. Because some of the fields in the GeoSciML-Portrayal schema are longer than 10 characters</w:t>
      </w:r>
      <w:r>
        <w:t xml:space="preserve"> a</w:t>
      </w:r>
      <w:r w:rsidRPr="0056634B">
        <w:t xml:space="preserve"> more complicated configuration utilizing </w:t>
      </w:r>
      <w:r>
        <w:t>the GeoServer</w:t>
      </w:r>
      <w:r w:rsidRPr="0056634B">
        <w:t xml:space="preserve"> </w:t>
      </w:r>
      <w:r>
        <w:t xml:space="preserve"> Application Schema extension must be used</w:t>
      </w:r>
      <w:r w:rsidRPr="0056634B">
        <w:t xml:space="preserve"> for GeoServer GeoSciML-Portrayal implementation</w:t>
      </w:r>
      <w:r>
        <w:t xml:space="preserve"> based on a </w:t>
      </w:r>
      <w:proofErr w:type="spellStart"/>
      <w:r>
        <w:t>shapefile</w:t>
      </w:r>
      <w:proofErr w:type="spellEnd"/>
      <w:r w:rsidRPr="0056634B">
        <w:t>.</w:t>
      </w:r>
      <w:r>
        <w:t xml:space="preserve">  This extension allows data sources to be configured with a mapping from field names in the data source to XML element names in the representation of that data returned by a WMS </w:t>
      </w:r>
      <w:proofErr w:type="spellStart"/>
      <w:r>
        <w:t>getFeatureInfo</w:t>
      </w:r>
      <w:proofErr w:type="spellEnd"/>
      <w:r>
        <w:t xml:space="preserve"> request.  This field name mapping is essential for enabling user-defined map legend schemes based on OGC Styled Layer Descriptor (SLD) files that expect</w:t>
      </w:r>
      <w:r w:rsidR="00E37671">
        <w:t xml:space="preserve"> GeoSciML-portrayal field names.  </w:t>
      </w:r>
    </w:p>
    <w:p w:rsidR="008D79C8" w:rsidRDefault="00E37671" w:rsidP="008D79C8">
      <w:r>
        <w:t xml:space="preserve">The application scheme extension must be </w:t>
      </w:r>
      <w:r w:rsidR="008D79C8">
        <w:t>download</w:t>
      </w:r>
      <w:r>
        <w:t xml:space="preserve">ed and installed separately, as it is not part of the standard GeoServer 2.3 installation. </w:t>
      </w:r>
      <w:r w:rsidR="008D79C8">
        <w:t xml:space="preserve"> </w:t>
      </w:r>
      <w:r>
        <w:t>Once the extension is installed, you will need to</w:t>
      </w:r>
      <w:r w:rsidR="008D79C8">
        <w:t xml:space="preserve"> create a mapping file, and restart GeoServer to enable</w:t>
      </w:r>
      <w:r>
        <w:t xml:space="preserve"> the new configuration</w:t>
      </w:r>
      <w:r w:rsidR="008D79C8">
        <w:t xml:space="preserve">. </w:t>
      </w:r>
    </w:p>
    <w:p w:rsidR="008D79C8" w:rsidRDefault="008D79C8" w:rsidP="008D79C8">
      <w:pPr>
        <w:spacing w:after="0"/>
        <w:ind w:left="360"/>
        <w:outlineLvl w:val="2"/>
      </w:pPr>
      <w:bookmarkStart w:id="1" w:name="_Toc364765833"/>
      <w:r>
        <w:t>A.7.1</w:t>
      </w:r>
      <w:r>
        <w:tab/>
        <w:t>Install Application Schema .jar Files</w:t>
      </w:r>
      <w:bookmarkEnd w:id="1"/>
    </w:p>
    <w:p w:rsidR="008D79C8" w:rsidRPr="00DD41ED" w:rsidRDefault="008D79C8" w:rsidP="00DD41ED">
      <w:r w:rsidRPr="00DD41ED">
        <w:t xml:space="preserve">See this page </w:t>
      </w:r>
      <w:hyperlink r:id="rId8" w:history="1">
        <w:r w:rsidRPr="00DD41ED">
          <w:rPr>
            <w:rStyle w:val="Hyperlink"/>
          </w:rPr>
          <w:t>http://sourceforge.net/projects/geoserver/files/GeoServer%20Extensions/</w:t>
        </w:r>
      </w:hyperlink>
      <w:r w:rsidRPr="00DD41ED">
        <w:t xml:space="preserve">  for app-schema versions and downloads.</w:t>
      </w:r>
    </w:p>
    <w:p w:rsidR="008D79C8" w:rsidRPr="00DD41ED" w:rsidRDefault="008D79C8" w:rsidP="00DD41ED">
      <w:pPr>
        <w:pStyle w:val="ListParagraph"/>
        <w:numPr>
          <w:ilvl w:val="0"/>
          <w:numId w:val="7"/>
        </w:numPr>
      </w:pPr>
      <w:r w:rsidRPr="00DD41ED">
        <w:t>Download the app-schema plugin zip file for the same version of your GeoServer instance.</w:t>
      </w:r>
    </w:p>
    <w:p w:rsidR="008D79C8" w:rsidRPr="00DD41ED" w:rsidRDefault="008D79C8" w:rsidP="00DD41ED">
      <w:pPr>
        <w:pStyle w:val="ListParagraph"/>
        <w:numPr>
          <w:ilvl w:val="0"/>
          <w:numId w:val="7"/>
        </w:numPr>
      </w:pPr>
      <w:r w:rsidRPr="00DD41ED">
        <w:t>Unzip the app-schema plugin zip file to obtain the jar files inside. Do not unzip the jar files.</w:t>
      </w:r>
    </w:p>
    <w:p w:rsidR="008D79C8" w:rsidRPr="00DD41ED" w:rsidRDefault="008D79C8" w:rsidP="00DD41ED">
      <w:pPr>
        <w:pStyle w:val="ListParagraph"/>
        <w:numPr>
          <w:ilvl w:val="0"/>
          <w:numId w:val="7"/>
        </w:numPr>
      </w:pPr>
      <w:r w:rsidRPr="00DD41ED">
        <w:t>Place the jar files in the WEB-INF/lib directory of your GeoServer installation.</w:t>
      </w:r>
    </w:p>
    <w:p w:rsidR="008D79C8" w:rsidRPr="00DD41ED" w:rsidRDefault="008D79C8" w:rsidP="00DD41ED">
      <w:pPr>
        <w:pStyle w:val="ListParagraph"/>
        <w:numPr>
          <w:ilvl w:val="0"/>
          <w:numId w:val="7"/>
        </w:numPr>
      </w:pPr>
      <w:r w:rsidRPr="00DD41ED">
        <w:t>Restart GeoServer to load the extension.</w:t>
      </w:r>
    </w:p>
    <w:p w:rsidR="008D79C8" w:rsidRDefault="008D79C8" w:rsidP="008D79C8">
      <w:pPr>
        <w:pStyle w:val="Heading3"/>
        <w:numPr>
          <w:ilvl w:val="0"/>
          <w:numId w:val="0"/>
        </w:numPr>
      </w:pPr>
      <w:bookmarkStart w:id="2" w:name="_Toc364765834"/>
      <w:r>
        <w:lastRenderedPageBreak/>
        <w:t>A.7.2</w:t>
      </w:r>
      <w:r>
        <w:tab/>
        <w:t>Create Mapping File</w:t>
      </w:r>
      <w:bookmarkEnd w:id="2"/>
    </w:p>
    <w:p w:rsidR="008D79C8" w:rsidRDefault="008D79C8" w:rsidP="009036AF">
      <w:pPr>
        <w:spacing w:after="0" w:line="240" w:lineRule="auto"/>
        <w:textAlignment w:val="baseline"/>
      </w:pPr>
      <w:r>
        <w:t xml:space="preserve">The mapping file </w:t>
      </w:r>
      <w:r w:rsidR="00E37671">
        <w:t xml:space="preserve">is an XML file that </w:t>
      </w:r>
      <w:r>
        <w:t xml:space="preserve">maps fields from the data source into the fields of the </w:t>
      </w:r>
      <w:r w:rsidR="00E37671">
        <w:t xml:space="preserve">XML output </w:t>
      </w:r>
      <w:r>
        <w:t xml:space="preserve">schema. For this example, the data source is a </w:t>
      </w:r>
      <w:proofErr w:type="spellStart"/>
      <w:r>
        <w:t>shapefile</w:t>
      </w:r>
      <w:proofErr w:type="spellEnd"/>
      <w:r>
        <w:t xml:space="preserve">; this could be used as a workflow with continuation from Section A.4.1. </w:t>
      </w:r>
      <w:r w:rsidR="009036AF">
        <w:t xml:space="preserve"> The e</w:t>
      </w:r>
      <w:r>
        <w:t>xample mapping file</w:t>
      </w:r>
      <w:r w:rsidR="009036AF">
        <w:t xml:space="preserve">, below, uses field names in a </w:t>
      </w:r>
      <w:proofErr w:type="spellStart"/>
      <w:r w:rsidR="009036AF">
        <w:t>shapefile</w:t>
      </w:r>
      <w:proofErr w:type="spellEnd"/>
      <w:r w:rsidR="009036AF">
        <w:t xml:space="preserve"> that are the automatically truncated names generated by ESRI software mapping from the long field names to the valid </w:t>
      </w:r>
      <w:proofErr w:type="spellStart"/>
      <w:r w:rsidR="009036AF">
        <w:t>Shapefile</w:t>
      </w:r>
      <w:proofErr w:type="spellEnd"/>
      <w:r w:rsidR="009036AF">
        <w:t xml:space="preserve"> field names. If other field names are used in the </w:t>
      </w:r>
      <w:proofErr w:type="spellStart"/>
      <w:r w:rsidR="009036AF">
        <w:t>shapefile</w:t>
      </w:r>
      <w:proofErr w:type="spellEnd"/>
      <w:r w:rsidR="009036AF">
        <w:t xml:space="preserve"> (e.g. the recommended abbreviations in </w:t>
      </w:r>
      <w:hyperlink r:id="rId9" w:history="1">
        <w:r w:rsidR="009036AF" w:rsidRPr="009036AF">
          <w:rPr>
            <w:rStyle w:val="Hyperlink"/>
          </w:rPr>
          <w:t>Cookbook Appendix L.5)</w:t>
        </w:r>
      </w:hyperlink>
      <w:r w:rsidR="009036AF">
        <w:t xml:space="preserve">, the strings in the </w:t>
      </w:r>
      <w:proofErr w:type="spellStart"/>
      <w:r w:rsidR="009036AF">
        <w:t>sourceExpression</w:t>
      </w:r>
      <w:proofErr w:type="spellEnd"/>
      <w:r w:rsidR="009036AF">
        <w:t>/OCQL elements should be modified appropriately.</w:t>
      </w:r>
    </w:p>
    <w:p w:rsidR="008D79C8" w:rsidRDefault="008D79C8" w:rsidP="008D79C8">
      <w:pPr>
        <w:spacing w:after="0" w:line="240" w:lineRule="auto"/>
        <w:textAlignment w:val="baseline"/>
      </w:pP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8080"/>
          <w:sz w:val="20"/>
          <w:szCs w:val="20"/>
          <w:highlight w:val="white"/>
        </w:rPr>
        <w:t>&lt;?xml</w:t>
      </w:r>
      <w:proofErr w:type="gramEnd"/>
      <w:r>
        <w:rPr>
          <w:rFonts w:ascii="Arial" w:hAnsi="Arial" w:cs="Arial"/>
          <w:color w:val="008080"/>
          <w:sz w:val="20"/>
          <w:szCs w:val="20"/>
          <w:highlight w:val="white"/>
        </w:rPr>
        <w:t xml:space="preserve"> version="1.0" encoding="UTF-8"?&gt;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as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:AppSchemaDataAccess</w:t>
      </w:r>
      <w:proofErr w:type="spellEnd"/>
      <w:proofErr w:type="gram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xmlns:as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http://www.geotools.org/app-schema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  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xmlns:ogc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http://www.opengis.net/ogc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xmlns:xs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http://www.w3.org/2001/XMLSchema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xmlns:xsi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http://www.w3.org/2001/XMLSchema-instance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  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xsi:schemaLocation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http://www.geotools.org/app-schema AppSchemaDataAccess.xsd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namespaces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Namespace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prefix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prefix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http://xmlns.geosciml.org/geosciml-portrayal/2.0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uri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Namespace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Namespace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prefix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gml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prefix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http://www.opengis.net/gml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uri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Namespace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namespaces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sourceDataStores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DataStore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shapefile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parameters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url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E37671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="008D79C8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="008D79C8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8D79C8"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 w:rsidR="008D79C8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8D79C8">
        <w:rPr>
          <w:rFonts w:ascii="Arial" w:hAnsi="Arial" w:cs="Arial"/>
          <w:color w:val="000000"/>
          <w:sz w:val="20"/>
          <w:szCs w:val="20"/>
          <w:highlight w:val="white"/>
        </w:rPr>
        <w:t>file:/home/geoserver/downloads/shapefiles/GeologicUnitView.shp</w:t>
      </w:r>
      <w:r w:rsidR="008D79C8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8D79C8"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 w:rsidR="008D79C8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memory mapped buffer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false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create spatial index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true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charset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ISO-8859-1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E376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DataStore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sourceDataStores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targetTypes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FeatureType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schemaUri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http://schemas.usgin.org/files/geologic-units/2.0/GeoSciML.xsd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schemaUri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FeatureType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targetTypes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typeMappings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FeatureTypeMapping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sourceDataStore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shapefile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sourceDataStore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GeologicUnitView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targetElement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gsmlp:GeologicUnitView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targetElement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attributeMappings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gsmlp:GeologicUnitView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="00E37671"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idExpression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getId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gsmlp:identifier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identifier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gsmlp:name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gsmlp:description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descriptio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gsmlp:geologicUnitType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geologicUn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gsmlp:rank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rank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gsmlp:lithology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lithology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gsmlp:geologicHistory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geologicHi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gsmlp:observationMethod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observatio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gsmlp:positionalAccuracy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positional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gsmlp:source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source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gsmlp:geologicUnitType_uri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geologic_1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gsmlp:representativeLithology_uri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representa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gsmlp:representativeAge_uri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represen_1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gsmlp:representativeOlderAge_uri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represen_2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gsmlp:representativeYoungerAge_uri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represen_3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gsmlp:specification_uri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specificat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gsmlp:metadata_uri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metadata_u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gsmlp:genericSymbolizer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genericSym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gsmlp:shape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targetAttribute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the_geom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OCQL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sourceExpression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attributeMappings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FeatureTypeMapping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typeMappings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spacing w:after="0" w:line="240" w:lineRule="auto"/>
        <w:textAlignment w:val="baseline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as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:AppSchemaDataAccess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spacing w:after="0" w:line="240" w:lineRule="auto"/>
        <w:textAlignment w:val="baseline"/>
        <w:rPr>
          <w:rFonts w:ascii="Arial" w:hAnsi="Arial" w:cs="Arial"/>
          <w:color w:val="0000FF"/>
          <w:sz w:val="20"/>
          <w:szCs w:val="20"/>
        </w:rPr>
      </w:pPr>
    </w:p>
    <w:p w:rsidR="008D79C8" w:rsidRPr="009036AF" w:rsidRDefault="008D79C8" w:rsidP="009036AF">
      <w:r w:rsidRPr="009036AF">
        <w:t xml:space="preserve">Create this mapping file with the prefix and namespace binding, the connection parameters (data source here is a </w:t>
      </w:r>
      <w:proofErr w:type="spellStart"/>
      <w:r w:rsidRPr="009036AF">
        <w:t>shapefile</w:t>
      </w:r>
      <w:proofErr w:type="spellEnd"/>
      <w:r w:rsidRPr="009036AF">
        <w:t>), the online location of the schema (XSD), and the field mapping.</w:t>
      </w:r>
    </w:p>
    <w:p w:rsidR="008D79C8" w:rsidRPr="009036AF" w:rsidRDefault="008D79C8" w:rsidP="009036AF">
      <w:pPr>
        <w:pStyle w:val="NoSpacing"/>
      </w:pPr>
      <w:r w:rsidRPr="009036AF">
        <w:t>See helpful GeoServer documentation at the following locations:</w:t>
      </w:r>
    </w:p>
    <w:p w:rsidR="008D79C8" w:rsidRPr="009036AF" w:rsidRDefault="008D79C8" w:rsidP="009036AF">
      <w:pPr>
        <w:pStyle w:val="NoSpacing"/>
      </w:pPr>
      <w:hyperlink r:id="rId10" w:history="1">
        <w:r w:rsidRPr="009036AF">
          <w:rPr>
            <w:rStyle w:val="Hyperlink"/>
          </w:rPr>
          <w:t>http://docs.geoserver.org/stable/en/user/data/app-schema/mapping-file.html</w:t>
        </w:r>
      </w:hyperlink>
    </w:p>
    <w:p w:rsidR="008D79C8" w:rsidRPr="009036AF" w:rsidRDefault="008D79C8" w:rsidP="009036AF">
      <w:hyperlink r:id="rId11" w:history="1">
        <w:r w:rsidRPr="009036AF">
          <w:rPr>
            <w:rStyle w:val="Hyperlink"/>
          </w:rPr>
          <w:t>http://docs.geoserver.org/stable/en/user/data/app-schema/data-stores.html#shapefile</w:t>
        </w:r>
      </w:hyperlink>
    </w:p>
    <w:p w:rsidR="008D79C8" w:rsidRPr="009036AF" w:rsidRDefault="008D79C8" w:rsidP="009036AF">
      <w:pPr>
        <w:pStyle w:val="NoSpacing"/>
      </w:pPr>
      <w:r w:rsidRPr="009036AF">
        <w:t>Place the file in the GeoServer file location of the datastore. An example file location might be:</w:t>
      </w:r>
    </w:p>
    <w:p w:rsidR="008D79C8" w:rsidRPr="009036AF" w:rsidRDefault="008D79C8" w:rsidP="009036AF">
      <w:r w:rsidRPr="009036AF">
        <w:t>C:\Program Files (x86)\OpenGeo\OpenGeo Suite\</w:t>
      </w:r>
      <w:proofErr w:type="spellStart"/>
      <w:r w:rsidRPr="009036AF">
        <w:t>webapps</w:t>
      </w:r>
      <w:proofErr w:type="spellEnd"/>
      <w:r w:rsidRPr="009036AF">
        <w:t>\</w:t>
      </w:r>
      <w:proofErr w:type="spellStart"/>
      <w:r w:rsidRPr="009036AF">
        <w:t>geoserver</w:t>
      </w:r>
      <w:proofErr w:type="spellEnd"/>
      <w:r w:rsidRPr="009036AF">
        <w:t>\data\workspaces\</w:t>
      </w:r>
      <w:proofErr w:type="spellStart"/>
      <w:r w:rsidRPr="009036AF">
        <w:t>gsmlp</w:t>
      </w:r>
      <w:proofErr w:type="spellEnd"/>
      <w:r w:rsidRPr="009036AF">
        <w:t>\</w:t>
      </w:r>
      <w:proofErr w:type="spellStart"/>
      <w:r w:rsidRPr="009036AF">
        <w:t>Lithostratigraphy</w:t>
      </w:r>
      <w:proofErr w:type="spellEnd"/>
      <w:r w:rsidRPr="009036AF">
        <w:t>\</w:t>
      </w:r>
    </w:p>
    <w:p w:rsidR="008D79C8" w:rsidRPr="009036AF" w:rsidRDefault="008D79C8" w:rsidP="009036AF">
      <w:r w:rsidRPr="009036AF">
        <w:t xml:space="preserve">Where </w:t>
      </w:r>
      <w:proofErr w:type="spellStart"/>
      <w:r w:rsidRPr="009036AF">
        <w:t>gsmlp</w:t>
      </w:r>
      <w:proofErr w:type="spellEnd"/>
      <w:r w:rsidRPr="009036AF">
        <w:t xml:space="preserve"> is the </w:t>
      </w:r>
      <w:proofErr w:type="gramStart"/>
      <w:r w:rsidRPr="009036AF">
        <w:t>Workspace,</w:t>
      </w:r>
      <w:proofErr w:type="gramEnd"/>
      <w:r w:rsidRPr="009036AF">
        <w:t xml:space="preserve"> and </w:t>
      </w:r>
      <w:proofErr w:type="spellStart"/>
      <w:r w:rsidRPr="009036AF">
        <w:t>Lithostratigraphy</w:t>
      </w:r>
      <w:proofErr w:type="spellEnd"/>
      <w:r w:rsidRPr="009036AF">
        <w:t xml:space="preserve"> is the Data Store name.</w:t>
      </w:r>
    </w:p>
    <w:p w:rsidR="008D79C8" w:rsidRDefault="008D79C8" w:rsidP="008D79C8">
      <w:pPr>
        <w:pStyle w:val="Heading3"/>
        <w:numPr>
          <w:ilvl w:val="0"/>
          <w:numId w:val="0"/>
        </w:numPr>
      </w:pPr>
      <w:bookmarkStart w:id="3" w:name="_Toc364765835"/>
      <w:proofErr w:type="gramStart"/>
      <w:r>
        <w:t>A.7.3.</w:t>
      </w:r>
      <w:r>
        <w:tab/>
        <w:t>Edit datastore.xml file.</w:t>
      </w:r>
      <w:bookmarkEnd w:id="3"/>
      <w:proofErr w:type="gramEnd"/>
    </w:p>
    <w:p w:rsidR="008D79C8" w:rsidRDefault="008D79C8" w:rsidP="008D79C8">
      <w:pPr>
        <w:spacing w:after="0" w:line="240" w:lineRule="auto"/>
        <w:ind w:left="450"/>
        <w:textAlignment w:val="baseline"/>
      </w:pPr>
      <w:r>
        <w:t xml:space="preserve">This file is located in the same Data Store directory. To enable application-schemas, this file must indicate that the </w:t>
      </w:r>
      <w:proofErr w:type="spellStart"/>
      <w:r>
        <w:t>shapefile</w:t>
      </w:r>
      <w:proofErr w:type="spellEnd"/>
      <w:r>
        <w:t xml:space="preserve"> is no longer used for field names, but the mapping file instead. Example datastore.xml, after editing:</w:t>
      </w:r>
    </w:p>
    <w:p w:rsidR="008D79C8" w:rsidRDefault="008D79C8" w:rsidP="008D79C8">
      <w:pPr>
        <w:spacing w:after="0" w:line="240" w:lineRule="auto"/>
        <w:ind w:left="450"/>
        <w:textAlignment w:val="baseline"/>
      </w:pP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ind w:firstLine="45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dataStore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DataStoreInfoImpl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--1739a454:14097568969:-7fe7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GeologicUnitView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enabled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true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enabled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workspace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WorkspaceInfoImpl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--1739a454:14097568969:-7fe9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workspace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connectionParameters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entry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key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dbtype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app-schema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entry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entry</w:t>
      </w:r>
      <w:proofErr w:type="gram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key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url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file:workspaces/gsmlp/GeologicUnitView/GeologicUnitViewAZGS.xml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entry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entry</w:t>
      </w:r>
      <w:proofErr w:type="gram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key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namespace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http://xmlns.geosciml.org/geosciml-portrayal/2.0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entry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connectionParameters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__default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false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__default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dataStore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D79C8" w:rsidRDefault="008D79C8" w:rsidP="008D7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8D79C8" w:rsidRDefault="008D79C8" w:rsidP="008D79C8">
      <w:pPr>
        <w:pStyle w:val="Heading3"/>
        <w:numPr>
          <w:ilvl w:val="0"/>
          <w:numId w:val="0"/>
        </w:numPr>
      </w:pPr>
      <w:bookmarkStart w:id="4" w:name="_Toc364765836"/>
      <w:r>
        <w:t>A.7.4</w:t>
      </w:r>
      <w:r>
        <w:tab/>
        <w:t>Restart GeoServer</w:t>
      </w:r>
      <w:bookmarkEnd w:id="4"/>
    </w:p>
    <w:p w:rsidR="008D79C8" w:rsidRPr="008853EB" w:rsidRDefault="008D79C8" w:rsidP="008D79C8">
      <w:pPr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color w:val="000000"/>
          <w:sz w:val="20"/>
          <w:szCs w:val="20"/>
          <w:highlight w:val="white"/>
        </w:rPr>
      </w:pPr>
      <w:r>
        <w:t xml:space="preserve">After restarting GeoServer, the datastore for the desired layer will now read the field names from the mapping file, while still pulling the data from the indicated </w:t>
      </w:r>
      <w:proofErr w:type="spellStart"/>
      <w:r>
        <w:t>shapefile</w:t>
      </w:r>
      <w:proofErr w:type="spellEnd"/>
      <w:r>
        <w:t>.  The same can be done with data connections to PostGIS or any other type of data store.</w:t>
      </w:r>
      <w:bookmarkStart w:id="5" w:name="_GoBack"/>
      <w:bookmarkEnd w:id="5"/>
    </w:p>
    <w:p w:rsidR="00020D0E" w:rsidRDefault="00020D0E"/>
    <w:sectPr w:rsidR="0002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7A51"/>
    <w:multiLevelType w:val="hybridMultilevel"/>
    <w:tmpl w:val="D1FC3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52C41"/>
    <w:multiLevelType w:val="hybridMultilevel"/>
    <w:tmpl w:val="60DA014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B70B7"/>
    <w:multiLevelType w:val="hybridMultilevel"/>
    <w:tmpl w:val="CCB86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470A"/>
    <w:multiLevelType w:val="multilevel"/>
    <w:tmpl w:val="EB18B7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4">
    <w:nsid w:val="3A6C0A41"/>
    <w:multiLevelType w:val="multilevel"/>
    <w:tmpl w:val="8FF4F9A8"/>
    <w:lvl w:ilvl="0">
      <w:start w:val="1"/>
      <w:numFmt w:val="upperLetter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5">
    <w:nsid w:val="58EB7285"/>
    <w:multiLevelType w:val="multilevel"/>
    <w:tmpl w:val="52867500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6">
    <w:nsid w:val="7B8163F5"/>
    <w:multiLevelType w:val="multilevel"/>
    <w:tmpl w:val="0C0E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C8"/>
    <w:rsid w:val="00020D0E"/>
    <w:rsid w:val="0056634B"/>
    <w:rsid w:val="005D4829"/>
    <w:rsid w:val="008D79C8"/>
    <w:rsid w:val="009036AF"/>
    <w:rsid w:val="00DD41ED"/>
    <w:rsid w:val="00E3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C8"/>
    <w:rPr>
      <w:rFonts w:ascii="Century" w:hAnsi="Century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9C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C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9C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9C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9C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9C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9C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9C8"/>
    <w:rPr>
      <w:rFonts w:asciiTheme="majorHAnsi" w:eastAsiaTheme="majorEastAsia" w:hAnsiTheme="majorHAnsi" w:cstheme="majorBidi"/>
      <w:bCs/>
      <w:color w:val="4F81BD" w:themeColor="accent1"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D79C8"/>
    <w:rPr>
      <w:rFonts w:asciiTheme="majorHAnsi" w:eastAsiaTheme="majorEastAsia" w:hAnsiTheme="majorHAnsi" w:cstheme="majorBidi"/>
      <w:b/>
      <w:bCs/>
      <w:i/>
      <w:iCs/>
      <w:color w:val="4F81BD" w:themeColor="accent1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9C8"/>
    <w:rPr>
      <w:rFonts w:asciiTheme="majorHAnsi" w:eastAsiaTheme="majorEastAsia" w:hAnsiTheme="majorHAnsi" w:cstheme="majorBidi"/>
      <w:color w:val="243F60" w:themeColor="accent1" w:themeShade="7F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9C8"/>
    <w:rPr>
      <w:rFonts w:asciiTheme="majorHAnsi" w:eastAsiaTheme="majorEastAsia" w:hAnsiTheme="majorHAnsi" w:cstheme="majorBidi"/>
      <w:i/>
      <w:iCs/>
      <w:color w:val="243F60" w:themeColor="accent1" w:themeShade="7F"/>
      <w:szCs w:val="18"/>
    </w:rPr>
  </w:style>
  <w:style w:type="paragraph" w:styleId="ListParagraph">
    <w:name w:val="List Paragraph"/>
    <w:basedOn w:val="Normal"/>
    <w:uiPriority w:val="34"/>
    <w:qFormat/>
    <w:rsid w:val="008D7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9C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41ED"/>
    <w:pPr>
      <w:spacing w:line="240" w:lineRule="auto"/>
    </w:pPr>
    <w:rPr>
      <w:rFonts w:asciiTheme="minorHAnsi" w:hAnsiTheme="minorHAnsi"/>
      <w:b/>
      <w:bCs/>
      <w:color w:val="4F81BD" w:themeColor="accen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36AF"/>
    <w:pPr>
      <w:spacing w:after="0" w:line="240" w:lineRule="auto"/>
    </w:pPr>
    <w:rPr>
      <w:rFonts w:ascii="Century" w:hAnsi="Century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C8"/>
    <w:rPr>
      <w:rFonts w:ascii="Century" w:hAnsi="Century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9C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C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9C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9C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9C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9C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9C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9C8"/>
    <w:rPr>
      <w:rFonts w:asciiTheme="majorHAnsi" w:eastAsiaTheme="majorEastAsia" w:hAnsiTheme="majorHAnsi" w:cstheme="majorBidi"/>
      <w:bCs/>
      <w:color w:val="4F81BD" w:themeColor="accent1"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D79C8"/>
    <w:rPr>
      <w:rFonts w:asciiTheme="majorHAnsi" w:eastAsiaTheme="majorEastAsia" w:hAnsiTheme="majorHAnsi" w:cstheme="majorBidi"/>
      <w:b/>
      <w:bCs/>
      <w:i/>
      <w:iCs/>
      <w:color w:val="4F81BD" w:themeColor="accent1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9C8"/>
    <w:rPr>
      <w:rFonts w:asciiTheme="majorHAnsi" w:eastAsiaTheme="majorEastAsia" w:hAnsiTheme="majorHAnsi" w:cstheme="majorBidi"/>
      <w:color w:val="243F60" w:themeColor="accent1" w:themeShade="7F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9C8"/>
    <w:rPr>
      <w:rFonts w:asciiTheme="majorHAnsi" w:eastAsiaTheme="majorEastAsia" w:hAnsiTheme="majorHAnsi" w:cstheme="majorBidi"/>
      <w:i/>
      <w:iCs/>
      <w:color w:val="243F60" w:themeColor="accent1" w:themeShade="7F"/>
      <w:szCs w:val="18"/>
    </w:rPr>
  </w:style>
  <w:style w:type="paragraph" w:styleId="ListParagraph">
    <w:name w:val="List Paragraph"/>
    <w:basedOn w:val="Normal"/>
    <w:uiPriority w:val="34"/>
    <w:qFormat/>
    <w:rsid w:val="008D7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9C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41ED"/>
    <w:pPr>
      <w:spacing w:line="240" w:lineRule="auto"/>
    </w:pPr>
    <w:rPr>
      <w:rFonts w:asciiTheme="minorHAnsi" w:hAnsiTheme="minorHAnsi"/>
      <w:b/>
      <w:bCs/>
      <w:color w:val="4F81BD" w:themeColor="accen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36AF"/>
    <w:pPr>
      <w:spacing w:after="0" w:line="240" w:lineRule="auto"/>
    </w:pPr>
    <w:rPr>
      <w:rFonts w:ascii="Century" w:hAnsi="Century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geoserver/files/GeoServer%20Extension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onegeology.org/wmsCookbookP/2_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cs.geoserver.org/stable/en/user/data/app-schema/data-stores.html#shape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geoserver.org/stable/en/user/data/app-schema/mapping-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egeology.org/wmsCookbookP/appendixL_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2</cp:revision>
  <dcterms:created xsi:type="dcterms:W3CDTF">2013-08-20T19:44:00Z</dcterms:created>
  <dcterms:modified xsi:type="dcterms:W3CDTF">2013-08-20T20:26:00Z</dcterms:modified>
</cp:coreProperties>
</file>