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60"/>
      </w:pPr>
      <w:r>
        <w:t xml:space="preserve">PEST++ Users Manual</w:t>
      </w:r>
    </w:p>
    <w:p>
      <w:pPr>
        <w:pStyle w:val="Subtitle"/>
        <w:spacing w:after="360"/>
      </w:pPr>
      <w:r>
        <w:t xml:space="preserve">What is still outstanding — 13 August 2026, feat_apiprep branch</w:t>
      </w:r>
    </w:p>
    <w:p>
      <w:pPr>
        <w:spacing w:after="120"/>
      </w:pPr>
      <w:r>
        <w:t xml:space="preserve">Everything already applied to </w:t>
      </w:r>
      <w:r>
        <w:rPr>
          <w:rFonts w:ascii="Consolas" w:hAnsi="Consolas"/>
          <w:sz w:val="19"/>
        </w:rPr>
        <w:t xml:space="preserve">documentation/pestpp_users_manual.md</w:t>
      </w:r>
      <w:r>
        <w:t xml:space="preserve"> is left out of this document. What remains is prose that still needs writing, one pointer, and a handful of decisions. Draft text is in the manual's own register, and the asterisks around variable names are the manual's italic markers, so each draft can be pasted into the markdown source as it stands.</w:t>
      </w:r>
    </w:p>
    <w:p>
      <w:pPr>
        <w:spacing w:after="120"/>
      </w:pPr>
      <w:r>
        <w:rPr>
          <w:b/>
        </w:rPr>
        <w:t xml:space="preserve">Line numbers</w:t>
      </w:r>
      <w:r>
        <w:t xml:space="preserve"> are given for </w:t>
      </w:r>
      <w:r>
        <w:rPr>
          <w:rFonts w:ascii="Consolas" w:hAnsi="Consolas"/>
          <w:sz w:val="19"/>
        </w:rPr>
        <w:t xml:space="preserve">documentation/pestpp_users_manual.md</w:t>
      </w:r>
      <w:r>
        <w:t xml:space="preserve"> as it stands with the current working-tree edits applied (on top of commit 653240c9). They shift as soon as anything is inserted, so work from the BOTTOM of this document upwards and each number stays good; or find the named heading instead, which cannot go stale.</w:t>
      </w:r>
    </w:p>
    <w:p>
      <w:pPr>
        <w:pStyle w:val="Heading1"/>
        <w:spacing w:after="200"/>
      </w:pPr>
      <w:r>
        <w:t xml:space="preserve">1. Prose still to write</w:t>
      </w:r>
    </w:p>
    <w:p>
      <w:pPr>
        <w:pStyle w:val="Heading2"/>
        <w:spacing w:after="160"/>
      </w:pPr>
      <w:r>
        <w:t xml:space="preserve">1.1 The achievable target</w:t>
      </w:r>
    </w:p>
    <w:p>
      <w:pPr>
        <w:spacing w:after="120"/>
      </w:pPr>
      <w:r>
        <w:rPr>
          <w:b/>
        </w:rPr>
        <w:t xml:space="preserve">Where:</w:t>
      </w:r>
      <w:r>
        <w:t xml:space="preserve"> appended to the end of section 6.2.2 - </w:t>
      </w:r>
      <w:r>
        <w:rPr>
          <w:b/>
        </w:rPr>
        <w:t xml:space="preserve">insert at line 2678</w:t>
      </w:r>
      <w:r>
        <w:t xml:space="preserve">, immediately before the section 6.2.3 heading at line 2679. The *reg_use_achievable_target* row is already in table 6.2 and points here.</w:t>
      </w:r>
    </w:p>
    <w:p>
      <w:pPr>
        <w:spacing w:after="120"/>
      </w:pPr>
      <w:r>
        <w:t xml:space="preserve">FRACPHIM and PHIMLIM cooperate while the measurement objective function is descending: FRACPHIM governs while phi is far from the goal, and PHIMLIM takes over near it. Neither has any notion of phi having stopped improving. If phi plateaus above PHIMLIM, the target stays at FRACPHIM times the current phi and is therefore permanently out of reach; the only lever available to the weight-factor search is the weight itself, so it drives the weight to WFMIN every iteration and the regularization objective function is annihilated.</w:t>
      </w:r>
    </w:p>
    <w:p>
      <w:pPr>
        <w:spacing w:after="120"/>
      </w:pPr>
      <w:r>
        <w:t xml:space="preserve">The *reg_use_achievable_target* control variable, which is active by default, closes that gap. It asks PESTPP-GLM never to demand a larger reduction than the previous iteration actually delivered. It can only relax a target, never tighten one, so a run that is converging is unaffected. It applies only when phi has genuinely stalled (this iteration's phi is at least 99 percent of the previous one) and only where FRACPHIM is the binding term. When it fires, the run record file records the original target, the relaxed target and the ratio that triggered it. Set it to false to restore the previous behaviour.</w:t>
      </w:r>
    </w:p>
    <w:p>
      <w:pPr>
        <w:pStyle w:val="Heading2"/>
        <w:spacing w:after="160"/>
      </w:pPr>
      <w:r>
        <w:t xml:space="preserve">1.2 pest.stp gains two more commands</w:t>
      </w:r>
    </w:p>
    <w:p>
      <w:pPr>
        <w:spacing w:after="120"/>
      </w:pPr>
      <w:r>
        <w:rPr>
          <w:b/>
        </w:rPr>
        <w:t xml:space="preserve">Where:</w:t>
      </w:r>
      <w:r>
        <w:t xml:space="preserve"> the pest.stp discussion inside section 5.3.5, which documents 1, 2 and 4 only - </w:t>
      </w:r>
      <w:r>
        <w:rPr>
          <w:b/>
        </w:rPr>
        <w:t xml:space="preserve">insert at line 2539</w:t>
      </w:r>
      <w:r>
        <w:t xml:space="preserve">, after the “4” paragraph that ends at line 2538 and before the </w:t>
      </w:r>
      <w:r>
        <w:rPr>
          <w:b/>
        </w:rPr>
        <w:t xml:space="preserve">panther_transfer_on_finish</w:t>
      </w:r>
      <w:r>
        <w:t xml:space="preserve"> entry.</w:t>
      </w:r>
    </w:p>
    <w:p>
      <w:pPr>
        <w:spacing w:after="120"/>
      </w:pPr>
      <w:r>
        <w:t xml:space="preserve">Two further values are understood by the parallel run manager. They do not stop anything; they act on the batch of runs that is in progress.</w:t>
      </w:r>
    </w:p>
    <w:p>
      <w:pPr>
        <w:spacing w:after="120"/>
      </w:pPr>
      <w:r>
        <w:t xml:space="preserve">A “5” as the first token asks every agent that is currently running a model for whatever model outputs can be read so far, exactly as the *preemption_poll_interval_minutes* polling does (section 5.3.5). The runs are not disturbed. The manager reports how many agents were asked, and “pest.stp” is removed so that the request is not repeated on the next pass of the scheduling loop.</w:t>
      </w:r>
    </w:p>
    <w:p>
      <w:pPr>
        <w:spacing w:after="120"/>
      </w:pPr>
      <w:r>
        <w:t xml:space="preserve">A “6” followed by a whitespace-delimited run identifier, for example “6 41”, kills that one run and abandons it. This is the surgical form of the “4” command: where “4” gives up on every outstanding run, “6” gives up on the one run that is holding everything else up. A “6” with no run identifier after it is reported and ignored.</w:t>
      </w:r>
    </w:p>
    <w:p>
      <w:pPr>
        <w:spacing w:after="120"/>
      </w:pPr>
      <w:r>
        <w:t xml:space="preserve">A “3” is recognised, reported as unsupported, and otherwise ignored; PEST uses it to pause, which PEST++ does not implement.</w:t>
      </w:r>
    </w:p>
    <w:p>
      <w:pPr>
        <w:pStyle w:val="Heading2"/>
        <w:spacing w:after="160"/>
      </w:pPr>
      <w:r>
        <w:t xml:space="preserve">1.3 Choosing a generator per generation in PESTPP-MOU</w:t>
      </w:r>
    </w:p>
    <w:p>
      <w:pPr>
        <w:spacing w:after="120"/>
      </w:pPr>
      <w:r>
        <w:rPr>
          <w:b/>
        </w:rPr>
        <w:t xml:space="preserve">Where:</w:t>
      </w:r>
      <w:r>
        <w:t xml:space="preserve"> the end of section 13.2.3 - </w:t>
      </w:r>
      <w:r>
        <w:rPr>
          <w:b/>
        </w:rPr>
        <w:t xml:space="preserve">insert at line 5037</w:t>
      </w:r>
      <w:r>
        <w:t xml:space="preserve">, immediately before the section 13.2.4 heading at line 5038. The sentence about accepted values and the default belongs on the *Mou_generator(PSO)* row of table 13.2, at </w:t>
      </w:r>
      <w:r>
        <w:rPr>
          <w:b/>
        </w:rPr>
        <w:t xml:space="preserve">line 5162</w:t>
      </w:r>
      <w:r>
        <w:t xml:space="preserve">.</w:t>
      </w:r>
    </w:p>
    <w:p>
      <w:pPr>
        <w:spacing w:after="120"/>
      </w:pPr>
      <w:r>
        <w:t xml:space="preserve">The *mou_generator* variable is read once per generation, at the point where the offspring are bred, rather than once at start-up. Two things follow from this. First, the variable accepts a comma-delimited list, and a generation is then bred by all of the generators in that list, with the offspring divided between them. Second, a caller driving PESTPP-MOU through the shared library (section 5.5) can change the list between generations, which makes an explore-then-polish schedule possible within a single analysis: differential evolution while the population is still spread out, simulated binary crossover with polynomial mutation once it has found the front.</w:t>
      </w:r>
    </w:p>
    <w:p>
      <w:pPr>
        <w:spacing w:after="120"/>
      </w:pPr>
      <w:r>
        <w:t xml:space="preserve">PSO is the exception. It carries a velocity for each population member, and only members that PSO itself produced have one, so PSO cannot be combined with another generator and cannot be switched to part way through an analysis. The combination is rejected at start-up; a switch made later, which start-up checks cannot see, fails during the generation. If PSO is wanted, use it for every generation.</w:t>
      </w:r>
    </w:p>
    <w:p>
      <w:pPr>
        <w:spacing w:after="120"/>
      </w:pPr>
      <w:r>
        <w:rPr>
          <w:b/>
        </w:rPr>
        <w:t xml:space="preserve">Two code nits found while checking this:</w:t>
      </w:r>
      <w:r>
        <w:t xml:space="preserve"> the error message for an unrecognised generator lists only {DE, SBX, PM, PSO} and omits SIMPLEX, and the retirement message for ++moea_name tells the user to select “smp”, which the parser does not accept.</w:t>
      </w:r>
    </w:p>
    <w:p>
      <w:pPr>
        <w:pStyle w:val="Heading2"/>
        <w:spacing w:after="160"/>
      </w:pPr>
      <w:r>
        <w:t xml:space="preserve">1.4 Reproducibility across platforms</w:t>
      </w:r>
    </w:p>
    <w:p>
      <w:pPr>
        <w:spacing w:after="120"/>
      </w:pPr>
      <w:r>
        <w:rPr>
          <w:b/>
        </w:rPr>
        <w:t xml:space="preserve">Where:</w:t>
      </w:r>
      <w:r>
        <w:t xml:space="preserve"> *random_seed* is described nowhere in the manual - the only occurrence of the name is in the PESTPP-MOU robust-optimization paragraph added on this branch. It needs a home, and the natural one is a new section 3.6 at the end of chapter 3, “Some Important PEST++ Features”, whose last section is 3.5 The Objective Function: </w:t>
      </w:r>
      <w:r>
        <w:rPr>
          <w:b/>
        </w:rPr>
        <w:t xml:space="preserve">insert at line 1367</w:t>
      </w:r>
      <w:r>
        <w:t xml:space="preserve">, immediately before the chapter 4 heading at line 1368. A section covering *random_seed* itself and then this reproducibility note would fill both gaps at once.</w:t>
      </w:r>
    </w:p>
    <w:p>
      <w:pPr>
        <w:spacing w:after="120"/>
      </w:pPr>
      <w:r>
        <w:t xml:space="preserve">A given *random_seed* now reproduces PESTPP-MOU results across Windows, Linux and macOS. The Mersenne twister engine that PEST++ seeds is specified bit-for-bit by the C++ standard, but the standard library facilities built on top of it are not: the shuffling algorithm in particular consumes the engine differently on each of the three standard libraries, so identical engine state produced entirely different permutations. PESTPP-MOU now shuffles through its own integer arithmetic, which removes that source of divergence.</w:t>
      </w:r>
    </w:p>
    <w:p>
      <w:pPr>
        <w:spacing w:after="120"/>
      </w:pPr>
      <w:r>
        <w:rPr>
          <w:b/>
        </w:rPr>
        <w:t xml:space="preserve">Before this is published, check</w:t>
      </w:r>
      <w:r>
        <w:t xml:space="preserve"> the current state of PESTPP-SQP against </w:t>
      </w:r>
      <w:r>
        <w:rPr>
          <w:rFonts w:ascii="Consolas" w:hAnsi="Consolas"/>
          <w:sz w:val="19"/>
        </w:rPr>
        <w:t xml:space="preserve">docs/xplat_g07/sqp_divergence_findings.md</w:t>
      </w:r>
      <w:r>
        <w:t xml:space="preserve">; PESTPP-IES, PESTPP-DA and PESTPP-OPT already reproduced to about 1e-14 and are not affected.</w:t>
      </w:r>
    </w:p>
    <w:p>
      <w:pPr>
        <w:pStyle w:val="Heading2"/>
        <w:spacing w:after="160"/>
      </w:pPr>
      <w:r>
        <w:t xml:space="preserve">1.5 Run management and model interface behaviour</w:t>
      </w:r>
    </w:p>
    <w:p>
      <w:pPr>
        <w:spacing w:after="120"/>
      </w:pPr>
      <w:r>
        <w:rPr>
          <w:b/>
        </w:rPr>
        <w:t xml:space="preserve">Where:</w:t>
      </w:r>
      <w:r>
        <w:t xml:space="preserve"> two candidates, and the three points below could reasonably be split between them. The end of section 5.2.1 Concepts is </w:t>
      </w:r>
      <w:r>
        <w:rPr>
          <w:b/>
        </w:rPr>
        <w:t xml:space="preserve">line 2420</w:t>
      </w:r>
      <w:r>
        <w:t xml:space="preserve">, immediately before the section 5.2.2 heading at line 2421; the end of section 6.2.8 Model Run Failure is </w:t>
      </w:r>
      <w:r>
        <w:rPr>
          <w:b/>
        </w:rPr>
        <w:t xml:space="preserve">line 2824</w:t>
      </w:r>
      <w:r>
        <w:t xml:space="preserve">, immediately before the section 6.2.9 heading at line 2825. Section 6.2.8 sits in the PESTPP-GLM chapter but is where run failure is actually discussed.</w:t>
      </w:r>
    </w:p>
    <w:p>
      <w:pPr>
        <w:pStyle w:val="ListParagraph"/>
        <w:numPr>
          <w:ilvl w:val="0"/>
          <w:numId w:val="1"/>
        </w:numPr>
        <w:spacing w:after="60"/>
      </w:pPr>
      <w:r>
        <w:t xml:space="preserve">The serial, external and PANTHER run managers now spawn the model through one shared code path. The practical consequence is that a model's own child processes are terminated with it on both Windows and Unix, so a cancelled or abandoned run no longer leaves orphaned processes behind.</w:t>
      </w:r>
    </w:p>
    <w:p>
      <w:pPr>
        <w:pStyle w:val="ListParagraph"/>
        <w:numPr>
          <w:ilvl w:val="0"/>
          <w:numId w:val="1"/>
        </w:numPr>
        <w:spacing w:after="60"/>
      </w:pPr>
      <w:r>
        <w:t xml:space="preserve">A run's outcome is no longer decided from the status byte in run storage alone. A record that holds values but is not marked complete is a partial result, not an empty record.</w:t>
      </w:r>
    </w:p>
    <w:p>
      <w:pPr>
        <w:pStyle w:val="ListParagraph"/>
        <w:numPr>
          <w:ilvl w:val="0"/>
          <w:numId w:val="1"/>
        </w:numPr>
        <w:spacing w:after="60"/>
      </w:pPr>
      <w:r>
        <w:t xml:space="preserve">Agents guard against reading stale model output: output files left over from a previous run are not mistaken for the current one, which was a real hazard once partial reads became possible.</w:t>
      </w:r>
    </w:p>
    <w:p>
      <w:pPr>
        <w:pStyle w:val="Heading1"/>
        <w:spacing w:after="200"/>
      </w:pPr>
      <w:r>
        <w:t xml:space="preserve">2. The shared library and the Python layer</w:t>
      </w:r>
    </w:p>
    <w:p>
      <w:pPr>
        <w:spacing w:after="120"/>
      </w:pPr>
      <w:r>
        <w:rPr>
          <w:b/>
        </w:rPr>
        <w:t xml:space="preserve">Where:</w:t>
      </w:r>
      <w:r>
        <w:t xml:space="preserve"> a new section 5.5 at the end of chapter 5 - </w:t>
      </w:r>
      <w:r>
        <w:rPr>
          <w:b/>
        </w:rPr>
        <w:t xml:space="preserve">insert at line 2591</w:t>
      </w:r>
      <w:r>
        <w:t xml:space="preserve">, immediately before the chapter 6 heading at line 2592. Per your call this is a pointer, not a chapter: the interface is 0.x and would go stale in the manual. Sections 5.3.5 and 13.2.3 already refer forward to 5.5, so it does need to exist.</w:t>
      </w:r>
    </w:p>
    <w:p>
      <w:pPr>
        <w:spacing w:after="120"/>
      </w:pPr>
      <w:r>
        <w:rPr>
          <w:b/>
        </w:rPr>
        <w:t xml:space="preserve">Draft prose, new section 5.5 — Driving PEST++ from Python</w:t>
      </w:r>
    </w:p>
    <w:p>
      <w:pPr>
        <w:spacing w:after="120"/>
      </w:pPr>
      <w:r>
        <w:t xml:space="preserve">As well as the executables described above, the PEST++ suite is built as a shared library with a C interface, so the tools can be driven in-process instead of being launched as programs. The release bundle carries the library in </w:t>
      </w:r>
      <w:r>
        <w:rPr>
          <w:rFonts w:ascii="Consolas" w:hAnsi="Consolas"/>
          <w:sz w:val="19"/>
        </w:rPr>
        <w:t xml:space="preserve">bin</w:t>
      </w:r>
      <w:r>
        <w:t xml:space="preserve">, the header in </w:t>
      </w:r>
      <w:r>
        <w:rPr>
          <w:rFonts w:ascii="Consolas" w:hAnsi="Consolas"/>
          <w:sz w:val="19"/>
        </w:rPr>
        <w:t xml:space="preserve">include</w:t>
      </w:r>
      <w:r>
        <w:t xml:space="preserve"> and a Python layer in </w:t>
      </w:r>
      <w:r>
        <w:rPr>
          <w:rFonts w:ascii="Consolas" w:hAnsi="Consolas"/>
          <w:sz w:val="19"/>
        </w:rPr>
        <w:t xml:space="preserve">python</w:t>
      </w:r>
      <w:r>
        <w:t xml:space="preserve">. Two modules are provided: </w:t>
      </w:r>
      <w:r>
        <w:rPr>
          <w:rFonts w:ascii="Consolas" w:hAnsi="Consolas"/>
          <w:sz w:val="19"/>
        </w:rPr>
        <w:t xml:space="preserve">pestpp_lib.py</w:t>
      </w:r>
      <w:r>
        <w:t xml:space="preserve">, a thin binding with one method per library function, and </w:t>
      </w:r>
      <w:r>
        <w:rPr>
          <w:rFonts w:ascii="Consolas" w:hAnsi="Consolas"/>
          <w:sz w:val="19"/>
        </w:rPr>
        <w:t xml:space="preserve">pestpp.py</w:t>
      </w:r>
      <w:r>
        <w:t xml:space="preserve">, which presents each tool as a class working in pandas and pyEMU objects.</w:t>
      </w:r>
    </w:p>
    <w:p>
      <w:pPr>
        <w:spacing w:after="120"/>
      </w:pPr>
      <w:r>
        <w:t xml:space="preserve">What this buys is control over the loop the executables run internally. A caller can evaluate the initial ensemble, examine it, change it, and carry on; can take one iteration at a time, changing observation weights or algorithmic variables between iterations; and can take ownership of every batch of model runs, so no model run happens inside a library call that the caller did not ask for.</w:t>
      </w:r>
    </w:p>
    <w:p>
      <w:pPr>
        <w:spacing w:after="120"/>
      </w:pPr>
      <w:r>
        <w:t xml:space="preserve">The interface is at an early stage and is not yet published as a package on PyPI. See </w:t>
      </w:r>
      <w:r>
        <w:rPr>
          <w:rFonts w:ascii="Consolas" w:hAnsi="Consolas"/>
          <w:sz w:val="19"/>
        </w:rPr>
        <w:t xml:space="preserve">python/README.md</w:t>
      </w:r>
      <w:r>
        <w:t xml:space="preserve"> in the release bundle for installation and a description of both layers, and the notebooks in </w:t>
      </w:r>
      <w:r>
        <w:rPr>
          <w:rFonts w:ascii="Consolas" w:hAnsi="Consolas"/>
          <w:sz w:val="19"/>
        </w:rPr>
        <w:t xml:space="preserve">examples</w:t>
      </w:r>
      <w:r>
        <w:t xml:space="preserve"> for worked cases.</w:t>
      </w:r>
    </w:p>
    <w:p>
      <w:pPr>
        <w:pStyle w:val="Heading1"/>
        <w:spacing w:after="200"/>
      </w:pPr>
      <w:r>
        <w:t xml:space="preserve">3. Decisions outstanding</w:t>
      </w:r>
    </w:p>
    <w:p>
      <w:pPr>
        <w:pStyle w:val="Heading2"/>
        <w:spacing w:after="160"/>
      </w:pPr>
      <w:r>
        <w:t xml:space="preserve">3.1 Six dead options</w:t>
      </w:r>
    </w:p>
    <w:p>
      <w:pPr>
        <w:spacing w:after="120"/>
      </w:pPr>
      <w:r>
        <w:t xml:space="preserve">Each of these is in the option registry, is parsed and stored, and is read by nothing at all. Documenting them would be documenting a variable that does nothing, so they were left out of the tables. Retire them by name, the way *global_opt* and the *de_\** family were retired, or reconnect them if the functionality is meant to come back.</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00"/>
        <w:gridCol w:w="6960"/>
      </w:tblGrid>
      <w:tr>
        <w:tc>
          <w:tcPr>
            <w:tcW w:w="2400" w:type="dxa"/>
            <w:shd w:val="clear" w:color="auto" w:fill="EFEFEF"/>
          </w:tcPr>
          <w:p>
            <w:pPr>
              <w:spacing w:after="40"/>
            </w:pPr>
            <w:r>
              <w:rPr>
                <w:b/>
              </w:rPr>
              <w:t xml:space="preserve">Option</w:t>
            </w:r>
          </w:p>
        </w:tc>
        <w:tc>
          <w:tcPr>
            <w:tcW w:w="6960" w:type="dxa"/>
            <w:shd w:val="clear" w:color="auto" w:fill="EFEFEF"/>
          </w:tcPr>
          <w:p>
            <w:pPr>
              <w:spacing w:after="40"/>
            </w:pPr>
            <w:r>
              <w:rPr>
                <w:b/>
              </w:rPr>
              <w:t xml:space="preserve">Situation</w:t>
            </w:r>
          </w:p>
        </w:tc>
      </w:tr>
      <w:tr>
        <w:tc>
          <w:tcPr>
            <w:tcW w:w="2400" w:type="dxa"/>
          </w:tcPr>
          <w:p>
            <w:pPr>
              <w:spacing w:after="40"/>
            </w:pPr>
            <w:r>
              <w:t xml:space="preserve">mou_infill_size</w:t>
            </w:r>
          </w:p>
        </w:tc>
        <w:tc>
          <w:tcPr>
            <w:tcW w:w="6960" w:type="dxa"/>
          </w:tcPr>
          <w:p>
            <w:pPr>
              <w:spacing w:after="40"/>
            </w:pPr>
            <w:r>
              <w:t xml:space="preserve">No reads anywhere in the source.</w:t>
            </w:r>
          </w:p>
        </w:tc>
      </w:tr>
      <w:tr>
        <w:tc>
          <w:tcPr>
            <w:tcW w:w="2400" w:type="dxa"/>
          </w:tcPr>
          <w:p>
            <w:pPr>
              <w:spacing w:after="40"/>
            </w:pPr>
            <w:r>
              <w:t xml:space="preserve">mou_pso_omega</w:t>
            </w:r>
          </w:p>
        </w:tc>
        <w:tc>
          <w:tcPr>
            <w:tcW w:w="6960" w:type="dxa"/>
          </w:tcPr>
          <w:p>
            <w:pPr>
              <w:spacing w:after="40"/>
            </w:pPr>
            <w:r>
              <w:t xml:space="preserve">No reads anywhere in the source. *mou_pso_inertia* appears to have superseded it.</w:t>
            </w:r>
          </w:p>
        </w:tc>
      </w:tr>
      <w:tr>
        <w:tc>
          <w:tcPr>
            <w:tcW w:w="2400" w:type="dxa"/>
          </w:tcPr>
          <w:p>
            <w:pPr>
              <w:spacing w:after="40"/>
            </w:pPr>
            <w:r>
              <w:t xml:space="preserve">mou_resample_command</w:t>
            </w:r>
          </w:p>
        </w:tc>
        <w:tc>
          <w:tcPr>
            <w:tcW w:w="6960" w:type="dxa"/>
          </w:tcPr>
          <w:p>
            <w:pPr>
              <w:spacing w:after="40"/>
            </w:pPr>
            <w:r>
              <w:t xml:space="preserve">No reads anywhere in the source.</w:t>
            </w:r>
          </w:p>
        </w:tc>
      </w:tr>
      <w:tr>
        <w:tc>
          <w:tcPr>
            <w:tcW w:w="2400" w:type="dxa"/>
          </w:tcPr>
          <w:p>
            <w:pPr>
              <w:spacing w:after="40"/>
            </w:pPr>
            <w:r>
              <w:t xml:space="preserve">mou_resample_every</w:t>
            </w:r>
          </w:p>
        </w:tc>
        <w:tc>
          <w:tcPr>
            <w:tcW w:w="6960" w:type="dxa"/>
          </w:tcPr>
          <w:p>
            <w:pPr>
              <w:spacing w:after="40"/>
            </w:pPr>
            <w:r>
              <w:t xml:space="preserve">Its only occurrence is inside a commented-out block in MOEA.cpp.</w:t>
            </w:r>
          </w:p>
        </w:tc>
      </w:tr>
      <w:tr>
        <w:tc>
          <w:tcPr>
            <w:tcW w:w="2400" w:type="dxa"/>
          </w:tcPr>
          <w:p>
            <w:pPr>
              <w:spacing w:after="40"/>
            </w:pPr>
            <w:r>
              <w:t xml:space="preserve">gsa_morris_pooled_obs</w:t>
            </w:r>
          </w:p>
        </w:tc>
        <w:tc>
          <w:tcPr>
            <w:tcW w:w="6960" w:type="dxa"/>
          </w:tcPr>
          <w:p>
            <w:pPr>
              <w:spacing w:after="40"/>
            </w:pPr>
            <w:r>
              <w:t xml:space="preserve">No reads anywhere in the source.</w:t>
            </w:r>
          </w:p>
        </w:tc>
      </w:tr>
      <w:tr>
        <w:tc>
          <w:tcPr>
            <w:tcW w:w="2400" w:type="dxa"/>
          </w:tcPr>
          <w:p>
            <w:pPr>
              <w:spacing w:after="40"/>
            </w:pPr>
            <w:r>
              <w:t xml:space="preserve">sweep_base_run</w:t>
            </w:r>
          </w:p>
        </w:tc>
        <w:tc>
          <w:tcPr>
            <w:tcW w:w="6960" w:type="dxa"/>
          </w:tcPr>
          <w:p>
            <w:pPr>
              <w:spacing w:after="40"/>
            </w:pPr>
            <w:r>
              <w:t xml:space="preserve">Read by sweep, but supplying it as true throws “base runs no longer supported by sweep” and kills the run. Worse than dead: it is a trap.</w:t>
            </w:r>
          </w:p>
        </w:tc>
      </w:tr>
    </w:tbl>
    <w:p>
      <w:pPr>
        <w:spacing w:after="120"/>
      </w:pPr>
    </w:p>
    <w:p>
      <w:pPr>
        <w:pStyle w:val="Heading2"/>
        <w:spacing w:after="160"/>
      </w:pPr>
      <w:r>
        <w:t xml:space="preserve">3.2 Smaller ones</w:t>
      </w:r>
    </w:p>
    <w:p>
      <w:pPr>
        <w:pStyle w:val="ListParagraph"/>
        <w:numPr>
          <w:ilvl w:val="0"/>
          <w:numId w:val="1"/>
        </w:numPr>
        <w:spacing w:after="60"/>
      </w:pPr>
      <w:r>
        <w:rPr>
          <w:b/>
        </w:rPr>
        <w:t xml:space="preserve">PESTPP-SQP reproducibility</w:t>
      </w:r>
      <w:r>
        <w:t xml:space="preserve"> is the one claim in 1.4 that I have not verified.</w:t>
      </w:r>
    </w:p>
    <w:p>
      <w:pPr>
        <w:pStyle w:val="ListParagraph"/>
        <w:numPr>
          <w:ilvl w:val="0"/>
          <w:numId w:val="1"/>
        </w:numPr>
        <w:spacing w:after="60"/>
      </w:pPr>
      <w:r>
        <w:rPr>
          <w:b/>
        </w:rPr>
        <w:t xml:space="preserve">Debug options</w:t>
      </w:r>
      <w:r>
        <w:t xml:space="preserve"> (</w:t>
      </w:r>
      <w:r>
        <w:rPr>
          <w:rFonts w:ascii="Consolas" w:hAnsi="Consolas"/>
          <w:sz w:val="19"/>
        </w:rPr>
        <w:t xml:space="preserve">*_debug_*</w:t>
      </w:r>
      <w:r>
        <w:t xml:space="preserve">) stay undocumented, as you decided. The deprecation paragraph now in section 4.17 would be the natural place for one more sentence saying that keywords containing “debug” are diagnostic and unsupported, which would make the omission deliberate rather than an oversight.</w:t>
      </w:r>
    </w:p>
    <w:p>
      <w:pPr>
        <w:pStyle w:val="ListParagraph"/>
        <w:numPr>
          <w:ilvl w:val="0"/>
          <w:numId w:val="1"/>
        </w:numPr>
        <w:spacing w:after="60"/>
      </w:pPr>
      <w:r>
        <w:rPr>
          <w:b/>
        </w:rPr>
        <w:t xml:space="preserve">pestpp-selftest</w:t>
      </w:r>
      <w:r>
        <w:t xml:space="preserve"> stays out of the manual as a development tool. It is built by default, so it will appear in the release bundle's bin directory; if that bothers anyone, the alternative is one line in section 1.2.</w:t>
      </w:r>
    </w:p>
    <w:p>
      <w:pPr>
        <w:pStyle w:val="ListParagraph"/>
        <w:numPr>
          <w:ilvl w:val="0"/>
          <w:numId w:val="1"/>
        </w:numPr>
        <w:spacing w:after="60"/>
      </w:pPr>
      <w:r>
        <w:rPr>
          <w:b/>
        </w:rPr>
        <w:t xml:space="preserve">Table 1.1</w:t>
      </w:r>
      <w:r>
        <w:t xml:space="preserve"> lists the programs of the suite. It does not list the shared library; if section 5.5 goes in, a line there would be consistent.</w:t>
      </w:r>
    </w:p>
    <w:sectPr>
      <w:pgSz w:w="12240" w:h="15840"/>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basedOn w:val="Normal"/>
    <w:rPr>
      <w:b/>
      <w:sz w:val="52"/>
      <w:color w:val="1F3864"/>
    </w:rPr>
  </w:style>
  <w:style w:type="paragraph" w:styleId="Subtitle">
    <w:name w:val="Subtitle"/>
    <w:basedOn w:val="Normal"/>
    <w:rPr>
      <w:i/>
      <w:sz w:val="22"/>
      <w:color w:val="595959"/>
    </w:rPr>
  </w:style>
  <w:style w:type="paragraph" w:styleId="Heading1">
    <w:name w:val="heading 1"/>
    <w:basedOn w:val="Normal"/>
    <w:pPr>
      <w:outlineLvl w:val="0"/>
    </w:pPr>
    <w:rPr>
      <w:b/>
      <w:sz w:val="34"/>
      <w:color w:val="1F3864"/>
    </w:rPr>
  </w:style>
  <w:style w:type="paragraph" w:styleId="Heading2">
    <w:name w:val="heading 2"/>
    <w:basedOn w:val="Normal"/>
    <w:pPr>
      <w:outlineLvl w:val="1"/>
    </w:pPr>
    <w:rPr>
      <w:b/>
      <w:sz w:val="26"/>
      <w:color w:val="2E5496"/>
    </w:rPr>
  </w:style>
  <w:style w:type="paragraph" w:styleId="Heading3">
    <w:name w:val="heading 3"/>
    <w:basedOn w:val="Normal"/>
    <w:pPr>
      <w:outlineLvl w:val="2"/>
    </w:pPr>
    <w:rPr>
      <w:b/>
      <w:sz w:val="23"/>
      <w:color w:val="2E5496"/>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