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ageBreakBefore w:val="true"/>
      </w:pPr>
      <w:r>
        <w:rPr>
          <w:color w:val="0C184C"/>
          <w:sz w:val="36"/>
        </w:rPr>
        <w:t>Table Of Contents</w:t>
      </w:r>
      <w:fldSimple w:instr="TOC \h" w:dirty="true"/>
    </w:p>
    <w:p>
      <w:pPr>
        <w:pStyle w:val="heading1"/>
        <w:numPr>
          <w:ilvl w:val="1"/>
          <w:numId w:val="1"/>
        </w:numPr>
        <w:jc w:val="left"/>
      </w:pPr>
      <w:r>
        <w:rPr>
          <w:b w:val="true"/>
          <w:sz w:val="32"/>
        </w:rPr>
        <w:t>Lorem Ipsum</w:t>
      </w:r>
    </w:p>
    <w:p>
      <w:pPr>
        <w:jc w:val="both"/>
      </w:pPr>
      <w:r>
        <w:rPr>
          <w:sz w:val="24"/>
        </w:rPr>
        <w:t>Lorem ipsum is placeholder text commonly used in the graphic, print, and publishing industries for previewing layouts and visual mockups.</w:t>
      </w:r>
    </w:p>
    <w:p>
      <w:pPr>
        <w:pStyle w:val="heading1"/>
        <w:numPr>
          <w:ilvl w:val="1"/>
          <w:numId w:val="1"/>
        </w:numPr>
        <w:jc w:val="left"/>
      </w:pPr>
      <w:r>
        <w:rPr>
          <w:b w:val="true"/>
          <w:sz w:val="32"/>
        </w:rPr>
        <w:t>LOREM IPSUM GENERATOR</w:t>
      </w:r>
    </w:p>
    <w:p>
      <w:pPr>
        <w:jc w:val="both"/>
      </w:pPr>
      <w:r>
        <w:rPr>
          <w:sz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ubHeading"/>
        <w:numPr>
          <w:ilvl w:val="2"/>
          <w:numId w:val="1"/>
        </w:numPr>
        <w:jc w:val="left"/>
      </w:pPr>
      <w:r>
        <w:rPr>
          <w:b w:val="true"/>
          <w:sz w:val="32"/>
        </w:rPr>
        <w:t>INTERPRETING NONSENSE</w:t>
      </w:r>
    </w:p>
    <w:p>
      <w:pPr>
        <w:jc w:val="both"/>
      </w:pPr>
      <w:r>
        <w:rPr>
          <w:sz w:val="28"/>
        </w:rPr>
        <w:t>Don't bother typing “lorem ipsum” into Google translate. If you already tried, you may have gotten anything from "NATO" to "China", depending on how you capitalized the letters. The bizarre translation was fodder for conspiracy theories, but Google has since updated its “lorem ipsum” translation to, boringly enough, “lorem ipsum”.</w:t>
      </w:r>
    </w:p>
    <w:p>
      <w:pPr>
        <w:pStyle w:val="subHeading"/>
        <w:numPr>
          <w:ilvl w:val="2"/>
          <w:numId w:val="1"/>
        </w:numPr>
        <w:jc w:val="left"/>
      </w:pPr>
      <w:r>
        <w:rPr>
          <w:b w:val="true"/>
          <w:sz w:val="32"/>
        </w:rPr>
        <w:t>Boparai's version:</w:t>
      </w:r>
    </w:p>
    <w:p>
      <w:pPr>
        <w:jc w:val="both"/>
      </w:pPr>
      <w:r>
        <w:rPr>
          <w:sz w:val="28"/>
        </w:rPr>
        <w:t>“Rrow itself, let it be sorrow; let him love it; let him pursue it, ishing for its acquisitiendum. Because he will ab hold, uniess but through concer, and also of those who resist. Now a pure snore disturbeded sum dust. He ejjnoyes, in order that somewon, also with a severe one, unless of life. May a cusstums offficer somewon nothing of a poison-filled. Until, from a twho, twho chaffinch may also pursue it, not even a lump. But as twho, as a tank; a proverb, yeast; or else they tinscribe nor. Yet yet dewlap bed. Twho may be, let him love fellows of a polecat. Now amour, the, twhose being, drunk, yet twhitch and, an enclosed valley’s always a laugh. In acquisitiendum the Furies are Earth; in (he takes up) a lump vehicles bien.”</w:t>
      </w:r>
    </w:p>
    <w:p>
      <w:pPr>
        <w:pStyle w:val="heading1"/>
        <w:numPr>
          <w:ilvl w:val="1"/>
          <w:numId w:val="1"/>
        </w:numPr>
        <w:jc w:val="left"/>
      </w:pPr>
      <w:r>
        <w:rPr>
          <w:b w:val="true"/>
          <w:sz w:val="32"/>
        </w:rPr>
        <w:t>Variations</w:t>
      </w:r>
    </w:p>
    <w:p>
      <w:pPr>
        <w:jc w:val="both"/>
      </w:pPr>
      <w:r>
        <w:rPr>
          <w:sz w:val="28"/>
        </w:rPr>
        <w:t>Lorem ipsum passages were popularized on Letraset dry-transfer sheets from the early 1970s, which were produced to be used by graphic designers for filler text.[3][4] Aldus Corporation created a version in the mid-1980s for their desktop publishing program PageMaker.[4]</w:t>
      </w:r>
    </w:p>
    <w:p>
      <w:pPr>
        <w:pStyle w:val="subHeading"/>
        <w:numPr>
          <w:ilvl w:val="2"/>
          <w:numId w:val="1"/>
        </w:numPr>
        <w:jc w:val="left"/>
      </w:pPr>
      <w:r>
        <w:rPr>
          <w:b w:val="true"/>
          <w:sz w:val="32"/>
        </w:rPr>
        <w:t xml:space="preserve"> invented Lorem Ipsum</w:t>
      </w:r>
    </w:p>
    <w:p>
      <w:pPr>
        <w:jc w:val="both"/>
      </w:pPr>
      <w:r>
        <w:rPr>
          <w:sz w:val="28"/>
        </w:rPr>
        <w:t>First, the source of Lorem Ipsum—tracked down by Hampden-Sydney Director of Publications Richard McClintock---is Roman lawyer, statesmen, and philosopher Cicero, from an essay called “On the Extremes of Good and Evil,” or De Finibus Bonorum et Malorum.</w:t>
      </w:r>
    </w:p>
    <w:tbl>
      <w:tblPr>
        <w:tblW w:w="5000" w:type="pct"/>
        <w:jc w:val="center"/>
        <w:tblBorders>
          <w:top w:val="single"/>
          <w:left w:val="single"/>
          <w:bottom w:val="single"/>
          <w:right w:val="single"/>
          <w:insideH w:val="single"/>
          <w:insideV w:val="single"/>
        </w:tblBorders>
      </w:tblPr>
      <w:tr>
        <w:tc>
          <w:tcPr>
            <w:shd w:color="auto" w:val="clear" w:fill="4d82be"/>
            <w:vAlign w:val="center"/>
          </w:tcPr>
          <w:p>
            <w:pPr>
              <w:jc w:val="center"/>
            </w:pPr>
            <w:r>
              <w:rPr>
                <w:color w:val="ffffff"/>
              </w:rPr>
              <w:t>Name</w:t>
            </w:r>
          </w:p>
        </w:tc>
        <w:tc>
          <w:tcPr>
            <w:shd w:color="auto" w:val="clear" w:fill="4d82be"/>
            <w:vAlign w:val="center"/>
          </w:tcPr>
          <w:p>
            <w:pPr>
              <w:jc w:val="center"/>
            </w:pPr>
            <w:r>
              <w:rPr>
                <w:color w:val="ffffff"/>
              </w:rPr>
              <w:t>Role</w:t>
            </w:r>
          </w:p>
        </w:tc>
        <w:tc>
          <w:tcPr>
            <w:shd w:color="auto" w:val="clear" w:fill="4d82be"/>
            <w:vAlign w:val="center"/>
          </w:tcPr>
          <w:p>
            <w:pPr>
              <w:jc w:val="center"/>
            </w:pPr>
            <w:r>
              <w:rPr>
                <w:color w:val="ffffff"/>
              </w:rPr>
              <w:t>Company</w:t>
            </w:r>
          </w:p>
        </w:tc>
        <w:tc>
          <w:tcPr>
            <w:shd w:color="auto" w:val="clear" w:fill="4d82be"/>
            <w:vAlign w:val="center"/>
          </w:tcPr>
          <w:p>
            <w:pPr>
              <w:jc w:val="center"/>
            </w:pPr>
            <w:r>
              <w:rPr>
                <w:color w:val="ffffff"/>
              </w:rPr>
              <w:t>Position</w:t>
            </w:r>
          </w:p>
        </w:tc>
      </w:tr>
      <w:tr>
        <w:tc>
          <w:tcPr>
            <w:shd w:color="auto" w:val="clear" w:fill="dbe5f1"/>
            <w:vAlign w:val="center"/>
          </w:tcPr>
          <w:p>
            <w:r>
              <w:t>Hardware Kent</w:t>
            </w:r>
          </w:p>
        </w:tc>
        <w:tc>
          <w:tcPr>
            <w:shd w:color="auto" w:val="clear" w:fill="dbe5f1"/>
            <w:vAlign w:val="center"/>
          </w:tcPr>
          <w:p>
            <w:r>
              <w:t>Senior Network Architect</w:t>
            </w:r>
          </w:p>
        </w:tc>
        <w:tc>
          <w:tcPr>
            <w:shd w:color="auto" w:val="clear" w:fill="dbe5f1"/>
            <w:vAlign w:val="center"/>
          </w:tcPr>
          <w:p>
            <w:r>
              <w:t>NRT</w:t>
            </w:r>
          </w:p>
        </w:tc>
        <w:tc>
          <w:tcPr>
            <w:shd w:color="auto" w:val="clear" w:fill="dbe5f1"/>
            <w:vAlign w:val="center"/>
          </w:tcPr>
          <w:p>
            <w:r>
              <w:t>Manager</w:t>
            </w:r>
          </w:p>
        </w:tc>
      </w:tr>
      <w:tr>
        <w:tc>
          <w:tcPr>
            <w:shd w:color="auto" w:val="clear" w:fill="feffff"/>
            <w:vAlign w:val="center"/>
          </w:tcPr>
          <w:p>
            <w:r>
              <w:t>Alex Adshead</w:t>
            </w:r>
          </w:p>
        </w:tc>
        <w:tc>
          <w:tcPr>
            <w:shd w:color="auto" w:val="clear" w:fill="feffff"/>
            <w:vAlign w:val="center"/>
          </w:tcPr>
          <w:p>
            <w:r>
              <w:t>Senior Network Supporting Engineer</w:t>
            </w:r>
          </w:p>
        </w:tc>
        <w:tc>
          <w:tcPr>
            <w:shd w:color="auto" w:val="clear" w:fill="feffff"/>
            <w:vAlign w:val="center"/>
          </w:tcPr>
          <w:p>
            <w:r>
              <w:t/>
            </w:r>
          </w:p>
        </w:tc>
        <w:tc>
          <w:tcPr>
            <w:shd w:color="auto" w:val="clear" w:fill="feffff"/>
            <w:vAlign w:val="center"/>
          </w:tcPr>
          <w:p>
            <w:r>
              <w:t>Manager</w:t>
            </w:r>
          </w:p>
        </w:tc>
      </w:tr>
      <w:tr>
        <w:tc>
          <w:tcPr>
            <w:shd w:color="auto" w:val="clear" w:fill="dbe5f1"/>
            <w:vAlign w:val="center"/>
          </w:tcPr>
          <w:p>
            <w:r>
              <w:t>Amit Gautam</w:t>
            </w:r>
          </w:p>
        </w:tc>
        <w:tc>
          <w:tcPr>
            <w:shd w:color="auto" w:val="clear" w:fill="dbe5f1"/>
            <w:vAlign w:val="center"/>
          </w:tcPr>
          <w:p>
            <w:r>
              <w:t>Releases Manager</w:t>
            </w:r>
          </w:p>
        </w:tc>
        <w:tc>
          <w:tcPr>
            <w:shd w:color="auto" w:val="clear" w:fill="dbe5f1"/>
            <w:vAlign w:val="center"/>
          </w:tcPr>
          <w:p>
            <w:r>
              <w:t xml:space="preserve">Cognizant </w:t>
            </w:r>
          </w:p>
        </w:tc>
        <w:tc>
          <w:tcPr>
            <w:shd w:color="auto" w:val="clear" w:fill="dbe5f1"/>
            <w:vAlign w:val="center"/>
          </w:tcPr>
          <w:p>
            <w:r>
              <w:t>Manager</w:t>
            </w:r>
          </w:p>
        </w:tc>
      </w:tr>
      <w:tr>
        <w:tc>
          <w:tcPr>
            <w:shd w:color="auto" w:val="clear" w:fill="feffff"/>
            <w:vAlign w:val="center"/>
          </w:tcPr>
          <w:p>
            <w:r>
              <w:t>Narendra Suraj</w:t>
            </w:r>
          </w:p>
        </w:tc>
        <w:tc>
          <w:tcPr>
            <w:shd w:color="auto" w:val="clear" w:fill="feffff"/>
            <w:vAlign w:val="center"/>
          </w:tcPr>
          <w:p>
            <w:r>
              <w:t>project manager</w:t>
            </w:r>
          </w:p>
        </w:tc>
        <w:tc>
          <w:tcPr>
            <w:shd w:color="auto" w:val="clear" w:fill="feffff"/>
            <w:vAlign w:val="center"/>
          </w:tcPr>
          <w:p>
            <w:r>
              <w:t>Cognizant</w:t>
            </w:r>
          </w:p>
        </w:tc>
        <w:tc>
          <w:tcPr>
            <w:shd w:color="auto" w:val="clear" w:fill="feffff"/>
            <w:vAlign w:val="center"/>
          </w:tcPr>
          <w:p>
            <w:r>
              <w:t>Manager</w:t>
            </w:r>
          </w:p>
        </w:tc>
      </w:tr>
    </w:tbl>
    <w:sectPr>
      <w:pgSz w:w="12240" w:h="15840"/>
      <w:pgBorders>
        <w:top w:val="thick" w:sz="10" w:space="200" w:color="000000"/>
        <w:left w:val="thick" w:sz="10" w:space="200" w:color="000000"/>
        <w:bottom w:val="thick" w:sz="10" w:space="200" w:color="000000"/>
        <w:right w:val="thick" w:sz="10" w:space="200" w:color="000000"/>
      </w:pgBorders>
    </w:sectPr>
  </w:body>
</w:document>
</file>

<file path=word/numbering.xml><?xml version="1.0" encoding="utf-8"?>
<w:numbering xmlns:w="http://schemas.openxmlformats.org/wordprocessingml/2006/main">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 w:styleId="heading1" w:type="paragraph">
    <w:name w:val="heading1"/>
    <w:uiPriority w:val="1"/>
    <w:unhideWhenUsed/>
    <w:qFormat/>
    <w:pPr>
      <w:outlineLvl w:val="1"/>
    </w:pPr>
  </w:style>
  <w:style w:styleId="heading1" w:type="paragraph">
    <w:name w:val="heading1"/>
    <w:uiPriority w:val="1"/>
    <w:unhideWhenUsed/>
    <w:qFormat/>
    <w:pPr>
      <w:outlineLvl w:val="1"/>
    </w:pPr>
  </w:style>
  <w:style w:styleId="subHeading" w:type="paragraph">
    <w:name w:val="subHeading"/>
    <w:uiPriority w:val="2"/>
    <w:unhideWhenUsed/>
    <w:qFormat/>
    <w:pPr>
      <w:outlineLvl w:val="2"/>
    </w:pPr>
  </w:style>
  <w:style w:styleId="subHeading" w:type="paragraph">
    <w:name w:val="subHeading"/>
    <w:uiPriority w:val="2"/>
    <w:unhideWhenUsed/>
    <w:qFormat/>
    <w:pPr>
      <w:outlineLvl w:val="2"/>
    </w:pPr>
  </w:style>
  <w:style w:styleId="heading1" w:type="paragraph">
    <w:name w:val="heading1"/>
    <w:uiPriority w:val="1"/>
    <w:unhideWhenUsed/>
    <w:qFormat/>
    <w:pPr>
      <w:outlineLvl w:val="1"/>
    </w:pPr>
  </w:style>
  <w:style w:styleId="subHeading" w:type="paragraph">
    <w:name w:val="subHeading"/>
    <w:uiPriority w:val="2"/>
    <w:unhideWhenUsed/>
    <w:qFormat/>
    <w:pPr>
      <w:outlineLvl w:val="2"/>
    </w:p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2020-05-18T15:00:41Z</dcterms:created>
  <dc:creator>Apache POI</dc:creator>
</cp:coreProperties>
</file>