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color w:val="1F3864"/>
          <w:sz w:val="48"/>
          <w:szCs w:val="48"/>
        </w:rPr>
        <w:t xml:space="preserve">APPENDIX S</w:t>
      </w:r>
    </w:p>
    <w:p>
      <w:pPr>
        <w:spacing w:after="120" w:before="60"/>
        <w:jc w:val="center"/>
      </w:pPr>
      <w:r>
        <w:rPr>
          <w:b/>
          <w:bCs/>
          <w:sz w:val="32"/>
          <w:szCs w:val="32"/>
        </w:rPr>
        <w:t xml:space="preserve">TDE Options &amp; Certificate Migration</w:t>
      </w:r>
    </w:p>
    <w:p>
      <w:pPr>
        <w:spacing w:after="120" w:before="60"/>
        <w:jc w:val="center"/>
      </w:pPr>
      <w:r>
        <w:rPr>
          <w:b/>
          <w:bCs/>
          <w:color w:val="2E75B6"/>
          <w:sz w:val="26"/>
          <w:szCs w:val="26"/>
        </w:rPr>
        <w:t xml:space="preserve">Comprehensive TDE Playbook for Banking Workloads</w:t>
      </w:r>
    </w:p>
    <w:p>
      <w:pPr>
        <w:spacing w:after="60" w:before="120"/>
        <w:jc w:val="center"/>
      </w:pPr>
      <w:r>
        <w:rPr>
          <w:i/>
          <w:iCs/>
          <w:sz w:val="22"/>
          <w:szCs w:val="22"/>
        </w:rPr>
        <w:t xml:space="preserve">Implemented POC + Scenario Catalog + Implementation Roadmap</w:t>
      </w:r>
    </w:p>
    <w:p>
      <w:pPr>
        <w:spacing w:after="60" w:before="360"/>
        <w:jc w:val="center"/>
      </w:pPr>
      <w:r>
        <w:rPr>
          <w:b/>
          <w:bCs/>
          <w:color w:val="548235"/>
          <w:sz w:val="24"/>
          <w:szCs w:val="24"/>
        </w:rPr>
        <w:t xml:space="preserve">TIER 1 IMPLEMENTED: Standalone TDE to SQL MI (100% Complete)</w:t>
      </w:r>
    </w:p>
    <w:p>
      <w:pPr>
        <w:spacing w:after="120" w:before="60"/>
        <w:jc w:val="center"/>
      </w:pPr>
      <w:r>
        <w:rPr>
          <w:b/>
          <w:bCs/>
          <w:color w:val="806000"/>
          <w:sz w:val="22"/>
          <w:szCs w:val="22"/>
        </w:rPr>
        <w:t xml:space="preserve">TIER 2 PRIORITIZED: 3 scenarios planned for implementation</w:t>
      </w:r>
    </w:p>
    <w:p>
      <w:pPr>
        <w:spacing w:after="120" w:before="60"/>
        <w:jc w:val="center"/>
      </w:pPr>
      <w:r>
        <w:rPr>
          <w:b/>
          <w:bCs/>
          <w:color w:val="C65911"/>
          <w:sz w:val="22"/>
          <w:szCs w:val="22"/>
        </w:rPr>
        <w:t xml:space="preserve">TIER 3 CATALOGED: 20+ additional scenarios documented</w:t>
      </w:r>
    </w:p>
    <w:p>
      <w:pPr>
        <w:spacing w:after="60" w:before="360"/>
        <w:jc w:val="center"/>
      </w:pPr>
      <w:r>
        <w:rPr>
          <w:sz w:val="22"/>
          <w:szCs w:val="22"/>
        </w:rPr>
        <w:t xml:space="preserve">Version 5.0  |  April 22, 2026</w:t>
      </w:r>
    </w:p>
    <w:p>
      <w:pPr>
        <w:spacing w:after="60" w:before="60"/>
        <w:jc w:val="center"/>
      </w:pPr>
      <w:r>
        <w:rPr>
          <w:sz w:val="22"/>
          <w:szCs w:val="22"/>
        </w:rPr>
        <w:t xml:space="preserve">Usha Kale  |  Senior Cloud DBA / Azure Data Engineer</w:t>
      </w:r>
    </w:p>
    <w:p>
      <w:pPr>
        <w:spacing w:after="60" w:before="60"/>
        <w:jc w:val="center"/>
      </w:pPr>
      <w:r>
        <w:rPr>
          <w:i/>
          <w:iCs/>
          <w:sz w:val="22"/>
          <w:szCs w:val="22"/>
        </w:rPr>
        <w:t xml:space="preserve">OrgSpire Inc.</w:t>
      </w:r>
    </w:p>
    <w:p>
      <w:pPr>
        <w:pStyle w:val="Heading1"/>
        <w:spacing w:after="180" w:before="360"/>
      </w:pPr>
      <w:r>
        <w:rPr>
          <w:b/>
          <w:bCs/>
          <w:color w:val="1F3864"/>
          <w:sz w:val="32"/>
          <w:szCs w:val="32"/>
        </w:rPr>
        <w:t xml:space="preserve">Document Map</w:t>
      </w:r>
    </w:p>
    <w:p>
      <w:pPr>
        <w:spacing w:after="80" w:before="80"/>
      </w:pPr>
      <w:r>
        <w:rPr>
          <w:sz w:val="22"/>
          <w:szCs w:val="22"/>
        </w:rPr>
        <w:t xml:space="preserve">This document combines a completed end-to-end TDE migration POC (Sections 1-11) with a comprehensive TDE Options Playbook (Sections 12-15) cataloging all TDE scenarios relevant to banking workloads.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460"/>
        <w:gridCol w:w="2340"/>
      </w:tblGrid>
      <w:tr>
        <w:tc>
          <w:tcPr>
            <w:tcW w:type="dxa" w:w="1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Section</w:t>
            </w:r>
          </w:p>
        </w:tc>
        <w:tc>
          <w:tcPr>
            <w:tcW w:type="dxa" w:w="54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Topic</w:t>
            </w:r>
          </w:p>
        </w:tc>
        <w:tc>
          <w:tcPr>
            <w:tcW w:type="dxa" w:w="234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Status</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1-11</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Implemented POC: Standalone TDE to SQL MI migration</w:t>
            </w:r>
          </w:p>
        </w:tc>
        <w:tc>
          <w:tcPr>
            <w:tcW w:type="dxa" w:w="234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r>
              <w:rPr>
                <w:b w:val="false"/>
                <w:bCs w:val="false"/>
                <w:sz w:val="20"/>
                <w:szCs w:val="20"/>
              </w:rPr>
              <w:t xml:space="preserve">✓ Complete</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12</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TDE Options Playbook — Full Scenario Catalog</w:t>
            </w:r>
          </w:p>
        </w:tc>
        <w:tc>
          <w:tcPr>
            <w:tcW w:type="dxa" w:w="234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r>
              <w:rPr>
                <w:b w:val="false"/>
                <w:bCs w:val="false"/>
                <w:sz w:val="20"/>
                <w:szCs w:val="20"/>
              </w:rPr>
              <w:t xml:space="preserve">✓ Documented</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13</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Banking Sector TDE Requirements</w:t>
            </w:r>
          </w:p>
        </w:tc>
        <w:tc>
          <w:tcPr>
            <w:tcW w:type="dxa" w:w="234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r>
              <w:rPr>
                <w:b w:val="false"/>
                <w:bCs w:val="false"/>
                <w:sz w:val="20"/>
                <w:szCs w:val="20"/>
              </w:rPr>
              <w:t xml:space="preserve">✓ Documented</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14</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Priority Matrix — Scenario Ranking</w:t>
            </w:r>
          </w:p>
        </w:tc>
        <w:tc>
          <w:tcPr>
            <w:tcW w:type="dxa" w:w="234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r>
              <w:rPr>
                <w:b w:val="false"/>
                <w:bCs w:val="false"/>
                <w:sz w:val="20"/>
                <w:szCs w:val="20"/>
              </w:rPr>
              <w:t xml:space="preserve">✓ Documented</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15</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Implementation Roadmap</w:t>
            </w:r>
          </w:p>
        </w:tc>
        <w:tc>
          <w:tcPr>
            <w:tcW w:type="dxa" w:w="234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r>
              <w:rPr>
                <w:b w:val="false"/>
                <w:bCs w:val="false"/>
                <w:sz w:val="20"/>
                <w:szCs w:val="20"/>
              </w:rPr>
              <w:t xml:space="preserve">✓ Documented</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16</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Key Learnings (KL-S-08 through KL-S-14)</w:t>
            </w:r>
          </w:p>
        </w:tc>
        <w:tc>
          <w:tcPr>
            <w:tcW w:type="dxa" w:w="234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r>
              <w:rPr>
                <w:b w:val="false"/>
                <w:bCs w:val="false"/>
                <w:sz w:val="20"/>
                <w:szCs w:val="20"/>
              </w:rPr>
              <w:t xml:space="preserve">✓ Documented</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17</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Resume Bullet Candidates</w:t>
            </w:r>
          </w:p>
        </w:tc>
        <w:tc>
          <w:tcPr>
            <w:tcW w:type="dxa" w:w="234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r>
              <w:rPr>
                <w:b w:val="false"/>
                <w:bCs w:val="false"/>
                <w:sz w:val="20"/>
                <w:szCs w:val="20"/>
              </w:rPr>
              <w:t xml:space="preserve">✓ Documented</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18</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References</w:t>
            </w:r>
          </w:p>
        </w:tc>
        <w:tc>
          <w:tcPr>
            <w:tcW w:type="dxa" w:w="234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r>
              <w:rPr>
                <w:b w:val="false"/>
                <w:bCs w:val="false"/>
                <w:sz w:val="20"/>
                <w:szCs w:val="20"/>
              </w:rPr>
              <w:t xml:space="preserve">✓ Documented</w:t>
            </w:r>
          </w:p>
        </w:tc>
      </w:tr>
    </w:tbl>
    <w:p>
      <w:pPr>
        <w:pStyle w:val="Heading1"/>
        <w:spacing w:after="180" w:before="360"/>
      </w:pPr>
      <w:r>
        <w:rPr>
          <w:b/>
          <w:bCs/>
          <w:color w:val="1F3864"/>
          <w:sz w:val="32"/>
          <w:szCs w:val="32"/>
        </w:rPr>
        <w:t xml:space="preserve">Executive Summary</w:t>
      </w:r>
    </w:p>
    <w:p>
      <w:pPr>
        <w:spacing w:after="80" w:before="80"/>
      </w:pPr>
      <w:r>
        <w:rPr>
          <w:sz w:val="22"/>
          <w:szCs w:val="22"/>
        </w:rPr>
        <w:t xml:space="preserve">This appendix serves two purposes: (1) document the completed end-to-end TDE migration POC from on-premises SQL Server 2019 to Azure SQL Managed Instance, and (2) provide a comprehensive TDE Options Playbook covering the full spectrum of TDE scenarios a Senior Cloud DBA encounters in banking and financial services environments.</w:t>
      </w:r>
    </w:p>
    <w:p>
      <w:pPr>
        <w:spacing w:after="80" w:before="80"/>
      </w:pPr>
      <w:r>
        <w:rPr>
          <w:sz w:val="22"/>
          <w:szCs w:val="22"/>
        </w:rPr>
        <w:t xml:space="preserve">The implemented POC (Sections 1-11) migrated a 2,300-row banking database across 9 discrete phases on April 22, 2026, preserving encryption at every step. The Playbook (Sections 12-15) catalogs 25+ TDE scenarios organized into 6 categories, ranks them by banking relevance and portfolio value, and defines a clear implementation roadmap.</w:t>
      </w:r>
    </w:p>
    <w:p>
      <w:pPr>
        <w:pStyle w:val="Heading2"/>
        <w:spacing w:after="140" w:before="280"/>
      </w:pPr>
      <w:r>
        <w:rPr>
          <w:b/>
          <w:bCs/>
          <w:color w:val="2E75B6"/>
          <w:sz w:val="28"/>
          <w:szCs w:val="28"/>
        </w:rPr>
        <w:t xml:space="preserve">Final Validation Results — Completed POC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Metric</w:t>
            </w:r>
          </w:p>
        </w:tc>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Source (Node1)</w:t>
            </w:r>
          </w:p>
        </w:tc>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Target (MI)</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Database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TDE_Demo_DB_Banking</w:t>
            </w:r>
          </w:p>
        </w:tc>
        <w:tc>
          <w:tcPr>
            <w:tcW w:type="dxa" w:w="312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r>
              <w:rPr>
                <w:b w:val="false"/>
                <w:bCs w:val="false"/>
                <w:sz w:val="20"/>
                <w:szCs w:val="20"/>
              </w:rPr>
              <w:t xml:space="preserve">TDE_Demo_DB_Banking</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encryption_state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 (Encrypted)</w:t>
            </w:r>
          </w:p>
        </w:tc>
        <w:tc>
          <w:tcPr>
            <w:tcW w:type="dxa" w:w="312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r>
              <w:rPr>
                <w:b w:val="false"/>
                <w:bCs w:val="false"/>
                <w:sz w:val="20"/>
                <w:szCs w:val="20"/>
              </w:rPr>
              <w:t xml:space="preserve">3 (Encrypted)</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Algorithm</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AES</w:t>
            </w:r>
          </w:p>
        </w:tc>
        <w:tc>
          <w:tcPr>
            <w:tcW w:type="dxa" w:w="312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r>
              <w:rPr>
                <w:b w:val="false"/>
                <w:bCs w:val="false"/>
                <w:sz w:val="20"/>
                <w:szCs w:val="20"/>
              </w:rPr>
              <w:t xml:space="preserve">AES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Key Length</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256</w:t>
            </w:r>
          </w:p>
        </w:tc>
        <w:tc>
          <w:tcPr>
            <w:tcW w:type="dxa" w:w="312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r>
              <w:rPr>
                <w:b w:val="false"/>
                <w:bCs w:val="false"/>
                <w:sz w:val="20"/>
                <w:szCs w:val="20"/>
              </w:rPr>
              <w:t xml:space="preserve">256</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Encryptor Type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CERTIFICATE</w:t>
            </w:r>
          </w:p>
        </w:tc>
        <w:tc>
          <w:tcPr>
            <w:tcW w:type="dxa" w:w="312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r>
              <w:rPr>
                <w:b w:val="false"/>
                <w:bCs w:val="false"/>
                <w:sz w:val="20"/>
                <w:szCs w:val="20"/>
              </w:rPr>
              <w:t xml:space="preserve">CERTIFICATE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TOTAL rows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2,300</w:t>
            </w:r>
          </w:p>
        </w:tc>
        <w:tc>
          <w:tcPr>
            <w:tcW w:type="dxa" w:w="312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r>
              <w:rPr>
                <w:b/>
                <w:bCs/>
                <w:sz w:val="20"/>
                <w:szCs w:val="20"/>
              </w:rPr>
              <w:t xml:space="preserve">2,300 (100% parity)</w:t>
            </w:r>
          </w:p>
        </w:tc>
      </w:tr>
    </w:tbl>
    <w:p>
      <w:pPr>
        <w:pStyle w:val="Heading1"/>
        <w:spacing w:after="180" w:before="360"/>
      </w:pPr>
      <w:r>
        <w:rPr>
          <w:b/>
          <w:bCs/>
          <w:color w:val="1F3864"/>
          <w:sz w:val="32"/>
          <w:szCs w:val="32"/>
        </w:rPr>
        <w:t xml:space="preserve">1. The Big Picture</w:t>
      </w:r>
    </w:p>
    <w:p>
      <w:pPr>
        <w:pStyle w:val="Heading2"/>
        <w:spacing w:after="140" w:before="280"/>
      </w:pPr>
      <w:r>
        <w:rPr>
          <w:b/>
          <w:bCs/>
          <w:color w:val="2E75B6"/>
          <w:sz w:val="28"/>
          <w:szCs w:val="28"/>
        </w:rPr>
        <w:t xml:space="preserve">1.1 Goal</w:t>
      </w:r>
    </w:p>
    <w:p>
      <w:pPr>
        <w:spacing w:after="80" w:before="80"/>
      </w:pPr>
      <w:r>
        <w:rPr>
          <w:sz w:val="22"/>
          <w:szCs w:val="22"/>
        </w:rPr>
        <w:t xml:space="preserve">Move an encrypted SQL Server database from on-premises (Node1) to Azure SQL Managed Instance (usha-sqlmi-poc) without decrypting it along the way. The database stays encrypted at every step, which is what makes the migration compliant for regulated banking environments.</w:t>
      </w:r>
    </w:p>
    <w:p>
      <w:pPr>
        <w:pStyle w:val="Heading2"/>
        <w:spacing w:after="140" w:before="280"/>
      </w:pPr>
      <w:r>
        <w:rPr>
          <w:b/>
          <w:bCs/>
          <w:color w:val="2E75B6"/>
          <w:sz w:val="28"/>
          <w:szCs w:val="28"/>
        </w:rPr>
        <w:t xml:space="preserve">1.2 Why TDE Migration Is Harder Than Normal Migration</w:t>
      </w:r>
    </w:p>
    <w:p>
      <w:pPr>
        <w:spacing w:after="80" w:before="80"/>
      </w:pPr>
      <w:r>
        <w:rPr>
          <w:sz w:val="22"/>
          <w:szCs w:val="22"/>
        </w:rPr>
        <w:t xml:space="preserve">In a normal (non-TDE) database migration, you take a backup (.bak), copy it to the target, and restore it.</w:t>
      </w:r>
    </w:p>
    <w:p>
      <w:pPr>
        <w:spacing w:after="80" w:before="80"/>
      </w:pPr>
      <w:r>
        <w:rPr>
          <w:sz w:val="22"/>
          <w:szCs w:val="22"/>
        </w:rPr>
        <w:t xml:space="preserve">With a TDE-encrypted database, the .bak file itself is encrypted using the source server's certificate. If you try to restore that backup on a target server that does not have the same certificate, SQL Server cannot decrypt the data pages and the restore fails with error 33111.</w:t>
      </w:r>
    </w:p>
    <w:p>
      <w:pPr>
        <w:spacing w:after="80" w:before="80"/>
      </w:pPr>
      <w:r>
        <w:rPr>
          <w:b/>
          <w:bCs/>
          <w:sz w:val="22"/>
          <w:szCs w:val="22"/>
        </w:rPr>
        <w:t xml:space="preserve">Therefore, the certificate MUST travel to the target BEFORE the database backup arrives.</w:t>
      </w:r>
    </w:p>
    <w:p>
      <w:pPr>
        <w:pStyle w:val="Heading2"/>
        <w:spacing w:after="140" w:before="280"/>
      </w:pPr>
      <w:r>
        <w:rPr>
          <w:b/>
          <w:bCs/>
          <w:color w:val="2E75B6"/>
          <w:sz w:val="28"/>
          <w:szCs w:val="28"/>
        </w:rPr>
        <w:t xml:space="preserve">1.3 Complete Migration Flow</w:t>
      </w:r>
    </w:p>
    <w:p>
      <w:pPr>
        <w:shd w:fill="F8F8F8" w:val="clear"/>
        <w:spacing w:after="20" w:before="20"/>
      </w:pPr>
      <w:r>
        <w:rPr>
          <w:rFonts w:ascii="Consolas" w:cs="Consolas" w:eastAsia="Consolas" w:hAnsi="Consolas"/>
          <w:sz w:val="14"/>
          <w:szCs w:val="14"/>
        </w:rPr>
        <w:t xml:space="preserve">                                                                            </w:t>
      </w:r>
    </w:p>
    <w:p>
      <w:pPr>
        <w:shd w:fill="F8F8F8" w:val="clear"/>
        <w:spacing w:after="20" w:before="20"/>
      </w:pPr>
      <w:r>
        <w:rPr>
          <w:rFonts w:ascii="Consolas" w:cs="Consolas" w:eastAsia="Consolas" w:hAnsi="Consolas"/>
          <w:sz w:val="14"/>
          <w:szCs w:val="14"/>
        </w:rPr>
        <w:t xml:space="preserve">  +------------------------------+        +------------------------------+ </w:t>
      </w:r>
    </w:p>
    <w:p>
      <w:pPr>
        <w:shd w:fill="F8F8F8" w:val="clear"/>
        <w:spacing w:after="20" w:before="20"/>
      </w:pPr>
      <w:r>
        <w:rPr>
          <w:rFonts w:ascii="Consolas" w:cs="Consolas" w:eastAsia="Consolas" w:hAnsi="Consolas"/>
          <w:sz w:val="14"/>
          <w:szCs w:val="14"/>
        </w:rPr>
        <w:t xml:space="preserve">  |   NODE1 (ON-PREM)            |        |  usha-sqlmi-poc (AZURE)      | </w:t>
      </w:r>
    </w:p>
    <w:p>
      <w:pPr>
        <w:shd w:fill="F8F8F8" w:val="clear"/>
        <w:spacing w:after="20" w:before="20"/>
      </w:pPr>
      <w:r>
        <w:rPr>
          <w:rFonts w:ascii="Consolas" w:cs="Consolas" w:eastAsia="Consolas" w:hAnsi="Consolas"/>
          <w:sz w:val="14"/>
          <w:szCs w:val="14"/>
        </w:rPr>
        <w:t xml:space="preserve">  |   SQL Server 2019 CU32       |        |  SQL Managed Instance        | </w:t>
      </w:r>
    </w:p>
    <w:p>
      <w:pPr>
        <w:shd w:fill="F8F8F8" w:val="clear"/>
        <w:spacing w:after="20" w:before="20"/>
      </w:pPr>
      <w:r>
        <w:rPr>
          <w:rFonts w:ascii="Consolas" w:cs="Consolas" w:eastAsia="Consolas" w:hAnsi="Consolas"/>
          <w:sz w:val="14"/>
          <w:szCs w:val="14"/>
        </w:rPr>
        <w:t xml:space="preserve">  +------------------------------+        +------------------------------+ </w:t>
      </w:r>
    </w:p>
    <w:p>
      <w:pPr>
        <w:shd w:fill="F8F8F8" w:val="clear"/>
        <w:spacing w:after="20" w:before="20"/>
      </w:pPr>
      <w:r>
        <w:rPr>
          <w:rFonts w:ascii="Consolas" w:cs="Consolas" w:eastAsia="Consolas" w:hAnsi="Consolas"/>
          <w:sz w:val="14"/>
          <w:szCs w:val="14"/>
        </w:rPr>
        <w:t xml:space="preserve">                                                                            </w:t>
      </w:r>
    </w:p>
    <w:p>
      <w:pPr>
        <w:shd w:fill="F8F8F8" w:val="clear"/>
        <w:spacing w:after="20" w:before="20"/>
      </w:pPr>
      <w:r>
        <w:rPr>
          <w:rFonts w:ascii="Consolas" w:cs="Consolas" w:eastAsia="Consolas" w:hAnsi="Consolas"/>
          <w:sz w:val="14"/>
          <w:szCs w:val="14"/>
        </w:rPr>
        <w:t xml:space="preserve">  TDE_Demo_DB_Banking                                                       </w:t>
      </w:r>
    </w:p>
    <w:p>
      <w:pPr>
        <w:shd w:fill="F8F8F8" w:val="clear"/>
        <w:spacing w:after="20" w:before="20"/>
      </w:pPr>
      <w:r>
        <w:rPr>
          <w:rFonts w:ascii="Consolas" w:cs="Consolas" w:eastAsia="Consolas" w:hAnsi="Consolas"/>
          <w:sz w:val="14"/>
          <w:szCs w:val="14"/>
        </w:rPr>
        <w:t xml:space="preserve">  - 2,300 rows (Customers + Accounts + Transactions)                        </w:t>
      </w:r>
    </w:p>
    <w:p>
      <w:pPr>
        <w:shd w:fill="F8F8F8" w:val="clear"/>
        <w:spacing w:after="20" w:before="20"/>
      </w:pPr>
      <w:r>
        <w:rPr>
          <w:rFonts w:ascii="Consolas" w:cs="Consolas" w:eastAsia="Consolas" w:hAnsi="Consolas"/>
          <w:sz w:val="14"/>
          <w:szCs w:val="14"/>
        </w:rPr>
        <w:t xml:space="preserve">  - Encrypted with AES-256 TDE                                              </w:t>
      </w:r>
    </w:p>
    <w:p>
      <w:pPr>
        <w:shd w:fill="F8F8F8" w:val="clear"/>
        <w:spacing w:after="20" w:before="20"/>
      </w:pPr>
      <w:r>
        <w:rPr>
          <w:rFonts w:ascii="Consolas" w:cs="Consolas" w:eastAsia="Consolas" w:hAnsi="Consolas"/>
          <w:sz w:val="14"/>
          <w:szCs w:val="14"/>
        </w:rPr>
        <w:t xml:space="preserve">                                                                            </w:t>
      </w:r>
    </w:p>
    <w:p>
      <w:pPr>
        <w:shd w:fill="F8F8F8" w:val="clear"/>
        <w:spacing w:after="20" w:before="20"/>
      </w:pPr>
      <w:r>
        <w:rPr>
          <w:rFonts w:ascii="Consolas" w:cs="Consolas" w:eastAsia="Consolas" w:hAnsi="Consolas"/>
          <w:sz w:val="14"/>
          <w:szCs w:val="14"/>
        </w:rPr>
        <w:t xml:space="preserve">  ===============  PHASE 1: MOVE THE CERTIFICATE  ===============           </w:t>
      </w:r>
    </w:p>
    <w:p>
      <w:pPr>
        <w:shd w:fill="F8F8F8" w:val="clear"/>
        <w:spacing w:after="20" w:before="20"/>
      </w:pPr>
      <w:r>
        <w:rPr>
          <w:rFonts w:ascii="Consolas" w:cs="Consolas" w:eastAsia="Consolas" w:hAnsi="Consolas"/>
          <w:sz w:val="14"/>
          <w:szCs w:val="14"/>
        </w:rPr>
        <w:t xml:space="preserve">                                                                            </w:t>
      </w:r>
    </w:p>
    <w:p>
      <w:pPr>
        <w:shd w:fill="F8F8F8" w:val="clear"/>
        <w:spacing w:after="20" w:before="20"/>
      </w:pPr>
      <w:r>
        <w:rPr>
          <w:rFonts w:ascii="Consolas" w:cs="Consolas" w:eastAsia="Consolas" w:hAnsi="Consolas"/>
          <w:sz w:val="14"/>
          <w:szCs w:val="14"/>
        </w:rPr>
        <w:t xml:space="preserve">  [S.3] BACKUP CERTIFICATE   --&gt; .cer (886 B) + .pvk (1,212 B)              </w:t>
      </w:r>
    </w:p>
    <w:p>
      <w:pPr>
        <w:shd w:fill="F8F8F8" w:val="clear"/>
        <w:spacing w:after="20" w:before="20"/>
      </w:pPr>
      <w:r>
        <w:rPr>
          <w:rFonts w:ascii="Consolas" w:cs="Consolas" w:eastAsia="Consolas" w:hAnsi="Consolas"/>
          <w:sz w:val="14"/>
          <w:szCs w:val="14"/>
        </w:rPr>
        <w:t xml:space="preserve">  [S.4] pvk2pfx              --&gt; .pfx (2,678 B)                             </w:t>
      </w:r>
    </w:p>
    <w:p>
      <w:pPr>
        <w:shd w:fill="F8F8F8" w:val="clear"/>
        <w:spacing w:after="20" w:before="20"/>
      </w:pPr>
      <w:r>
        <w:rPr>
          <w:rFonts w:ascii="Consolas" w:cs="Consolas" w:eastAsia="Consolas" w:hAnsi="Consolas"/>
          <w:sz w:val="14"/>
          <w:szCs w:val="14"/>
        </w:rPr>
        <w:t xml:space="preserve">  [S.5] Base64 encoding      --&gt; text string (3,572 chars)                  </w:t>
      </w:r>
    </w:p>
    <w:p>
      <w:pPr>
        <w:shd w:fill="F8F8F8" w:val="clear"/>
        <w:spacing w:after="20" w:before="20"/>
      </w:pPr>
      <w:r>
        <w:rPr>
          <w:rFonts w:ascii="Consolas" w:cs="Consolas" w:eastAsia="Consolas" w:hAnsi="Consolas"/>
          <w:sz w:val="14"/>
          <w:szCs w:val="14"/>
        </w:rPr>
        <w:t xml:space="preserve">  [S.6] Add-AzSql...Cert     --&gt;===========================&gt;  Cert on MI   </w:t>
      </w:r>
    </w:p>
    <w:p>
      <w:pPr>
        <w:shd w:fill="F8F8F8" w:val="clear"/>
        <w:spacing w:after="20" w:before="20"/>
      </w:pPr>
      <w:r>
        <w:rPr>
          <w:rFonts w:ascii="Consolas" w:cs="Consolas" w:eastAsia="Consolas" w:hAnsi="Consolas"/>
          <w:sz w:val="14"/>
          <w:szCs w:val="14"/>
        </w:rPr>
        <w:t xml:space="preserve">                                                                            </w:t>
      </w:r>
    </w:p>
    <w:p>
      <w:pPr>
        <w:shd w:fill="F8F8F8" w:val="clear"/>
        <w:spacing w:after="20" w:before="20"/>
      </w:pPr>
      <w:r>
        <w:rPr>
          <w:rFonts w:ascii="Consolas" w:cs="Consolas" w:eastAsia="Consolas" w:hAnsi="Consolas"/>
          <w:sz w:val="14"/>
          <w:szCs w:val="14"/>
        </w:rPr>
        <w:t xml:space="preserve">  ===============  PHASE 2: MOVE THE DATABASE  ================             </w:t>
      </w:r>
    </w:p>
    <w:p>
      <w:pPr>
        <w:shd w:fill="F8F8F8" w:val="clear"/>
        <w:spacing w:after="20" w:before="20"/>
      </w:pPr>
      <w:r>
        <w:rPr>
          <w:rFonts w:ascii="Consolas" w:cs="Consolas" w:eastAsia="Consolas" w:hAnsi="Consolas"/>
          <w:sz w:val="14"/>
          <w:szCs w:val="14"/>
        </w:rPr>
        <w:t xml:space="preserve">                                                                            </w:t>
      </w:r>
    </w:p>
    <w:p>
      <w:pPr>
        <w:shd w:fill="F8F8F8" w:val="clear"/>
        <w:spacing w:after="20" w:before="20"/>
      </w:pPr>
      <w:r>
        <w:rPr>
          <w:rFonts w:ascii="Consolas" w:cs="Consolas" w:eastAsia="Consolas" w:hAnsi="Consolas"/>
          <w:sz w:val="14"/>
          <w:szCs w:val="14"/>
        </w:rPr>
        <w:t xml:space="preserve">  [S.7] BACKUP DATABASE TO URL  --&gt;  ushalrsbackup blob                     </w:t>
      </w:r>
    </w:p>
    <w:p>
      <w:pPr>
        <w:shd w:fill="F8F8F8" w:val="clear"/>
        <w:spacing w:after="20" w:before="20"/>
      </w:pPr>
      <w:r>
        <w:rPr>
          <w:rFonts w:ascii="Consolas" w:cs="Consolas" w:eastAsia="Consolas" w:hAnsi="Consolas"/>
          <w:sz w:val="14"/>
          <w:szCs w:val="14"/>
        </w:rPr>
        <w:t xml:space="preserve">                                      |                                     </w:t>
      </w:r>
    </w:p>
    <w:p>
      <w:pPr>
        <w:shd w:fill="F8F8F8" w:val="clear"/>
        <w:spacing w:after="20" w:before="20"/>
      </w:pPr>
      <w:r>
        <w:rPr>
          <w:rFonts w:ascii="Consolas" w:cs="Consolas" w:eastAsia="Consolas" w:hAnsi="Consolas"/>
          <w:sz w:val="14"/>
          <w:szCs w:val="14"/>
        </w:rPr>
        <w:t xml:space="preserve">                                      v                                     </w:t>
      </w:r>
    </w:p>
    <w:p>
      <w:pPr>
        <w:shd w:fill="F8F8F8" w:val="clear"/>
        <w:spacing w:after="20" w:before="20"/>
      </w:pPr>
      <w:r>
        <w:rPr>
          <w:rFonts w:ascii="Consolas" w:cs="Consolas" w:eastAsia="Consolas" w:hAnsi="Consolas"/>
          <w:sz w:val="14"/>
          <w:szCs w:val="14"/>
        </w:rPr>
        <w:t xml:space="preserve">  [S.8] RESTORE DATABASE FROM URL  &lt;--ushalrsbackup blob                    </w:t>
      </w:r>
    </w:p>
    <w:p>
      <w:pPr>
        <w:shd w:fill="F8F8F8" w:val="clear"/>
        <w:spacing w:after="20" w:before="20"/>
      </w:pPr>
      <w:r>
        <w:rPr>
          <w:rFonts w:ascii="Consolas" w:cs="Consolas" w:eastAsia="Consolas" w:hAnsi="Consolas"/>
          <w:sz w:val="14"/>
          <w:szCs w:val="14"/>
        </w:rPr>
        <w:t xml:space="preserve">                                                  (MI uses cert to          </w:t>
      </w:r>
    </w:p>
    <w:p>
      <w:pPr>
        <w:shd w:fill="F8F8F8" w:val="clear"/>
        <w:spacing w:after="20" w:before="20"/>
      </w:pPr>
      <w:r>
        <w:rPr>
          <w:rFonts w:ascii="Consolas" w:cs="Consolas" w:eastAsia="Consolas" w:hAnsi="Consolas"/>
          <w:sz w:val="14"/>
          <w:szCs w:val="14"/>
        </w:rPr>
        <w:t xml:space="preserve">                                                   decrypt the .bak)        </w:t>
      </w:r>
    </w:p>
    <w:p>
      <w:pPr>
        <w:shd w:fill="F8F8F8" w:val="clear"/>
        <w:spacing w:after="20" w:before="20"/>
      </w:pPr>
      <w:r>
        <w:rPr>
          <w:rFonts w:ascii="Consolas" w:cs="Consolas" w:eastAsia="Consolas" w:hAnsi="Consolas"/>
          <w:sz w:val="14"/>
          <w:szCs w:val="14"/>
        </w:rPr>
        <w:t xml:space="preserve">                                                                            </w:t>
      </w:r>
    </w:p>
    <w:p>
      <w:pPr>
        <w:shd w:fill="F8F8F8" w:val="clear"/>
        <w:spacing w:after="20" w:before="20"/>
      </w:pPr>
      <w:r>
        <w:rPr>
          <w:rFonts w:ascii="Consolas" w:cs="Consolas" w:eastAsia="Consolas" w:hAnsi="Consolas"/>
          <w:sz w:val="14"/>
          <w:szCs w:val="14"/>
        </w:rPr>
        <w:t xml:space="preserve">  [S.9] Validate: encryption_state = 3, AES_256, 2,300 rows  PASS          </w:t>
      </w:r>
    </w:p>
    <w:p>
      <w:pPr>
        <w:pStyle w:val="Heading1"/>
        <w:spacing w:after="180" w:before="360"/>
      </w:pPr>
      <w:r>
        <w:rPr>
          <w:b/>
          <w:bCs/>
          <w:color w:val="1F3864"/>
          <w:sz w:val="32"/>
          <w:szCs w:val="32"/>
        </w:rPr>
        <w:t xml:space="preserve">2. Environment</w:t>
      </w:r>
    </w:p>
    <w:p>
      <w:pPr>
        <w:pStyle w:val="Heading2"/>
        <w:spacing w:after="140" w:before="280"/>
      </w:pPr>
      <w:r>
        <w:rPr>
          <w:b/>
          <w:bCs/>
          <w:color w:val="2E75B6"/>
          <w:sz w:val="28"/>
          <w:szCs w:val="28"/>
        </w:rPr>
        <w:t xml:space="preserve">2.1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Property</w:t>
            </w:r>
          </w:p>
        </w:tc>
        <w:tc>
          <w:tcPr>
            <w:tcW w:type="dxa" w:w="624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Value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Server</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Node1 (VirtualBox VM, Intel Mac host)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IP</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192.168.68.21</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SQL Server Version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SQL Server 2019 CU32</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Database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TDE_Demo_DB_Banking</w:t>
            </w:r>
          </w:p>
        </w:tc>
      </w:tr>
    </w:tbl>
    <w:p>
      <w:pPr>
        <w:pStyle w:val="Heading2"/>
        <w:spacing w:after="140" w:before="280"/>
      </w:pPr>
      <w:r>
        <w:rPr>
          <w:b/>
          <w:bCs/>
          <w:color w:val="2E75B6"/>
          <w:sz w:val="28"/>
          <w:szCs w:val="28"/>
        </w:rPr>
        <w:t xml:space="preserve">2.2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Property</w:t>
            </w:r>
          </w:p>
        </w:tc>
        <w:tc>
          <w:tcPr>
            <w:tcW w:type="dxa" w:w="624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Value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Managed Instance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usha-sqlmi-poc</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Resource Group</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Usha_SQLMI_POC</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Region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West US 2</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Public Endpoint</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usha-sqlmi-poc.public.0f3157bbdbf7.database.windows.net,3342</w:t>
            </w:r>
          </w:p>
        </w:tc>
      </w:tr>
    </w:tbl>
    <w:p>
      <w:pPr>
        <w:pStyle w:val="Heading1"/>
        <w:spacing w:after="180" w:before="360"/>
      </w:pPr>
      <w:r>
        <w:rPr>
          <w:b/>
          <w:bCs/>
          <w:color w:val="1F3864"/>
          <w:sz w:val="32"/>
          <w:szCs w:val="32"/>
        </w:rPr>
        <w:t xml:space="preserve">3. Phase S.1 — Create Source Database</w:t>
      </w:r>
    </w:p>
    <w:p>
      <w:pPr>
        <w:spacing w:after="80" w:before="80"/>
      </w:pPr>
      <w:r>
        <w:rPr>
          <w:sz w:val="22"/>
          <w:szCs w:val="22"/>
        </w:rPr>
        <w:t xml:space="preserve">Created TDE_Demo_DB_Banking on Node1 with FULL recovery model and populated with 2,300 rows (Customers: 100, Accounts: 200, Transactions: 2000).</w:t>
      </w:r>
    </w:p>
    <w:p>
      <w:pPr>
        <w:shd w:fill="F2F2F2" w:val="clear"/>
        <w:spacing w:after="40" w:before="40"/>
      </w:pPr>
      <w:r>
        <w:rPr>
          <w:rFonts w:ascii="Consolas" w:cs="Consolas" w:eastAsia="Consolas" w:hAnsi="Consolas"/>
          <w:sz w:val="18"/>
          <w:szCs w:val="18"/>
        </w:rPr>
        <w:t xml:space="preserve">CREATE DATABASE TDE_Demo_DB_Banking</w:t>
      </w:r>
    </w:p>
    <w:p>
      <w:pPr>
        <w:shd w:fill="F2F2F2" w:val="clear"/>
        <w:spacing w:after="40" w:before="40"/>
      </w:pPr>
      <w:r>
        <w:rPr>
          <w:rFonts w:ascii="Consolas" w:cs="Consolas" w:eastAsia="Consolas" w:hAnsi="Consolas"/>
          <w:sz w:val="18"/>
          <w:szCs w:val="18"/>
        </w:rPr>
        <w:t xml:space="preserve">ON PRIMARY (NAME = 'TDE_Demo_DB_Banking_Data',</w:t>
      </w:r>
    </w:p>
    <w:p>
      <w:pPr>
        <w:shd w:fill="F2F2F2" w:val="clear"/>
        <w:spacing w:after="40" w:before="40"/>
      </w:pPr>
      <w:r>
        <w:rPr>
          <w:rFonts w:ascii="Consolas" w:cs="Consolas" w:eastAsia="Consolas" w:hAnsi="Consolas"/>
          <w:sz w:val="18"/>
          <w:szCs w:val="18"/>
        </w:rPr>
        <w:t xml:space="preserve">    FILENAME = 'C:\data\TDE_Demo_DB_Banking.mdf', SIZE = 100MB)</w:t>
      </w:r>
    </w:p>
    <w:p>
      <w:pPr>
        <w:shd w:fill="F2F2F2" w:val="clear"/>
        <w:spacing w:after="40" w:before="40"/>
      </w:pPr>
      <w:r>
        <w:rPr>
          <w:rFonts w:ascii="Consolas" w:cs="Consolas" w:eastAsia="Consolas" w:hAnsi="Consolas"/>
          <w:sz w:val="18"/>
          <w:szCs w:val="18"/>
        </w:rPr>
        <w:t xml:space="preserve">LOG ON (NAME = 'TDE_Demo_DB_Banking_Log',</w:t>
      </w:r>
    </w:p>
    <w:p>
      <w:pPr>
        <w:shd w:fill="F2F2F2" w:val="clear"/>
        <w:spacing w:after="40" w:before="40"/>
      </w:pPr>
      <w:r>
        <w:rPr>
          <w:rFonts w:ascii="Consolas" w:cs="Consolas" w:eastAsia="Consolas" w:hAnsi="Consolas"/>
          <w:sz w:val="18"/>
          <w:szCs w:val="18"/>
        </w:rPr>
        <w:t xml:space="preserve">    FILENAME = 'C:\log\TDE_Demo_DB_Banking.ldf', SIZE = 20MB);</w:t>
      </w:r>
    </w:p>
    <w:p>
      <w:pPr>
        <w:shd w:fill="F2F2F2" w:val="clear"/>
        <w:spacing w:after="40" w:before="40"/>
      </w:pPr>
      <w:r>
        <w:rPr>
          <w:rFonts w:ascii="Consolas" w:cs="Consolas" w:eastAsia="Consolas" w:hAnsi="Consolas"/>
          <w:sz w:val="18"/>
          <w:szCs w:val="18"/>
        </w:rPr>
        <w:t xml:space="preserve">GO</w:t>
      </w:r>
    </w:p>
    <w:p>
      <w:pPr>
        <w:shd w:fill="F2F2F2" w:val="clear"/>
        <w:spacing w:after="40" w:before="40"/>
      </w:pPr>
      <w:r>
        <w:rPr>
          <w:rFonts w:ascii="Consolas" w:cs="Consolas" w:eastAsia="Consolas" w:hAnsi="Consolas"/>
          <w:sz w:val="18"/>
          <w:szCs w:val="18"/>
        </w:rPr>
        <w:t xml:space="preserve">ALTER DATABASE TDE_Demo_DB_Banking SET RECOVERY FULL;</w:t>
      </w:r>
    </w:p>
    <w:p>
      <w:pPr>
        <w:pStyle w:val="Heading1"/>
        <w:spacing w:after="180" w:before="360"/>
      </w:pPr>
      <w:r>
        <w:rPr>
          <w:b/>
          <w:bCs/>
          <w:color w:val="1F3864"/>
          <w:sz w:val="32"/>
          <w:szCs w:val="32"/>
        </w:rPr>
        <w:t xml:space="preserve">4. Phase S.2 — Enable TDE on Source</w:t>
      </w:r>
    </w:p>
    <w:p>
      <w:pPr>
        <w:spacing w:after="80" w:before="80"/>
      </w:pPr>
      <w:r>
        <w:rPr>
          <w:sz w:val="22"/>
          <w:szCs w:val="22"/>
        </w:rPr>
        <w:t xml:space="preserve">Established the cryptographic chain: DMK → Certificate → DEK → Encrypted Data.</w:t>
      </w:r>
    </w:p>
    <w:p>
      <w:pPr>
        <w:shd w:fill="F2F2F2" w:val="clear"/>
        <w:spacing w:after="40" w:before="40"/>
      </w:pPr>
      <w:r>
        <w:rPr>
          <w:rFonts w:ascii="Consolas" w:cs="Consolas" w:eastAsia="Consolas" w:hAnsi="Consolas"/>
          <w:sz w:val="18"/>
          <w:szCs w:val="18"/>
        </w:rPr>
        <w:t xml:space="preserve">-- Step 1: DMK in master</w:t>
      </w:r>
    </w:p>
    <w:p>
      <w:pPr>
        <w:shd w:fill="F2F2F2" w:val="clear"/>
        <w:spacing w:after="40" w:before="40"/>
      </w:pPr>
      <w:r>
        <w:rPr>
          <w:rFonts w:ascii="Consolas" w:cs="Consolas" w:eastAsia="Consolas" w:hAnsi="Consolas"/>
          <w:sz w:val="18"/>
          <w:szCs w:val="18"/>
        </w:rPr>
        <w:t xml:space="preserve">CREATE MASTER KEY ENCRYPTION BY PASSWORD = 'Str0ng#DMK!Pass2026Banking';</w:t>
      </w:r>
    </w:p>
    <w:p>
      <w:pPr>
        <w:shd w:fill="F2F2F2" w:val="clear"/>
        <w:spacing w:after="40" w:before="40"/>
      </w:pPr>
      <w:r>
        <w:rPr>
          <w:rFonts w:ascii="Consolas" w:cs="Consolas" w:eastAsia="Consolas" w:hAnsi="Consolas"/>
          <w:sz w:val="18"/>
          <w:szCs w:val="18"/>
        </w:rPr>
        <w:t xml:space="preserve"/>
      </w:r>
    </w:p>
    <w:p>
      <w:pPr>
        <w:shd w:fill="F2F2F2" w:val="clear"/>
        <w:spacing w:after="40" w:before="40"/>
      </w:pPr>
      <w:r>
        <w:rPr>
          <w:rFonts w:ascii="Consolas" w:cs="Consolas" w:eastAsia="Consolas" w:hAnsi="Consolas"/>
          <w:sz w:val="18"/>
          <w:szCs w:val="18"/>
        </w:rPr>
        <w:t xml:space="preserve">-- Step 2: Server Certificate</w:t>
      </w:r>
    </w:p>
    <w:p>
      <w:pPr>
        <w:shd w:fill="F2F2F2" w:val="clear"/>
        <w:spacing w:after="40" w:before="40"/>
      </w:pPr>
      <w:r>
        <w:rPr>
          <w:rFonts w:ascii="Consolas" w:cs="Consolas" w:eastAsia="Consolas" w:hAnsi="Consolas"/>
          <w:sz w:val="18"/>
          <w:szCs w:val="18"/>
        </w:rPr>
        <w:t xml:space="preserve">CREATE CERTIFICATE TDE_Demo_Cert_Banking</w:t>
      </w:r>
    </w:p>
    <w:p>
      <w:pPr>
        <w:shd w:fill="F2F2F2" w:val="clear"/>
        <w:spacing w:after="40" w:before="40"/>
      </w:pPr>
      <w:r>
        <w:rPr>
          <w:rFonts w:ascii="Consolas" w:cs="Consolas" w:eastAsia="Consolas" w:hAnsi="Consolas"/>
          <w:sz w:val="18"/>
          <w:szCs w:val="18"/>
        </w:rPr>
        <w:t xml:space="preserve">    WITH SUBJECT = 'TDE Certificate for Banking Demo';</w:t>
      </w:r>
    </w:p>
    <w:p>
      <w:pPr>
        <w:shd w:fill="F2F2F2" w:val="clear"/>
        <w:spacing w:after="40" w:before="40"/>
      </w:pPr>
      <w:r>
        <w:rPr>
          <w:rFonts w:ascii="Consolas" w:cs="Consolas" w:eastAsia="Consolas" w:hAnsi="Consolas"/>
          <w:sz w:val="18"/>
          <w:szCs w:val="18"/>
        </w:rPr>
        <w:t xml:space="preserve"/>
      </w:r>
    </w:p>
    <w:p>
      <w:pPr>
        <w:shd w:fill="F2F2F2" w:val="clear"/>
        <w:spacing w:after="40" w:before="40"/>
      </w:pPr>
      <w:r>
        <w:rPr>
          <w:rFonts w:ascii="Consolas" w:cs="Consolas" w:eastAsia="Consolas" w:hAnsi="Consolas"/>
          <w:sz w:val="18"/>
          <w:szCs w:val="18"/>
        </w:rPr>
        <w:t xml:space="preserve">-- Step 3: DEK in target DB</w:t>
      </w:r>
    </w:p>
    <w:p>
      <w:pPr>
        <w:shd w:fill="F2F2F2" w:val="clear"/>
        <w:spacing w:after="40" w:before="40"/>
      </w:pPr>
      <w:r>
        <w:rPr>
          <w:rFonts w:ascii="Consolas" w:cs="Consolas" w:eastAsia="Consolas" w:hAnsi="Consolas"/>
          <w:sz w:val="18"/>
          <w:szCs w:val="18"/>
        </w:rPr>
        <w:t xml:space="preserve">USE TDE_Demo_DB_Banking;</w:t>
      </w:r>
    </w:p>
    <w:p>
      <w:pPr>
        <w:shd w:fill="F2F2F2" w:val="clear"/>
        <w:spacing w:after="40" w:before="40"/>
      </w:pPr>
      <w:r>
        <w:rPr>
          <w:rFonts w:ascii="Consolas" w:cs="Consolas" w:eastAsia="Consolas" w:hAnsi="Consolas"/>
          <w:sz w:val="18"/>
          <w:szCs w:val="18"/>
        </w:rPr>
        <w:t xml:space="preserve">CREATE DATABASE ENCRYPTION KEY</w:t>
      </w:r>
    </w:p>
    <w:p>
      <w:pPr>
        <w:shd w:fill="F2F2F2" w:val="clear"/>
        <w:spacing w:after="40" w:before="40"/>
      </w:pPr>
      <w:r>
        <w:rPr>
          <w:rFonts w:ascii="Consolas" w:cs="Consolas" w:eastAsia="Consolas" w:hAnsi="Consolas"/>
          <w:sz w:val="18"/>
          <w:szCs w:val="18"/>
        </w:rPr>
        <w:t xml:space="preserve">    WITH ALGORITHM = AES_256</w:t>
      </w:r>
    </w:p>
    <w:p>
      <w:pPr>
        <w:shd w:fill="F2F2F2" w:val="clear"/>
        <w:spacing w:after="40" w:before="40"/>
      </w:pPr>
      <w:r>
        <w:rPr>
          <w:rFonts w:ascii="Consolas" w:cs="Consolas" w:eastAsia="Consolas" w:hAnsi="Consolas"/>
          <w:sz w:val="18"/>
          <w:szCs w:val="18"/>
        </w:rPr>
        <w:t xml:space="preserve">    ENCRYPTION BY SERVER CERTIFICATE TDE_Demo_Cert_Banking;</w:t>
      </w:r>
    </w:p>
    <w:p>
      <w:pPr>
        <w:shd w:fill="F2F2F2" w:val="clear"/>
        <w:spacing w:after="40" w:before="40"/>
      </w:pPr>
      <w:r>
        <w:rPr>
          <w:rFonts w:ascii="Consolas" w:cs="Consolas" w:eastAsia="Consolas" w:hAnsi="Consolas"/>
          <w:sz w:val="18"/>
          <w:szCs w:val="18"/>
        </w:rPr>
        <w:t xml:space="preserve"/>
      </w:r>
    </w:p>
    <w:p>
      <w:pPr>
        <w:shd w:fill="F2F2F2" w:val="clear"/>
        <w:spacing w:after="40" w:before="40"/>
      </w:pPr>
      <w:r>
        <w:rPr>
          <w:rFonts w:ascii="Consolas" w:cs="Consolas" w:eastAsia="Consolas" w:hAnsi="Consolas"/>
          <w:sz w:val="18"/>
          <w:szCs w:val="18"/>
        </w:rPr>
        <w:t xml:space="preserve">-- Step 4: Enable</w:t>
      </w:r>
    </w:p>
    <w:p>
      <w:pPr>
        <w:shd w:fill="F2F2F2" w:val="clear"/>
        <w:spacing w:after="40" w:before="40"/>
      </w:pPr>
      <w:r>
        <w:rPr>
          <w:rFonts w:ascii="Consolas" w:cs="Consolas" w:eastAsia="Consolas" w:hAnsi="Consolas"/>
          <w:sz w:val="18"/>
          <w:szCs w:val="18"/>
        </w:rPr>
        <w:t xml:space="preserve">ALTER DATABASE TDE_Demo_DB_Banking SET ENCRYPTION ON;</w:t>
      </w:r>
    </w:p>
    <w:p>
      <w:pPr>
        <w:spacing w:after="80" w:before="80"/>
      </w:pPr>
      <w:r>
        <w:rPr>
          <w:sz w:val="22"/>
          <w:szCs w:val="22"/>
        </w:rPr>
        <w:t xml:space="preserve">Result: encryption_state = 3 (Encrypted), AES-256 confirmed.</w:t>
      </w:r>
    </w:p>
    <w:p>
      <w:pPr>
        <w:pStyle w:val="Heading1"/>
        <w:spacing w:after="180" w:before="360"/>
      </w:pPr>
      <w:r>
        <w:rPr>
          <w:b/>
          <w:bCs/>
          <w:color w:val="1F3864"/>
          <w:sz w:val="32"/>
          <w:szCs w:val="32"/>
        </w:rPr>
        <w:t xml:space="preserve">5. Phase S.3 — Export Certificate and Private Key</w:t>
      </w:r>
    </w:p>
    <w:p>
      <w:pPr>
        <w:spacing w:after="80" w:before="80"/>
      </w:pPr>
      <w:r>
        <w:rPr>
          <w:sz w:val="22"/>
          <w:szCs w:val="22"/>
        </w:rPr>
        <w:t xml:space="preserve">Created C:\TDE_Backup folder with SQL Server service account permissions, then exported cert with private key.</w:t>
      </w:r>
    </w:p>
    <w:p>
      <w:pPr>
        <w:shd w:fill="F2F2F2" w:val="clear"/>
        <w:spacing w:after="40" w:before="40"/>
      </w:pPr>
      <w:r>
        <w:rPr>
          <w:rFonts w:ascii="Consolas" w:cs="Consolas" w:eastAsia="Consolas" w:hAnsi="Consolas"/>
          <w:sz w:val="18"/>
          <w:szCs w:val="18"/>
        </w:rPr>
        <w:t xml:space="preserve">BACKUP CERTIFICATE TDE_Demo_Cert_Banking</w:t>
      </w:r>
    </w:p>
    <w:p>
      <w:pPr>
        <w:shd w:fill="F2F2F2" w:val="clear"/>
        <w:spacing w:after="40" w:before="40"/>
      </w:pPr>
      <w:r>
        <w:rPr>
          <w:rFonts w:ascii="Consolas" w:cs="Consolas" w:eastAsia="Consolas" w:hAnsi="Consolas"/>
          <w:sz w:val="18"/>
          <w:szCs w:val="18"/>
        </w:rPr>
        <w:t xml:space="preserve">TO FILE = 'C:\TDE_Backup\TDE_Demo_Cert_Banking.cer'</w:t>
      </w:r>
    </w:p>
    <w:p>
      <w:pPr>
        <w:shd w:fill="F2F2F2" w:val="clear"/>
        <w:spacing w:after="40" w:before="40"/>
      </w:pPr>
      <w:r>
        <w:rPr>
          <w:rFonts w:ascii="Consolas" w:cs="Consolas" w:eastAsia="Consolas" w:hAnsi="Consolas"/>
          <w:sz w:val="18"/>
          <w:szCs w:val="18"/>
        </w:rPr>
        <w:t xml:space="preserve">WITH PRIVATE KEY (</w:t>
      </w:r>
    </w:p>
    <w:p>
      <w:pPr>
        <w:shd w:fill="F2F2F2" w:val="clear"/>
        <w:spacing w:after="40" w:before="40"/>
      </w:pPr>
      <w:r>
        <w:rPr>
          <w:rFonts w:ascii="Consolas" w:cs="Consolas" w:eastAsia="Consolas" w:hAnsi="Consolas"/>
          <w:sz w:val="18"/>
          <w:szCs w:val="18"/>
        </w:rPr>
        <w:t xml:space="preserve">    FILE = 'C:\TDE_Backup\TDE_Demo_Cert_Banking.pvk',</w:t>
      </w:r>
    </w:p>
    <w:p>
      <w:pPr>
        <w:shd w:fill="F2F2F2" w:val="clear"/>
        <w:spacing w:after="40" w:before="40"/>
      </w:pPr>
      <w:r>
        <w:rPr>
          <w:rFonts w:ascii="Consolas" w:cs="Consolas" w:eastAsia="Consolas" w:hAnsi="Consolas"/>
          <w:sz w:val="18"/>
          <w:szCs w:val="18"/>
        </w:rPr>
        <w:t xml:space="preserve">    ENCRYPTION BY PASSWORD = 'PvkExp0rt#Pass2026!Banking');</w:t>
      </w:r>
    </w:p>
    <w:p>
      <w:pPr>
        <w:spacing w:after="80" w:before="80"/>
      </w:pPr>
      <w:r>
        <w:rPr>
          <w:sz w:val="22"/>
          <w:szCs w:val="22"/>
        </w:rPr>
        <w:t xml:space="preserve">Output: .cer (886 B) + .pvk (1,212 B)</w:t>
      </w:r>
    </w:p>
    <w:p>
      <w:pPr>
        <w:pStyle w:val="Heading1"/>
        <w:spacing w:after="180" w:before="360"/>
      </w:pPr>
      <w:r>
        <w:rPr>
          <w:b/>
          <w:bCs/>
          <w:color w:val="1F3864"/>
          <w:sz w:val="32"/>
          <w:szCs w:val="32"/>
        </w:rPr>
        <w:t xml:space="preserve">6. Phase S.4 — Convert .pvk + .cer to .pfx</w:t>
      </w:r>
    </w:p>
    <w:p>
      <w:pPr>
        <w:spacing w:after="80" w:before="80"/>
      </w:pPr>
      <w:r>
        <w:rPr>
          <w:sz w:val="22"/>
          <w:szCs w:val="22"/>
        </w:rPr>
        <w:t xml:space="preserve">Bundled Microsoft-format files into PKCS#12 using pvk2pfx.exe from Windows SDK.</w:t>
      </w:r>
    </w:p>
    <w:p>
      <w:pPr>
        <w:spacing w:after="80" w:before="80"/>
      </w:pPr>
      <w:r>
        <w:rPr>
          <w:sz w:val="22"/>
          <w:szCs w:val="22"/>
        </w:rPr>
        <w:t xml:space="preserve">Note: FULL Windows SDK install required — Signing Tools sub-component alone does not include pvk2pfx.exe (see KL-S-08).</w:t>
      </w:r>
    </w:p>
    <w:p>
      <w:pPr>
        <w:shd w:fill="F2F2F2" w:val="clear"/>
        <w:spacing w:after="40" w:before="40"/>
      </w:pPr>
      <w:r>
        <w:rPr>
          <w:rFonts w:ascii="Consolas" w:cs="Consolas" w:eastAsia="Consolas" w:hAnsi="Consolas"/>
          <w:sz w:val="18"/>
          <w:szCs w:val="18"/>
        </w:rPr>
        <w:t xml:space="preserve">cd C:\TDE_Backup</w:t>
      </w:r>
    </w:p>
    <w:p>
      <w:pPr>
        <w:shd w:fill="F2F2F2" w:val="clear"/>
        <w:spacing w:after="40" w:before="40"/>
      </w:pPr>
      <w:r>
        <w:rPr>
          <w:rFonts w:ascii="Consolas" w:cs="Consolas" w:eastAsia="Consolas" w:hAnsi="Consolas"/>
          <w:sz w:val="18"/>
          <w:szCs w:val="18"/>
        </w:rPr>
        <w:t xml:space="preserve">&amp; "C:\Program Files (x86)\Windows Kits\10\bin\10.0.28000.0\x64\pvk2pfx.exe" `</w:t>
      </w:r>
    </w:p>
    <w:p>
      <w:pPr>
        <w:shd w:fill="F2F2F2" w:val="clear"/>
        <w:spacing w:after="40" w:before="40"/>
      </w:pPr>
      <w:r>
        <w:rPr>
          <w:rFonts w:ascii="Consolas" w:cs="Consolas" w:eastAsia="Consolas" w:hAnsi="Consolas"/>
          <w:sz w:val="18"/>
          <w:szCs w:val="18"/>
        </w:rPr>
        <w:t xml:space="preserve">    -pvk TDE_Demo_Cert_Banking.pvk `</w:t>
      </w:r>
    </w:p>
    <w:p>
      <w:pPr>
        <w:shd w:fill="F2F2F2" w:val="clear"/>
        <w:spacing w:after="40" w:before="40"/>
      </w:pPr>
      <w:r>
        <w:rPr>
          <w:rFonts w:ascii="Consolas" w:cs="Consolas" w:eastAsia="Consolas" w:hAnsi="Consolas"/>
          <w:sz w:val="18"/>
          <w:szCs w:val="18"/>
        </w:rPr>
        <w:t xml:space="preserve">    -pi PvkExp0rt#Pass2026!Banking `</w:t>
      </w:r>
    </w:p>
    <w:p>
      <w:pPr>
        <w:shd w:fill="F2F2F2" w:val="clear"/>
        <w:spacing w:after="40" w:before="40"/>
      </w:pPr>
      <w:r>
        <w:rPr>
          <w:rFonts w:ascii="Consolas" w:cs="Consolas" w:eastAsia="Consolas" w:hAnsi="Consolas"/>
          <w:sz w:val="18"/>
          <w:szCs w:val="18"/>
        </w:rPr>
        <w:t xml:space="preserve">    -spc TDE_Demo_Cert_Banking.cer `</w:t>
      </w:r>
    </w:p>
    <w:p>
      <w:pPr>
        <w:shd w:fill="F2F2F2" w:val="clear"/>
        <w:spacing w:after="40" w:before="40"/>
      </w:pPr>
      <w:r>
        <w:rPr>
          <w:rFonts w:ascii="Consolas" w:cs="Consolas" w:eastAsia="Consolas" w:hAnsi="Consolas"/>
          <w:sz w:val="18"/>
          <w:szCs w:val="18"/>
        </w:rPr>
        <w:t xml:space="preserve">    -pfx TDE_Demo_Cert_Banking.pfx `</w:t>
      </w:r>
    </w:p>
    <w:p>
      <w:pPr>
        <w:shd w:fill="F2F2F2" w:val="clear"/>
        <w:spacing w:after="40" w:before="40"/>
      </w:pPr>
      <w:r>
        <w:rPr>
          <w:rFonts w:ascii="Consolas" w:cs="Consolas" w:eastAsia="Consolas" w:hAnsi="Consolas"/>
          <w:sz w:val="18"/>
          <w:szCs w:val="18"/>
        </w:rPr>
        <w:t xml:space="preserve">    -po PvkExp0rt#Pass2026!Banking</w:t>
      </w:r>
    </w:p>
    <w:p>
      <w:pPr>
        <w:spacing w:after="80" w:before="80"/>
      </w:pPr>
      <w:r>
        <w:rPr>
          <w:sz w:val="22"/>
          <w:szCs w:val="22"/>
        </w:rPr>
        <w:t xml:space="preserve">Output: TDE_Demo_Cert_Banking.pfx (2,678 B, PKCS#12, password-protected)</w:t>
      </w:r>
    </w:p>
    <w:p>
      <w:pPr>
        <w:pStyle w:val="Heading1"/>
        <w:spacing w:after="180" w:before="360"/>
      </w:pPr>
      <w:r>
        <w:rPr>
          <w:b/>
          <w:bCs/>
          <w:color w:val="1F3864"/>
          <w:sz w:val="32"/>
          <w:szCs w:val="32"/>
        </w:rPr>
        <w:t xml:space="preserve">7. Phase S.5 — Convert .pfx to Base64</w:t>
      </w:r>
    </w:p>
    <w:p>
      <w:pPr>
        <w:spacing w:after="80" w:before="80"/>
      </w:pPr>
      <w:r>
        <w:rPr>
          <w:sz w:val="22"/>
          <w:szCs w:val="22"/>
        </w:rPr>
        <w:t xml:space="preserve">Encoded binary .pfx as Base64 text for Azure REST API JSON transport. Base64 is encoding, NOT encryption.</w:t>
      </w:r>
    </w:p>
    <w:p>
      <w:pPr>
        <w:shd w:fill="F2F2F2" w:val="clear"/>
        <w:spacing w:after="40" w:before="40"/>
      </w:pPr>
      <w:r>
        <w:rPr>
          <w:rFonts w:ascii="Consolas" w:cs="Consolas" w:eastAsia="Consolas" w:hAnsi="Consolas"/>
          <w:sz w:val="18"/>
          <w:szCs w:val="18"/>
        </w:rPr>
        <w:t xml:space="preserve">$pfxBytes = [System.IO.File]::ReadAllBytes("C:\TDE_Backup\TDE_Demo_Cert_Banking.pfx")</w:t>
      </w:r>
    </w:p>
    <w:p>
      <w:pPr>
        <w:shd w:fill="F2F2F2" w:val="clear"/>
        <w:spacing w:after="40" w:before="40"/>
      </w:pPr>
      <w:r>
        <w:rPr>
          <w:rFonts w:ascii="Consolas" w:cs="Consolas" w:eastAsia="Consolas" w:hAnsi="Consolas"/>
          <w:sz w:val="18"/>
          <w:szCs w:val="18"/>
        </w:rPr>
        <w:t xml:space="preserve">$pfxBase64 = [System.Convert]::ToBase64String($pfxBytes)</w:t>
      </w:r>
    </w:p>
    <w:p>
      <w:pPr>
        <w:shd w:fill="F2F2F2" w:val="clear"/>
        <w:spacing w:after="40" w:before="40"/>
      </w:pPr>
      <w:r>
        <w:rPr>
          <w:rFonts w:ascii="Consolas" w:cs="Consolas" w:eastAsia="Consolas" w:hAnsi="Consolas"/>
          <w:sz w:val="18"/>
          <w:szCs w:val="18"/>
        </w:rPr>
        <w:t xml:space="preserve">$pfxBase64 | Out-File "C:\TDE_Backup\TDE_Demo_Cert_Banking.pfx.base64.txt" -Encoding ASCII</w:t>
      </w:r>
    </w:p>
    <w:p>
      <w:pPr>
        <w:spacing w:after="80" w:before="80"/>
      </w:pPr>
      <w:r>
        <w:rPr>
          <w:sz w:val="22"/>
          <w:szCs w:val="22"/>
        </w:rPr>
        <w:t xml:space="preserve">Result: 3,572-character Base64 string (33% expansion from 2,678 binary bytes)</w:t>
      </w:r>
    </w:p>
    <w:p>
      <w:pPr>
        <w:pStyle w:val="Heading1"/>
        <w:spacing w:after="180" w:before="360"/>
      </w:pPr>
      <w:r>
        <w:rPr>
          <w:b/>
          <w:bCs/>
          <w:color w:val="1F3864"/>
          <w:sz w:val="32"/>
          <w:szCs w:val="32"/>
        </w:rPr>
        <w:t xml:space="preserve">8. Phase S.6 — Upload Certificate to SQL MI</w:t>
      </w:r>
    </w:p>
    <w:p>
      <w:pPr>
        <w:spacing w:after="80" w:before="80"/>
      </w:pPr>
      <w:r>
        <w:rPr>
          <w:sz w:val="22"/>
          <w:szCs w:val="22"/>
        </w:rPr>
        <w:t xml:space="preserve">Uploaded the Base64-encoded certificate to usha-sqlmi-poc via Az PowerShell.</w:t>
      </w:r>
    </w:p>
    <w:p>
      <w:pPr>
        <w:spacing w:after="80" w:before="80"/>
      </w:pPr>
      <w:r>
        <w:rPr>
          <w:sz w:val="22"/>
          <w:szCs w:val="22"/>
        </w:rPr>
        <w:t xml:space="preserve">After upload, the certificate is NOT visible in sys.certificates on MI. Azure stores TDE certificates in an internal, Azure-managed store not exposed to user T-SQL (see KL-S-13).</w:t>
      </w:r>
    </w:p>
    <w:p>
      <w:pPr>
        <w:spacing w:after="40" w:before="120"/>
        <w:jc w:val="center"/>
      </w:pPr>
      <w:r>
        <w:drawing>
          <wp:inline distT="0" distB="0" distL="0" distR="0">
            <wp:extent cx="59436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971800"/>
                    </a:xfrm>
                    <a:prstGeom prst="rect">
                      <a:avLst/>
                    </a:prstGeom>
                  </pic:spPr>
                </pic:pic>
              </a:graphicData>
            </a:graphic>
          </wp:inline>
        </w:drawing>
      </w:r>
    </w:p>
    <w:p>
      <w:pPr>
        <w:spacing w:after="180" w:before="20"/>
        <w:jc w:val="center"/>
      </w:pPr>
      <w:r>
        <w:rPr>
          <w:i/>
          <w:iCs/>
          <w:color w:val="595959"/>
          <w:sz w:val="18"/>
          <w:szCs w:val="18"/>
        </w:rPr>
        <w:t xml:space="preserve">Figure 8.1 — sys.certificates on MI after upload shows only system certs. User cert is in Azure's internal store.</w:t>
      </w:r>
    </w:p>
    <w:p>
      <w:pPr>
        <w:shd w:fill="F2F2F2" w:val="clear"/>
        <w:spacing w:after="40" w:before="40"/>
      </w:pPr>
      <w:r>
        <w:rPr>
          <w:rFonts w:ascii="Consolas" w:cs="Consolas" w:eastAsia="Consolas" w:hAnsi="Consolas"/>
          <w:sz w:val="18"/>
          <w:szCs w:val="18"/>
        </w:rPr>
        <w:t xml:space="preserve"># Load Base64 string</w:t>
      </w:r>
    </w:p>
    <w:p>
      <w:pPr>
        <w:shd w:fill="F2F2F2" w:val="clear"/>
        <w:spacing w:after="40" w:before="40"/>
      </w:pPr>
      <w:r>
        <w:rPr>
          <w:rFonts w:ascii="Consolas" w:cs="Consolas" w:eastAsia="Consolas" w:hAnsi="Consolas"/>
          <w:sz w:val="18"/>
          <w:szCs w:val="18"/>
        </w:rPr>
        <w:t xml:space="preserve">$pfxBase64String = Get-Content "C:\TDE_Backup\TDE_Demo_Cert_Banking.pfx.base64.txt" -Raw</w:t>
      </w:r>
    </w:p>
    <w:p>
      <w:pPr>
        <w:shd w:fill="F2F2F2" w:val="clear"/>
        <w:spacing w:after="40" w:before="40"/>
      </w:pPr>
      <w:r>
        <w:rPr>
          <w:rFonts w:ascii="Consolas" w:cs="Consolas" w:eastAsia="Consolas" w:hAnsi="Consolas"/>
          <w:sz w:val="18"/>
          <w:szCs w:val="18"/>
        </w:rPr>
        <w:t xml:space="preserve">$pfxBase64String = $pfxBase64String.Trim()</w:t>
      </w:r>
    </w:p>
    <w:p>
      <w:pPr>
        <w:shd w:fill="F2F2F2" w:val="clear"/>
        <w:spacing w:after="40" w:before="40"/>
      </w:pPr>
      <w:r>
        <w:rPr>
          <w:rFonts w:ascii="Consolas" w:cs="Consolas" w:eastAsia="Consolas" w:hAnsi="Consolas"/>
          <w:sz w:val="18"/>
          <w:szCs w:val="18"/>
        </w:rPr>
        <w:t xml:space="preserve"/>
      </w:r>
    </w:p>
    <w:p>
      <w:pPr>
        <w:shd w:fill="F2F2F2" w:val="clear"/>
        <w:spacing w:after="40" w:before="40"/>
      </w:pPr>
      <w:r>
        <w:rPr>
          <w:rFonts w:ascii="Consolas" w:cs="Consolas" w:eastAsia="Consolas" w:hAnsi="Consolas"/>
          <w:sz w:val="18"/>
          <w:szCs w:val="18"/>
        </w:rPr>
        <w:t xml:space="preserve"># Convert to SecureString (BOTH -PrivateBlob and -Password require SecureString)</w:t>
      </w:r>
    </w:p>
    <w:p>
      <w:pPr>
        <w:shd w:fill="F2F2F2" w:val="clear"/>
        <w:spacing w:after="40" w:before="40"/>
      </w:pPr>
      <w:r>
        <w:rPr>
          <w:rFonts w:ascii="Consolas" w:cs="Consolas" w:eastAsia="Consolas" w:hAnsi="Consolas"/>
          <w:sz w:val="18"/>
          <w:szCs w:val="18"/>
        </w:rPr>
        <w:t xml:space="preserve">$securePrivateBlob = ConvertTo-SecureString -String $pfxBase64String -AsPlainText -Force</w:t>
      </w:r>
    </w:p>
    <w:p>
      <w:pPr>
        <w:shd w:fill="F2F2F2" w:val="clear"/>
        <w:spacing w:after="40" w:before="40"/>
      </w:pPr>
      <w:r>
        <w:rPr>
          <w:rFonts w:ascii="Consolas" w:cs="Consolas" w:eastAsia="Consolas" w:hAnsi="Consolas"/>
          <w:sz w:val="18"/>
          <w:szCs w:val="18"/>
        </w:rPr>
        <w:t xml:space="preserve">$securePassword = ConvertTo-SecureString -String "PvkExp0rt#Pass2026!Banking" -AsPlainText -Force</w:t>
      </w:r>
    </w:p>
    <w:p>
      <w:pPr>
        <w:shd w:fill="F2F2F2" w:val="clear"/>
        <w:spacing w:after="40" w:before="40"/>
      </w:pPr>
      <w:r>
        <w:rPr>
          <w:rFonts w:ascii="Consolas" w:cs="Consolas" w:eastAsia="Consolas" w:hAnsi="Consolas"/>
          <w:sz w:val="18"/>
          <w:szCs w:val="18"/>
        </w:rPr>
        <w:t xml:space="preserve"/>
      </w:r>
    </w:p>
    <w:p>
      <w:pPr>
        <w:shd w:fill="F2F2F2" w:val="clear"/>
        <w:spacing w:after="40" w:before="40"/>
      </w:pPr>
      <w:r>
        <w:rPr>
          <w:rFonts w:ascii="Consolas" w:cs="Consolas" w:eastAsia="Consolas" w:hAnsi="Consolas"/>
          <w:sz w:val="18"/>
          <w:szCs w:val="18"/>
        </w:rPr>
        <w:t xml:space="preserve"># Upload</w:t>
      </w:r>
    </w:p>
    <w:p>
      <w:pPr>
        <w:shd w:fill="F2F2F2" w:val="clear"/>
        <w:spacing w:after="40" w:before="40"/>
      </w:pPr>
      <w:r>
        <w:rPr>
          <w:rFonts w:ascii="Consolas" w:cs="Consolas" w:eastAsia="Consolas" w:hAnsi="Consolas"/>
          <w:sz w:val="18"/>
          <w:szCs w:val="18"/>
        </w:rPr>
        <w:t xml:space="preserve">Add-AzSqlManagedInstanceTransparentDataEncryptionCertificate `</w:t>
      </w:r>
    </w:p>
    <w:p>
      <w:pPr>
        <w:shd w:fill="F2F2F2" w:val="clear"/>
        <w:spacing w:after="40" w:before="40"/>
      </w:pPr>
      <w:r>
        <w:rPr>
          <w:rFonts w:ascii="Consolas" w:cs="Consolas" w:eastAsia="Consolas" w:hAnsi="Consolas"/>
          <w:sz w:val="18"/>
          <w:szCs w:val="18"/>
        </w:rPr>
        <w:t xml:space="preserve">    -ResourceGroupName "Usha_SQLMI_POC" `</w:t>
      </w:r>
    </w:p>
    <w:p>
      <w:pPr>
        <w:shd w:fill="F2F2F2" w:val="clear"/>
        <w:spacing w:after="40" w:before="40"/>
      </w:pPr>
      <w:r>
        <w:rPr>
          <w:rFonts w:ascii="Consolas" w:cs="Consolas" w:eastAsia="Consolas" w:hAnsi="Consolas"/>
          <w:sz w:val="18"/>
          <w:szCs w:val="18"/>
        </w:rPr>
        <w:t xml:space="preserve">    -ManagedInstanceName "usha-sqlmi-poc" `</w:t>
      </w:r>
    </w:p>
    <w:p>
      <w:pPr>
        <w:shd w:fill="F2F2F2" w:val="clear"/>
        <w:spacing w:after="40" w:before="40"/>
      </w:pPr>
      <w:r>
        <w:rPr>
          <w:rFonts w:ascii="Consolas" w:cs="Consolas" w:eastAsia="Consolas" w:hAnsi="Consolas"/>
          <w:sz w:val="18"/>
          <w:szCs w:val="18"/>
        </w:rPr>
        <w:t xml:space="preserve">    -PrivateBlob $securePrivateBlob `</w:t>
      </w:r>
    </w:p>
    <w:p>
      <w:pPr>
        <w:shd w:fill="F2F2F2" w:val="clear"/>
        <w:spacing w:after="40" w:before="40"/>
      </w:pPr>
      <w:r>
        <w:rPr>
          <w:rFonts w:ascii="Consolas" w:cs="Consolas" w:eastAsia="Consolas" w:hAnsi="Consolas"/>
          <w:sz w:val="18"/>
          <w:szCs w:val="18"/>
        </w:rPr>
        <w:t xml:space="preserve">    -Password $securePassword</w:t>
      </w:r>
    </w:p>
    <w:p>
      <w:pPr>
        <w:pStyle w:val="Heading1"/>
        <w:spacing w:after="180" w:before="360"/>
      </w:pPr>
      <w:r>
        <w:rPr>
          <w:b/>
          <w:bCs/>
          <w:color w:val="1F3864"/>
          <w:sz w:val="32"/>
          <w:szCs w:val="32"/>
        </w:rPr>
        <w:t xml:space="preserve">9. Phase S.7 — BACKUP DATABASE TO URL</w:t>
      </w:r>
    </w:p>
    <w:p>
      <w:pPr>
        <w:spacing w:after="80" w:before="80"/>
      </w:pPr>
      <w:r>
        <w:rPr>
          <w:sz w:val="22"/>
          <w:szCs w:val="22"/>
        </w:rPr>
        <w:t xml:space="preserve">Created SAS-authenticated SQL credential on Node1 pointing to tdebackup blob container, then backed up the encrypted database directly to Azure blob storage.</w:t>
      </w:r>
    </w:p>
    <w:p>
      <w:pPr>
        <w:spacing w:after="40" w:before="120"/>
        <w:jc w:val="center"/>
      </w:pPr>
      <w:r>
        <w:drawing>
          <wp:inline distT="0" distB="0" distL="0" distR="0">
            <wp:extent cx="59436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971800"/>
                    </a:xfrm>
                    <a:prstGeom prst="rect">
                      <a:avLst/>
                    </a:prstGeom>
                  </pic:spPr>
                </pic:pic>
              </a:graphicData>
            </a:graphic>
          </wp:inline>
        </w:drawing>
      </w:r>
    </w:p>
    <w:p>
      <w:pPr>
        <w:spacing w:after="180" w:before="20"/>
        <w:jc w:val="center"/>
      </w:pPr>
      <w:r>
        <w:rPr>
          <w:i/>
          <w:iCs/>
          <w:color w:val="595959"/>
          <w:sz w:val="18"/>
          <w:szCs w:val="18"/>
        </w:rPr>
        <w:t xml:space="preserve">Figure 9.1 — CREATE CREDENTIAL on Node1 with SAS token. Status bar confirms NODE1 connection.</w:t>
      </w:r>
    </w:p>
    <w:p>
      <w:pPr>
        <w:shd w:fill="F2F2F2" w:val="clear"/>
        <w:spacing w:after="40" w:before="40"/>
      </w:pPr>
      <w:r>
        <w:rPr>
          <w:rFonts w:ascii="Consolas" w:cs="Consolas" w:eastAsia="Consolas" w:hAnsi="Consolas"/>
          <w:sz w:val="18"/>
          <w:szCs w:val="18"/>
        </w:rPr>
        <w:t xml:space="preserve">-- Create credential on Node1</w:t>
      </w:r>
    </w:p>
    <w:p>
      <w:pPr>
        <w:shd w:fill="F2F2F2" w:val="clear"/>
        <w:spacing w:after="40" w:before="40"/>
      </w:pPr>
      <w:r>
        <w:rPr>
          <w:rFonts w:ascii="Consolas" w:cs="Consolas" w:eastAsia="Consolas" w:hAnsi="Consolas"/>
          <w:sz w:val="18"/>
          <w:szCs w:val="18"/>
        </w:rPr>
        <w:t xml:space="preserve">USE master;</w:t>
      </w:r>
    </w:p>
    <w:p>
      <w:pPr>
        <w:shd w:fill="F2F2F2" w:val="clear"/>
        <w:spacing w:after="40" w:before="40"/>
      </w:pPr>
      <w:r>
        <w:rPr>
          <w:rFonts w:ascii="Consolas" w:cs="Consolas" w:eastAsia="Consolas" w:hAnsi="Consolas"/>
          <w:sz w:val="18"/>
          <w:szCs w:val="18"/>
        </w:rPr>
        <w:t xml:space="preserve">CREATE CREDENTIAL [https://ushalrsbackup.blob.core.windows.net/tdebackup]</w:t>
      </w:r>
    </w:p>
    <w:p>
      <w:pPr>
        <w:shd w:fill="F2F2F2" w:val="clear"/>
        <w:spacing w:after="40" w:before="40"/>
      </w:pPr>
      <w:r>
        <w:rPr>
          <w:rFonts w:ascii="Consolas" w:cs="Consolas" w:eastAsia="Consolas" w:hAnsi="Consolas"/>
          <w:sz w:val="18"/>
          <w:szCs w:val="18"/>
        </w:rPr>
        <w:t xml:space="preserve">WITH IDENTITY = 'SHARED ACCESS SIGNATURE',</w:t>
      </w:r>
    </w:p>
    <w:p>
      <w:pPr>
        <w:shd w:fill="F2F2F2" w:val="clear"/>
        <w:spacing w:after="40" w:before="40"/>
      </w:pPr>
      <w:r>
        <w:rPr>
          <w:rFonts w:ascii="Consolas" w:cs="Consolas" w:eastAsia="Consolas" w:hAnsi="Consolas"/>
          <w:sz w:val="18"/>
          <w:szCs w:val="18"/>
        </w:rPr>
        <w:t xml:space="preserve">     SECRET = '&lt;SAS_TOKEN&gt;';</w:t>
      </w:r>
    </w:p>
    <w:p>
      <w:pPr>
        <w:shd w:fill="F2F2F2" w:val="clear"/>
        <w:spacing w:after="40" w:before="40"/>
      </w:pPr>
      <w:r>
        <w:rPr>
          <w:rFonts w:ascii="Consolas" w:cs="Consolas" w:eastAsia="Consolas" w:hAnsi="Consolas"/>
          <w:sz w:val="18"/>
          <w:szCs w:val="18"/>
        </w:rPr>
        <w:t xml:space="preserve"/>
      </w:r>
    </w:p>
    <w:p>
      <w:pPr>
        <w:shd w:fill="F2F2F2" w:val="clear"/>
        <w:spacing w:after="40" w:before="40"/>
      </w:pPr>
      <w:r>
        <w:rPr>
          <w:rFonts w:ascii="Consolas" w:cs="Consolas" w:eastAsia="Consolas" w:hAnsi="Consolas"/>
          <w:sz w:val="18"/>
          <w:szCs w:val="18"/>
        </w:rPr>
        <w:t xml:space="preserve">-- Backup to URL</w:t>
      </w:r>
    </w:p>
    <w:p>
      <w:pPr>
        <w:shd w:fill="F2F2F2" w:val="clear"/>
        <w:spacing w:after="40" w:before="40"/>
      </w:pPr>
      <w:r>
        <w:rPr>
          <w:rFonts w:ascii="Consolas" w:cs="Consolas" w:eastAsia="Consolas" w:hAnsi="Consolas"/>
          <w:sz w:val="18"/>
          <w:szCs w:val="18"/>
        </w:rPr>
        <w:t xml:space="preserve">BACKUP DATABASE TDE_Demo_DB_Banking</w:t>
      </w:r>
    </w:p>
    <w:p>
      <w:pPr>
        <w:shd w:fill="F2F2F2" w:val="clear"/>
        <w:spacing w:after="40" w:before="40"/>
      </w:pPr>
      <w:r>
        <w:rPr>
          <w:rFonts w:ascii="Consolas" w:cs="Consolas" w:eastAsia="Consolas" w:hAnsi="Consolas"/>
          <w:sz w:val="18"/>
          <w:szCs w:val="18"/>
        </w:rPr>
        <w:t xml:space="preserve">TO URL = 'https://ushalrsbackup.blob.core.windows.net/tdebackup/TDE_Demo_DB_Banking.bak'</w:t>
      </w:r>
    </w:p>
    <w:p>
      <w:pPr>
        <w:shd w:fill="F2F2F2" w:val="clear"/>
        <w:spacing w:after="40" w:before="40"/>
      </w:pPr>
      <w:r>
        <w:rPr>
          <w:rFonts w:ascii="Consolas" w:cs="Consolas" w:eastAsia="Consolas" w:hAnsi="Consolas"/>
          <w:sz w:val="18"/>
          <w:szCs w:val="18"/>
        </w:rPr>
        <w:t xml:space="preserve">WITH COMPRESSION, STATS = 10, FORMAT, INIT;</w:t>
      </w:r>
    </w:p>
    <w:p>
      <w:pPr>
        <w:spacing w:after="80" w:before="80"/>
      </w:pPr>
      <w:r>
        <w:rPr>
          <w:sz w:val="22"/>
          <w:szCs w:val="22"/>
        </w:rPr>
        <w:t xml:space="preserve">Result: 473 pages backed up in 0.546 seconds at 6.756 MB/sec. Backup file remains encrypted in blob.</w:t>
      </w:r>
    </w:p>
    <w:p>
      <w:pPr>
        <w:pStyle w:val="Heading1"/>
        <w:spacing w:after="180" w:before="360"/>
      </w:pPr>
      <w:r>
        <w:rPr>
          <w:b/>
          <w:bCs/>
          <w:color w:val="1F3864"/>
          <w:sz w:val="32"/>
          <w:szCs w:val="32"/>
        </w:rPr>
        <w:t xml:space="preserve">10. Phase S.8 — RESTORE DATABASE FROM URL on MI</w:t>
      </w:r>
    </w:p>
    <w:p>
      <w:pPr>
        <w:spacing w:after="80" w:before="80"/>
      </w:pPr>
      <w:r>
        <w:rPr>
          <w:sz w:val="22"/>
          <w:szCs w:val="22"/>
        </w:rPr>
        <w:t xml:space="preserve">Created matching credential on MI, then executed RESTORE. MI's internal cert store provided the decryption key automatically.</w:t>
      </w:r>
    </w:p>
    <w:p>
      <w:pPr>
        <w:shd w:fill="F2F2F2" w:val="clear"/>
        <w:spacing w:after="40" w:before="40"/>
      </w:pPr>
      <w:r>
        <w:rPr>
          <w:rFonts w:ascii="Consolas" w:cs="Consolas" w:eastAsia="Consolas" w:hAnsi="Consolas"/>
          <w:sz w:val="18"/>
          <w:szCs w:val="18"/>
        </w:rPr>
        <w:t xml:space="preserve">-- On MI: create matching credential (same SAS token)</w:t>
      </w:r>
    </w:p>
    <w:p>
      <w:pPr>
        <w:shd w:fill="F2F2F2" w:val="clear"/>
        <w:spacing w:after="40" w:before="40"/>
      </w:pPr>
      <w:r>
        <w:rPr>
          <w:rFonts w:ascii="Consolas" w:cs="Consolas" w:eastAsia="Consolas" w:hAnsi="Consolas"/>
          <w:sz w:val="18"/>
          <w:szCs w:val="18"/>
        </w:rPr>
        <w:t xml:space="preserve">CREATE CREDENTIAL [https://ushalrsbackup.blob.core.windows.net/tdebackup]</w:t>
      </w:r>
    </w:p>
    <w:p>
      <w:pPr>
        <w:shd w:fill="F2F2F2" w:val="clear"/>
        <w:spacing w:after="40" w:before="40"/>
      </w:pPr>
      <w:r>
        <w:rPr>
          <w:rFonts w:ascii="Consolas" w:cs="Consolas" w:eastAsia="Consolas" w:hAnsi="Consolas"/>
          <w:sz w:val="18"/>
          <w:szCs w:val="18"/>
        </w:rPr>
        <w:t xml:space="preserve">WITH IDENTITY = 'SHARED ACCESS SIGNATURE',</w:t>
      </w:r>
    </w:p>
    <w:p>
      <w:pPr>
        <w:shd w:fill="F2F2F2" w:val="clear"/>
        <w:spacing w:after="40" w:before="40"/>
      </w:pPr>
      <w:r>
        <w:rPr>
          <w:rFonts w:ascii="Consolas" w:cs="Consolas" w:eastAsia="Consolas" w:hAnsi="Consolas"/>
          <w:sz w:val="18"/>
          <w:szCs w:val="18"/>
        </w:rPr>
        <w:t xml:space="preserve">     SECRET = '&lt;SAME_SAS_TOKEN&gt;';</w:t>
      </w:r>
    </w:p>
    <w:p>
      <w:pPr>
        <w:shd w:fill="F2F2F2" w:val="clear"/>
        <w:spacing w:after="40" w:before="40"/>
      </w:pPr>
      <w:r>
        <w:rPr>
          <w:rFonts w:ascii="Consolas" w:cs="Consolas" w:eastAsia="Consolas" w:hAnsi="Consolas"/>
          <w:sz w:val="18"/>
          <w:szCs w:val="18"/>
        </w:rPr>
        <w:t xml:space="preserve"/>
      </w:r>
    </w:p>
    <w:p>
      <w:pPr>
        <w:shd w:fill="F2F2F2" w:val="clear"/>
        <w:spacing w:after="40" w:before="40"/>
      </w:pPr>
      <w:r>
        <w:rPr>
          <w:rFonts w:ascii="Consolas" w:cs="Consolas" w:eastAsia="Consolas" w:hAnsi="Consolas"/>
          <w:sz w:val="18"/>
          <w:szCs w:val="18"/>
        </w:rPr>
        <w:t xml:space="preserve">-- Restore (no MOVE clause needed - MI manages file placement)</w:t>
      </w:r>
    </w:p>
    <w:p>
      <w:pPr>
        <w:shd w:fill="F2F2F2" w:val="clear"/>
        <w:spacing w:after="40" w:before="40"/>
      </w:pPr>
      <w:r>
        <w:rPr>
          <w:rFonts w:ascii="Consolas" w:cs="Consolas" w:eastAsia="Consolas" w:hAnsi="Consolas"/>
          <w:sz w:val="18"/>
          <w:szCs w:val="18"/>
        </w:rPr>
        <w:t xml:space="preserve">RESTORE DATABASE TDE_Demo_DB_Banking</w:t>
      </w:r>
    </w:p>
    <w:p>
      <w:pPr>
        <w:shd w:fill="F2F2F2" w:val="clear"/>
        <w:spacing w:after="40" w:before="40"/>
      </w:pPr>
      <w:r>
        <w:rPr>
          <w:rFonts w:ascii="Consolas" w:cs="Consolas" w:eastAsia="Consolas" w:hAnsi="Consolas"/>
          <w:sz w:val="18"/>
          <w:szCs w:val="18"/>
        </w:rPr>
        <w:t xml:space="preserve">FROM URL = 'https://ushalrsbackup.blob.core.windows.net/tdebackup/TDE_Demo_DB_Banking.bak';</w:t>
      </w:r>
    </w:p>
    <w:p>
      <w:pPr>
        <w:spacing w:after="80" w:before="80"/>
      </w:pPr>
      <w:r>
        <w:rPr>
          <w:sz w:val="22"/>
          <w:szCs w:val="22"/>
        </w:rPr>
        <w:t xml:space="preserve">Result: Commands completed successfully. No error 33111 = certificate was found in MI internal store.</w:t>
      </w:r>
    </w:p>
    <w:p>
      <w:pPr>
        <w:pStyle w:val="Heading1"/>
        <w:spacing w:after="180" w:before="360"/>
      </w:pPr>
      <w:r>
        <w:rPr>
          <w:b/>
          <w:bCs/>
          <w:color w:val="1F3864"/>
          <w:sz w:val="32"/>
          <w:szCs w:val="32"/>
        </w:rPr>
        <w:t xml:space="preserve">11. Phase S.9 — Validate TDE State and Row Parity</w:t>
      </w:r>
    </w:p>
    <w:p>
      <w:pPr>
        <w:shd w:fill="F2F2F2" w:val="clear"/>
        <w:spacing w:after="40" w:before="40"/>
      </w:pPr>
      <w:r>
        <w:rPr>
          <w:rFonts w:ascii="Consolas" w:cs="Consolas" w:eastAsia="Consolas" w:hAnsi="Consolas"/>
          <w:sz w:val="18"/>
          <w:szCs w:val="18"/>
        </w:rPr>
        <w:t xml:space="preserve">SELECT DB_NAME(database_id) AS DatabaseName,</w:t>
      </w:r>
    </w:p>
    <w:p>
      <w:pPr>
        <w:shd w:fill="F2F2F2" w:val="clear"/>
        <w:spacing w:after="40" w:before="40"/>
      </w:pPr>
      <w:r>
        <w:rPr>
          <w:rFonts w:ascii="Consolas" w:cs="Consolas" w:eastAsia="Consolas" w:hAnsi="Consolas"/>
          <w:sz w:val="18"/>
          <w:szCs w:val="18"/>
        </w:rPr>
        <w:t xml:space="preserve">       encryption_state, key_algorithm, key_length, encryptor_type</w:t>
      </w:r>
    </w:p>
    <w:p>
      <w:pPr>
        <w:shd w:fill="F2F2F2" w:val="clear"/>
        <w:spacing w:after="40" w:before="40"/>
      </w:pPr>
      <w:r>
        <w:rPr>
          <w:rFonts w:ascii="Consolas" w:cs="Consolas" w:eastAsia="Consolas" w:hAnsi="Consolas"/>
          <w:sz w:val="18"/>
          <w:szCs w:val="18"/>
        </w:rPr>
        <w:t xml:space="preserve">FROM sys.dm_database_encryption_keys</w:t>
      </w:r>
    </w:p>
    <w:p>
      <w:pPr>
        <w:shd w:fill="F2F2F2" w:val="clear"/>
        <w:spacing w:after="40" w:before="40"/>
      </w:pPr>
      <w:r>
        <w:rPr>
          <w:rFonts w:ascii="Consolas" w:cs="Consolas" w:eastAsia="Consolas" w:hAnsi="Consolas"/>
          <w:sz w:val="18"/>
          <w:szCs w:val="18"/>
        </w:rPr>
        <w:t xml:space="preserve">WHERE database_id = DB_ID('TDE_Demo_DB_Banking');</w:t>
      </w:r>
    </w:p>
    <w:p>
      <w:pPr>
        <w:spacing w:after="80" w:before="80"/>
      </w:pPr>
      <w:r>
        <w:rPr>
          <w:sz w:val="22"/>
          <w:szCs w:val="22"/>
        </w:rPr>
        <w:t xml:space="preserve">Result on MI: encryption_state=3, AES, 256, CERTIFICATE</w:t>
      </w:r>
    </w:p>
    <w:p>
      <w:pPr>
        <w:spacing w:after="80" w:before="80"/>
      </w:pPr>
      <w:r>
        <w:rPr>
          <w:sz w:val="22"/>
          <w:szCs w:val="22"/>
        </w:rPr>
        <w:t xml:space="preserve">Row count: Customers=100, Accounts=200, Transactions=2,000, Total=2,300 (100% parity with source)</w:t>
      </w:r>
    </w:p>
    <w:p>
      <w:pPr>
        <w:pStyle w:val="Heading1"/>
        <w:spacing w:after="180" w:before="360"/>
      </w:pPr>
      <w:r>
        <w:rPr>
          <w:b/>
          <w:bCs/>
          <w:color w:val="1F3864"/>
          <w:sz w:val="32"/>
          <w:szCs w:val="32"/>
        </w:rPr>
        <w:t xml:space="preserve">12. TDE Options Playbook — Complete Scenario Catalog</w:t>
      </w:r>
    </w:p>
    <w:p>
      <w:pPr>
        <w:spacing w:after="80" w:before="80"/>
      </w:pPr>
      <w:r>
        <w:rPr>
          <w:sz w:val="22"/>
          <w:szCs w:val="22"/>
        </w:rPr>
        <w:t xml:space="preserve">This section catalogs the full spectrum of TDE scenarios a Senior Cloud DBA encounters in banking and financial services. The scenarios are organized into six categories. Each scenario is summarized with: what it is, when you need it, key technical considerations, and banking relevance.</w:t>
      </w:r>
    </w:p>
    <w:p>
      <w:pPr>
        <w:spacing w:after="80" w:before="80"/>
      </w:pPr>
      <w:r>
        <w:rPr>
          <w:b/>
          <w:bCs/>
          <w:sz w:val="22"/>
          <w:szCs w:val="22"/>
        </w:rPr>
        <w:t xml:space="preserve">Tier designation (see Section 14 Priority Matrix):</w:t>
      </w:r>
    </w:p>
    <w:p>
      <w:pPr>
        <w:pStyle w:val="ListParagraph"/>
        <w:numPr>
          <w:ilvl w:val="0"/>
          <w:numId w:val="2"/>
        </w:numPr>
        <w:spacing w:after="40" w:before="40"/>
      </w:pPr>
      <w:r>
        <w:rPr>
          <w:sz w:val="22"/>
          <w:szCs w:val="22"/>
        </w:rPr>
        <w:t xml:space="preserve">TIER 1: Implemented POC with hands-on execution (current Appendix S Sections 1-11)</w:t>
      </w:r>
    </w:p>
    <w:p>
      <w:pPr>
        <w:pStyle w:val="ListParagraph"/>
        <w:numPr>
          <w:ilvl w:val="0"/>
          <w:numId w:val="2"/>
        </w:numPr>
        <w:spacing w:after="40" w:before="40"/>
      </w:pPr>
      <w:r>
        <w:rPr>
          <w:sz w:val="22"/>
          <w:szCs w:val="22"/>
        </w:rPr>
        <w:t xml:space="preserve">TIER 2: Prioritized for near-term implementation as separate POCs</w:t>
      </w:r>
    </w:p>
    <w:p>
      <w:pPr>
        <w:pStyle w:val="ListParagraph"/>
        <w:numPr>
          <w:ilvl w:val="0"/>
          <w:numId w:val="2"/>
        </w:numPr>
        <w:spacing w:after="40" w:before="40"/>
      </w:pPr>
      <w:r>
        <w:rPr>
          <w:sz w:val="22"/>
          <w:szCs w:val="22"/>
        </w:rPr>
        <w:t xml:space="preserve">TIER 3: Cataloged for architectural reference, implementation deferred</w:t>
      </w:r>
    </w:p>
    <w:p>
      <w:pPr>
        <w:pStyle w:val="Heading2"/>
        <w:spacing w:after="140" w:before="280"/>
      </w:pPr>
      <w:r>
        <w:rPr>
          <w:b/>
          <w:bCs/>
          <w:color w:val="2E75B6"/>
          <w:sz w:val="28"/>
          <w:szCs w:val="28"/>
        </w:rPr>
        <w:t xml:space="preserve">12.1 Category A — TDE Lifecycle on On-Premises SQL Server</w:t>
      </w:r>
    </w:p>
    <w:p>
      <w:pPr>
        <w:pStyle w:val="Heading3"/>
        <w:spacing w:after="110" w:before="220"/>
      </w:pPr>
      <w:r>
        <w:rPr>
          <w:b/>
          <w:bCs/>
          <w:color w:val="2E75B6"/>
          <w:sz w:val="24"/>
          <w:szCs w:val="24"/>
        </w:rPr>
        <w:t xml:space="preserve">A1. Enable TDE on a Standalone Database</w:t>
      </w:r>
    </w:p>
    <w:p>
      <w:pPr>
        <w:spacing w:after="80" w:before="80"/>
      </w:pPr>
      <w:r>
        <w:rPr>
          <w:sz w:val="22"/>
          <w:szCs w:val="22"/>
        </w:rPr>
        <w:t xml:space="preserve">WHAT: Enable TDE on a regular database that is not part of any Availability Group.</w:t>
      </w:r>
    </w:p>
    <w:p>
      <w:pPr>
        <w:spacing w:after="80" w:before="80"/>
      </w:pPr>
      <w:r>
        <w:rPr>
          <w:sz w:val="22"/>
          <w:szCs w:val="22"/>
        </w:rPr>
        <w:t xml:space="preserve">WHEN: New TDE deployment, no HA involvement, simplest scenario.</w:t>
      </w:r>
    </w:p>
    <w:p>
      <w:pPr>
        <w:spacing w:after="80" w:before="80"/>
      </w:pPr>
      <w:r>
        <w:rPr>
          <w:sz w:val="22"/>
          <w:szCs w:val="22"/>
        </w:rPr>
        <w:t xml:space="preserve">MECHANICS: CREATE MASTER KEY → CREATE CERTIFICATE → CREATE DATABASE ENCRYPTION KEY → ALTER DATABASE SET ENCRYPTION ON. See Phase S.2 of this document for full commands.</w:t>
      </w:r>
    </w:p>
    <w:p>
      <w:pPr>
        <w:spacing w:after="80" w:before="80"/>
      </w:pPr>
      <w:r>
        <w:rPr>
          <w:sz w:val="22"/>
          <w:szCs w:val="22"/>
        </w:rPr>
        <w:t xml:space="preserve">BANKING RELEVANCE: Baseline capability. Every DBA must know this.</w:t>
      </w:r>
    </w:p>
    <w:p>
      <w:pPr>
        <w:spacing w:after="80" w:before="80"/>
      </w:pPr>
      <w:r>
        <w:rPr>
          <w:b/>
          <w:bCs/>
          <w:sz w:val="22"/>
          <w:szCs w:val="22"/>
        </w:rPr>
        <w:t xml:space="preserve">TIER: 1 — Implemented in Phase S.2 of this document.</w:t>
      </w:r>
    </w:p>
    <w:p>
      <w:pPr>
        <w:pStyle w:val="Heading3"/>
        <w:spacing w:after="110" w:before="220"/>
      </w:pPr>
      <w:r>
        <w:rPr>
          <w:b/>
          <w:bCs/>
          <w:color w:val="2E75B6"/>
          <w:sz w:val="24"/>
          <w:szCs w:val="24"/>
        </w:rPr>
        <w:t xml:space="preserve">A2. Add an Existing TDE-Enabled Database to an Availability Group</w:t>
      </w:r>
    </w:p>
    <w:p>
      <w:pPr>
        <w:spacing w:after="80" w:before="80"/>
      </w:pPr>
      <w:r>
        <w:rPr>
          <w:sz w:val="22"/>
          <w:szCs w:val="22"/>
        </w:rPr>
        <w:t xml:space="preserve">WHAT: The database already has TDE enabled. Now you want to add it to an AG for HA.</w:t>
      </w:r>
    </w:p>
    <w:p>
      <w:pPr>
        <w:spacing w:after="80" w:before="80"/>
      </w:pPr>
      <w:r>
        <w:rPr>
          <w:sz w:val="22"/>
          <w:szCs w:val="22"/>
        </w:rPr>
        <w:t xml:space="preserve">WHEN: Converting a standalone TDE database to HA, or consolidating TDE databases into existing AG infrastructure.</w:t>
      </w:r>
    </w:p>
    <w:p>
      <w:pPr>
        <w:spacing w:after="80" w:before="80"/>
      </w:pPr>
      <w:r>
        <w:rPr>
          <w:sz w:val="22"/>
          <w:szCs w:val="22"/>
        </w:rPr>
        <w:t xml:space="preserve">KEY TECHNICAL CONSIDERATIONS:</w:t>
      </w:r>
    </w:p>
    <w:p>
      <w:pPr>
        <w:pStyle w:val="ListParagraph"/>
        <w:numPr>
          <w:ilvl w:val="0"/>
          <w:numId w:val="2"/>
        </w:numPr>
        <w:spacing w:after="40" w:before="40"/>
      </w:pPr>
      <w:r>
        <w:rPr>
          <w:sz w:val="22"/>
          <w:szCs w:val="22"/>
        </w:rPr>
        <w:t xml:space="preserve">The TDE certificate MUST exist on ALL AG replicas with the same thumbprint BEFORE the database can be joined to the AG</w:t>
      </w:r>
    </w:p>
    <w:p>
      <w:pPr>
        <w:pStyle w:val="ListParagraph"/>
        <w:numPr>
          <w:ilvl w:val="0"/>
          <w:numId w:val="2"/>
        </w:numPr>
        <w:spacing w:after="40" w:before="40"/>
      </w:pPr>
      <w:r>
        <w:rPr>
          <w:sz w:val="22"/>
          <w:szCs w:val="22"/>
        </w:rPr>
        <w:t xml:space="preserve">Use BACKUP CERTIFICATE on primary, then CREATE CERTIFICATE FROM FILE on each secondary</w:t>
      </w:r>
    </w:p>
    <w:p>
      <w:pPr>
        <w:pStyle w:val="ListParagraph"/>
        <w:numPr>
          <w:ilvl w:val="0"/>
          <w:numId w:val="2"/>
        </w:numPr>
        <w:spacing w:after="40" w:before="40"/>
      </w:pPr>
      <w:r>
        <w:rPr>
          <w:sz w:val="22"/>
          <w:szCs w:val="22"/>
        </w:rPr>
        <w:t xml:space="preserve">DMK must be created on each secondary replica (each replica has its own DMK)</w:t>
      </w:r>
    </w:p>
    <w:p>
      <w:pPr>
        <w:pStyle w:val="ListParagraph"/>
        <w:numPr>
          <w:ilvl w:val="0"/>
          <w:numId w:val="2"/>
        </w:numPr>
        <w:spacing w:after="40" w:before="40"/>
      </w:pPr>
      <w:r>
        <w:rPr>
          <w:sz w:val="22"/>
          <w:szCs w:val="22"/>
        </w:rPr>
        <w:t xml:space="preserve">The database can then be joined to the AG via normal AG procedures</w:t>
      </w:r>
    </w:p>
    <w:p>
      <w:pPr>
        <w:spacing w:after="80" w:before="80"/>
      </w:pPr>
      <w:r>
        <w:rPr>
          <w:sz w:val="22"/>
          <w:szCs w:val="22"/>
        </w:rPr>
        <w:t xml:space="preserve">BANKING RELEVANCE: High. Production banking databases rarely stay standalone — this path takes you from dev/test TDE to production HA.</w:t>
      </w:r>
    </w:p>
    <w:p>
      <w:pPr>
        <w:spacing w:after="80" w:before="80"/>
      </w:pPr>
      <w:r>
        <w:rPr>
          <w:b/>
          <w:bCs/>
          <w:sz w:val="22"/>
          <w:szCs w:val="22"/>
        </w:rPr>
        <w:t xml:space="preserve">TIER: 3 — Cataloged for future implementation.</w:t>
      </w:r>
    </w:p>
    <w:p>
      <w:pPr>
        <w:pStyle w:val="Heading3"/>
        <w:spacing w:after="110" w:before="220"/>
      </w:pPr>
      <w:r>
        <w:rPr>
          <w:b/>
          <w:bCs/>
          <w:color w:val="2E75B6"/>
          <w:sz w:val="24"/>
          <w:szCs w:val="24"/>
        </w:rPr>
        <w:t xml:space="preserve">A3. Enable TDE on a Database Already in an AG</w:t>
      </w:r>
    </w:p>
    <w:p>
      <w:pPr>
        <w:spacing w:after="80" w:before="80"/>
      </w:pPr>
      <w:r>
        <w:rPr>
          <w:sz w:val="22"/>
          <w:szCs w:val="22"/>
        </w:rPr>
        <w:t xml:space="preserve">WHAT: The database is already in an AG. Now you need to encrypt it.</w:t>
      </w:r>
    </w:p>
    <w:p>
      <w:pPr>
        <w:spacing w:after="80" w:before="80"/>
      </w:pPr>
      <w:r>
        <w:rPr>
          <w:sz w:val="22"/>
          <w:szCs w:val="22"/>
        </w:rPr>
        <w:t xml:space="preserve">WHEN: Compliance mandate for existing databases that were not encrypted when originally deployed to HA. Very common in banking audits.</w:t>
      </w:r>
    </w:p>
    <w:p>
      <w:pPr>
        <w:spacing w:after="80" w:before="80"/>
      </w:pPr>
      <w:r>
        <w:rPr>
          <w:sz w:val="22"/>
          <w:szCs w:val="22"/>
        </w:rPr>
        <w:t xml:space="preserve">KEY TECHNICAL CONSIDERATIONS:</w:t>
      </w:r>
    </w:p>
    <w:p>
      <w:pPr>
        <w:pStyle w:val="ListParagraph"/>
        <w:numPr>
          <w:ilvl w:val="0"/>
          <w:numId w:val="2"/>
        </w:numPr>
        <w:spacing w:after="40" w:before="40"/>
      </w:pPr>
      <w:r>
        <w:rPr>
          <w:sz w:val="22"/>
          <w:szCs w:val="22"/>
        </w:rPr>
        <w:t xml:space="preserve">DMK and Certificate must be created on ALL replicas BEFORE enabling encryption</w:t>
      </w:r>
    </w:p>
    <w:p>
      <w:pPr>
        <w:pStyle w:val="ListParagraph"/>
        <w:numPr>
          <w:ilvl w:val="0"/>
          <w:numId w:val="2"/>
        </w:numPr>
        <w:spacing w:after="40" w:before="40"/>
      </w:pPr>
      <w:r>
        <w:rPr>
          <w:sz w:val="22"/>
          <w:szCs w:val="22"/>
        </w:rPr>
        <w:t xml:space="preserve">Create DMK and Cert on primary first</w:t>
      </w:r>
    </w:p>
    <w:p>
      <w:pPr>
        <w:pStyle w:val="ListParagraph"/>
        <w:numPr>
          <w:ilvl w:val="0"/>
          <w:numId w:val="2"/>
        </w:numPr>
        <w:spacing w:after="40" w:before="40"/>
      </w:pPr>
      <w:r>
        <w:rPr>
          <w:sz w:val="22"/>
          <w:szCs w:val="22"/>
        </w:rPr>
        <w:t xml:space="preserve">BACKUP CERTIFICATE from primary, distribute to all secondaries</w:t>
      </w:r>
    </w:p>
    <w:p>
      <w:pPr>
        <w:pStyle w:val="ListParagraph"/>
        <w:numPr>
          <w:ilvl w:val="0"/>
          <w:numId w:val="2"/>
        </w:numPr>
        <w:spacing w:after="40" w:before="40"/>
      </w:pPr>
      <w:r>
        <w:rPr>
          <w:sz w:val="22"/>
          <w:szCs w:val="22"/>
        </w:rPr>
        <w:t xml:space="preserve">CREATE CERTIFICATE FROM FILE on each secondary (must produce matching thumbprint)</w:t>
      </w:r>
    </w:p>
    <w:p>
      <w:pPr>
        <w:pStyle w:val="ListParagraph"/>
        <w:numPr>
          <w:ilvl w:val="0"/>
          <w:numId w:val="2"/>
        </w:numPr>
        <w:spacing w:after="40" w:before="40"/>
      </w:pPr>
      <w:r>
        <w:rPr>
          <w:sz w:val="22"/>
          <w:szCs w:val="22"/>
        </w:rPr>
        <w:t xml:space="preserve">ONLY THEN create DEK and run ALTER DATABASE SET ENCRYPTION ON on primary</w:t>
      </w:r>
    </w:p>
    <w:p>
      <w:pPr>
        <w:pStyle w:val="ListParagraph"/>
        <w:numPr>
          <w:ilvl w:val="0"/>
          <w:numId w:val="2"/>
        </w:numPr>
        <w:spacing w:after="40" w:before="40"/>
      </w:pPr>
      <w:r>
        <w:rPr>
          <w:sz w:val="22"/>
          <w:szCs w:val="22"/>
        </w:rPr>
        <w:t xml:space="preserve">Encryption replicates automatically to secondaries via AG log stream</w:t>
      </w:r>
    </w:p>
    <w:p>
      <w:pPr>
        <w:spacing w:after="80" w:before="80"/>
      </w:pPr>
      <w:r>
        <w:rPr>
          <w:sz w:val="22"/>
          <w:szCs w:val="22"/>
        </w:rPr>
        <w:t xml:space="preserve">COMMON FAILURE MODE: Enabling encryption before cert is on secondaries causes AG to go into Not Synchronizing state.</w:t>
      </w:r>
    </w:p>
    <w:p>
      <w:pPr>
        <w:spacing w:after="80" w:before="80"/>
      </w:pPr>
      <w:r>
        <w:rPr>
          <w:sz w:val="22"/>
          <w:szCs w:val="22"/>
        </w:rPr>
        <w:t xml:space="preserve">BANKING RELEVANCE: Very High. This is the most common real-world TDE task in regulated environments.</w:t>
      </w:r>
    </w:p>
    <w:p>
      <w:pPr>
        <w:spacing w:after="80" w:before="80"/>
      </w:pPr>
      <w:r>
        <w:rPr>
          <w:b/>
          <w:bCs/>
          <w:sz w:val="22"/>
          <w:szCs w:val="22"/>
        </w:rPr>
        <w:t xml:space="preserve">TIER: 3 — Cataloged for future implementation.</w:t>
      </w:r>
    </w:p>
    <w:p>
      <w:pPr>
        <w:pStyle w:val="Heading3"/>
        <w:spacing w:after="110" w:before="220"/>
      </w:pPr>
      <w:r>
        <w:rPr>
          <w:b/>
          <w:bCs/>
          <w:color w:val="2E75B6"/>
          <w:sz w:val="24"/>
          <w:szCs w:val="24"/>
        </w:rPr>
        <w:t xml:space="preserve">A4. TDE Certificate Rotation</w:t>
      </w:r>
    </w:p>
    <w:p>
      <w:pPr>
        <w:spacing w:after="80" w:before="80"/>
      </w:pPr>
      <w:r>
        <w:rPr>
          <w:sz w:val="22"/>
          <w:szCs w:val="22"/>
        </w:rPr>
        <w:t xml:space="preserve">WHAT: Replace the current TDE certificate with a new one without decrypting the database.</w:t>
      </w:r>
    </w:p>
    <w:p>
      <w:pPr>
        <w:spacing w:after="80" w:before="80"/>
      </w:pPr>
      <w:r>
        <w:rPr>
          <w:sz w:val="22"/>
          <w:szCs w:val="22"/>
        </w:rPr>
        <w:t xml:space="preserve">WHEN: Periodic compliance rotation (typically annual), or after suspected cert compromise.</w:t>
      </w:r>
    </w:p>
    <w:p>
      <w:pPr>
        <w:spacing w:after="80" w:before="80"/>
      </w:pPr>
      <w:r>
        <w:rPr>
          <w:sz w:val="22"/>
          <w:szCs w:val="22"/>
        </w:rPr>
        <w:t xml:space="preserve">KEY TECHNICAL CONSIDERATIONS:</w:t>
      </w:r>
    </w:p>
    <w:p>
      <w:pPr>
        <w:pStyle w:val="ListParagraph"/>
        <w:numPr>
          <w:ilvl w:val="0"/>
          <w:numId w:val="2"/>
        </w:numPr>
        <w:spacing w:after="40" w:before="40"/>
      </w:pPr>
      <w:r>
        <w:rPr>
          <w:sz w:val="22"/>
          <w:szCs w:val="22"/>
        </w:rPr>
        <w:t xml:space="preserve">Create new cert with different subject name</w:t>
      </w:r>
    </w:p>
    <w:p>
      <w:pPr>
        <w:pStyle w:val="ListParagraph"/>
        <w:numPr>
          <w:ilvl w:val="0"/>
          <w:numId w:val="2"/>
        </w:numPr>
        <w:spacing w:after="40" w:before="40"/>
      </w:pPr>
      <w:r>
        <w:rPr>
          <w:sz w:val="22"/>
          <w:szCs w:val="22"/>
        </w:rPr>
        <w:t xml:space="preserve">ALTER DATABASE ENCRYPTION KEY to re-encrypt DEK with new cert</w:t>
      </w:r>
    </w:p>
    <w:p>
      <w:pPr>
        <w:pStyle w:val="ListParagraph"/>
        <w:numPr>
          <w:ilvl w:val="0"/>
          <w:numId w:val="2"/>
        </w:numPr>
        <w:spacing w:after="40" w:before="40"/>
      </w:pPr>
      <w:r>
        <w:rPr>
          <w:sz w:val="22"/>
          <w:szCs w:val="22"/>
        </w:rPr>
        <w:t xml:space="preserve">Old cert MUST be retained until all backups encrypted with old cert are past retention</w:t>
      </w:r>
    </w:p>
    <w:p>
      <w:pPr>
        <w:pStyle w:val="ListParagraph"/>
        <w:numPr>
          <w:ilvl w:val="0"/>
          <w:numId w:val="2"/>
        </w:numPr>
        <w:spacing w:after="40" w:before="40"/>
      </w:pPr>
      <w:r>
        <w:rPr>
          <w:sz w:val="22"/>
          <w:szCs w:val="22"/>
        </w:rPr>
        <w:t xml:space="preserve">New cert must be backed up immediately (same warning as initial TDE enablement)</w:t>
      </w:r>
    </w:p>
    <w:p>
      <w:pPr>
        <w:pStyle w:val="ListParagraph"/>
        <w:numPr>
          <w:ilvl w:val="0"/>
          <w:numId w:val="2"/>
        </w:numPr>
        <w:spacing w:after="40" w:before="40"/>
      </w:pPr>
      <w:r>
        <w:rPr>
          <w:sz w:val="22"/>
          <w:szCs w:val="22"/>
        </w:rPr>
        <w:t xml:space="preserve">In AG environments, new cert must be deployed to all replicas BEFORE rotation</w:t>
      </w:r>
    </w:p>
    <w:p>
      <w:pPr>
        <w:spacing w:after="80" w:before="80"/>
      </w:pPr>
      <w:r>
        <w:rPr>
          <w:sz w:val="22"/>
          <w:szCs w:val="22"/>
        </w:rPr>
        <w:t xml:space="preserve">BANKING RELEVANCE: High. Annual rotation is a common compliance control.</w:t>
      </w:r>
    </w:p>
    <w:p>
      <w:pPr>
        <w:spacing w:after="80" w:before="80"/>
      </w:pPr>
      <w:r>
        <w:rPr>
          <w:b/>
          <w:bCs/>
          <w:sz w:val="22"/>
          <w:szCs w:val="22"/>
        </w:rPr>
        <w:t xml:space="preserve">TIER: 2 — PRIORITIZED for near-term implementation.</w:t>
      </w:r>
    </w:p>
    <w:p>
      <w:pPr>
        <w:pStyle w:val="Heading3"/>
        <w:spacing w:after="110" w:before="220"/>
      </w:pPr>
      <w:r>
        <w:rPr>
          <w:b/>
          <w:bCs/>
          <w:color w:val="2E75B6"/>
          <w:sz w:val="24"/>
          <w:szCs w:val="24"/>
        </w:rPr>
        <w:t xml:space="preserve">A5. TDE Certificate Recovery (Lost Cert Scenario)</w:t>
      </w:r>
    </w:p>
    <w:p>
      <w:pPr>
        <w:spacing w:after="80" w:before="80"/>
      </w:pPr>
      <w:r>
        <w:rPr>
          <w:sz w:val="22"/>
          <w:szCs w:val="22"/>
        </w:rPr>
        <w:t xml:space="preserve">WHAT: Document the WORST-CASE scenario where the TDE certificate is lost, corrupted, or the password is forgotten.</w:t>
      </w:r>
    </w:p>
    <w:p>
      <w:pPr>
        <w:spacing w:after="80" w:before="80"/>
      </w:pPr>
      <w:r>
        <w:rPr>
          <w:sz w:val="22"/>
          <w:szCs w:val="22"/>
        </w:rPr>
        <w:t xml:space="preserve">WHEN: Runbook preparation — you don't want to discover the gap during an outage.</w:t>
      </w:r>
    </w:p>
    <w:p>
      <w:pPr>
        <w:spacing w:after="80" w:before="80"/>
      </w:pPr>
      <w:r>
        <w:rPr>
          <w:sz w:val="22"/>
          <w:szCs w:val="22"/>
        </w:rPr>
        <w:t xml:space="preserve">REALITY: If the cert is lost and no backup exists, the database is permanently inaccessible. Data is cryptographically destroyed.</w:t>
      </w:r>
    </w:p>
    <w:p>
      <w:pPr>
        <w:spacing w:after="80" w:before="80"/>
      </w:pPr>
      <w:r>
        <w:rPr>
          <w:sz w:val="22"/>
          <w:szCs w:val="22"/>
        </w:rPr>
        <w:t xml:space="preserve">MITIGATION: Proven backup/restore discipline. Cert + .pvk in offline secure storage. Regular restore tests.</w:t>
      </w:r>
    </w:p>
    <w:p>
      <w:pPr>
        <w:spacing w:after="80" w:before="80"/>
      </w:pPr>
      <w:r>
        <w:rPr>
          <w:sz w:val="22"/>
          <w:szCs w:val="22"/>
        </w:rPr>
        <w:t xml:space="preserve">BANKING RELEVANCE: Critical. Part of every compliance audit.</w:t>
      </w:r>
    </w:p>
    <w:p>
      <w:pPr>
        <w:spacing w:after="80" w:before="80"/>
      </w:pPr>
      <w:r>
        <w:rPr>
          <w:b/>
          <w:bCs/>
          <w:sz w:val="22"/>
          <w:szCs w:val="22"/>
        </w:rPr>
        <w:t xml:space="preserve">TIER: 3 — Documented as cautionary reference.</w:t>
      </w:r>
    </w:p>
    <w:p>
      <w:pPr>
        <w:pStyle w:val="Heading2"/>
        <w:spacing w:after="140" w:before="280"/>
      </w:pPr>
      <w:r>
        <w:rPr>
          <w:b/>
          <w:bCs/>
          <w:color w:val="2E75B6"/>
          <w:sz w:val="28"/>
          <w:szCs w:val="28"/>
        </w:rPr>
        <w:t xml:space="preserve">12.2 Category B — TDE Migration to Azure</w:t>
      </w:r>
    </w:p>
    <w:p>
      <w:pPr>
        <w:pStyle w:val="Heading3"/>
        <w:spacing w:after="110" w:before="220"/>
      </w:pPr>
      <w:r>
        <w:rPr>
          <w:b/>
          <w:bCs/>
          <w:color w:val="2E75B6"/>
          <w:sz w:val="24"/>
          <w:szCs w:val="24"/>
        </w:rPr>
        <w:t xml:space="preserve">B1. Standalone TDE Database to Azure SQL Managed Instance</w:t>
      </w:r>
    </w:p>
    <w:p>
      <w:pPr>
        <w:spacing w:after="80" w:before="80"/>
      </w:pPr>
      <w:r>
        <w:rPr>
          <w:sz w:val="22"/>
          <w:szCs w:val="22"/>
        </w:rPr>
        <w:t xml:space="preserve">WHAT: Migrate a TDE-protected standalone database from on-premises SQL Server to Azure SQL MI.</w:t>
      </w:r>
    </w:p>
    <w:p>
      <w:pPr>
        <w:spacing w:after="80" w:before="80"/>
      </w:pPr>
      <w:r>
        <w:rPr>
          <w:sz w:val="22"/>
          <w:szCs w:val="22"/>
        </w:rPr>
        <w:t xml:space="preserve">PATTERN: Cert export → pvk2pfx → Base64 → upload to MI → BACKUP TO URL → RESTORE FROM URL.</w:t>
      </w:r>
    </w:p>
    <w:p>
      <w:pPr>
        <w:spacing w:after="80" w:before="80"/>
      </w:pPr>
      <w:r>
        <w:rPr>
          <w:sz w:val="22"/>
          <w:szCs w:val="22"/>
        </w:rPr>
        <w:t xml:space="preserve">BANKING RELEVANCE: High. Foundation pattern — must be mastered before AG variants.</w:t>
      </w:r>
    </w:p>
    <w:p>
      <w:pPr>
        <w:spacing w:after="80" w:before="80"/>
      </w:pPr>
      <w:r>
        <w:rPr>
          <w:b/>
          <w:bCs/>
          <w:sz w:val="22"/>
          <w:szCs w:val="22"/>
        </w:rPr>
        <w:t xml:space="preserve">TIER: 1 — Implemented (Sections 1-11 of this document). Full end-to-end POC with 2,300 rows migrated successfully.</w:t>
      </w:r>
    </w:p>
    <w:p>
      <w:pPr>
        <w:pStyle w:val="Heading3"/>
        <w:spacing w:after="110" w:before="220"/>
      </w:pPr>
      <w:r>
        <w:rPr>
          <w:b/>
          <w:bCs/>
          <w:color w:val="2E75B6"/>
          <w:sz w:val="24"/>
          <w:szCs w:val="24"/>
        </w:rPr>
        <w:t xml:space="preserve">B2. TDE-Enabled AG Database to Azure SQL Managed Instance</w:t>
      </w:r>
    </w:p>
    <w:p>
      <w:pPr>
        <w:spacing w:after="80" w:before="80"/>
      </w:pPr>
      <w:r>
        <w:rPr>
          <w:sz w:val="22"/>
          <w:szCs w:val="22"/>
        </w:rPr>
        <w:t xml:space="preserve">WHAT: Migrate a TDE database that is a member of an on-premises AG to Azure SQL MI.</w:t>
      </w:r>
    </w:p>
    <w:p>
      <w:pPr>
        <w:spacing w:after="80" w:before="80"/>
      </w:pPr>
      <w:r>
        <w:rPr>
          <w:sz w:val="22"/>
          <w:szCs w:val="22"/>
        </w:rPr>
        <w:t xml:space="preserve">WHEN: Migrating production AG banking workloads to Azure.</w:t>
      </w:r>
    </w:p>
    <w:p>
      <w:pPr>
        <w:spacing w:after="80" w:before="80"/>
      </w:pPr>
      <w:r>
        <w:rPr>
          <w:sz w:val="22"/>
          <w:szCs w:val="22"/>
        </w:rPr>
        <w:t xml:space="preserve">MICROSOFT'S 3-TIER APPROACH:</w:t>
      </w:r>
    </w:p>
    <w:p>
      <w:pPr>
        <w:spacing w:after="80" w:before="80"/>
      </w:pPr>
      <w:r>
        <w:rPr>
          <w:b/>
          <w:bCs/>
          <w:sz w:val="22"/>
          <w:szCs w:val="22"/>
        </w:rPr>
        <w:t xml:space="preserve">Tier 1 — MI Link (Distributed AG): Near-zero downtime. Requires SQL 2022+ on-prem. Preferred method for banking production workloads.</w:t>
      </w:r>
    </w:p>
    <w:p>
      <w:pPr>
        <w:spacing w:after="80" w:before="80"/>
      </w:pPr>
      <w:r>
        <w:rPr>
          <w:b/>
          <w:bCs/>
          <w:sz w:val="22"/>
          <w:szCs w:val="22"/>
        </w:rPr>
        <w:t xml:space="preserve">Tier 2 — Azure DMS with TDE Extension: Fully managed by Azure. Preview feature. Good when you want Microsoft to handle cert plumbing.</w:t>
      </w:r>
    </w:p>
    <w:p>
      <w:pPr>
        <w:spacing w:after="80" w:before="80"/>
      </w:pPr>
      <w:r>
        <w:rPr>
          <w:b/>
          <w:bCs/>
          <w:sz w:val="22"/>
          <w:szCs w:val="22"/>
        </w:rPr>
        <w:t xml:space="preserve">Tier 3 — Native Manual: Backup from secondary, restore to MI, cutover window required. Used when Tier 1/2 unavailable.</w:t>
      </w:r>
    </w:p>
    <w:p>
      <w:pPr>
        <w:spacing w:after="80" w:before="80"/>
      </w:pPr>
      <w:r>
        <w:rPr>
          <w:sz w:val="22"/>
          <w:szCs w:val="22"/>
        </w:rPr>
        <w:t xml:space="preserve">BANKING RELEVANCE: Very High. This is THE scenario banking interviewers probe deeply.</w:t>
      </w:r>
    </w:p>
    <w:p>
      <w:pPr>
        <w:spacing w:after="80" w:before="80"/>
      </w:pPr>
      <w:r>
        <w:rPr>
          <w:b/>
          <w:bCs/>
          <w:sz w:val="22"/>
          <w:szCs w:val="22"/>
        </w:rPr>
        <w:t xml:space="preserve">TIER: 2 — PRIORITIZED for near-term implementation (planned as separate appendix).</w:t>
      </w:r>
    </w:p>
    <w:p>
      <w:pPr>
        <w:pStyle w:val="Heading3"/>
        <w:spacing w:after="110" w:before="220"/>
      </w:pPr>
      <w:r>
        <w:rPr>
          <w:b/>
          <w:bCs/>
          <w:color w:val="2E75B6"/>
          <w:sz w:val="24"/>
          <w:szCs w:val="24"/>
        </w:rPr>
        <w:t xml:space="preserve">B3. Standalone TDE Database to Azure SQL Database (PaaS, not MI)</w:t>
      </w:r>
    </w:p>
    <w:p>
      <w:pPr>
        <w:spacing w:after="80" w:before="80"/>
      </w:pPr>
      <w:r>
        <w:rPr>
          <w:sz w:val="22"/>
          <w:szCs w:val="22"/>
        </w:rPr>
        <w:t xml:space="preserve">WHAT: Migrate to Azure SQL DB instead of MI.</w:t>
      </w:r>
    </w:p>
    <w:p>
      <w:pPr>
        <w:spacing w:after="80" w:before="80"/>
      </w:pPr>
      <w:r>
        <w:rPr>
          <w:sz w:val="22"/>
          <w:szCs w:val="22"/>
        </w:rPr>
        <w:t xml:space="preserve">KEY DIFFERENCE: Azure SQL DB has service-managed TDE by default. The source certificate is NOT migrated — target uses Azure's service cert. Pattern uses DMS online migration.</w:t>
      </w:r>
    </w:p>
    <w:p>
      <w:pPr>
        <w:spacing w:after="80" w:before="80"/>
      </w:pPr>
      <w:r>
        <w:rPr>
          <w:sz w:val="22"/>
          <w:szCs w:val="22"/>
        </w:rPr>
        <w:t xml:space="preserve">BANKING RELEVANCE: Medium. Banking generally prefers MI for feature compatibility, but DB works for greenfield apps.</w:t>
      </w:r>
    </w:p>
    <w:p>
      <w:pPr>
        <w:spacing w:after="80" w:before="80"/>
      </w:pPr>
      <w:r>
        <w:rPr>
          <w:b/>
          <w:bCs/>
          <w:sz w:val="22"/>
          <w:szCs w:val="22"/>
        </w:rPr>
        <w:t xml:space="preserve">TIER: 3 — Cataloged for future implementation.</w:t>
      </w:r>
    </w:p>
    <w:p>
      <w:pPr>
        <w:pStyle w:val="Heading3"/>
        <w:spacing w:after="110" w:before="220"/>
      </w:pPr>
      <w:r>
        <w:rPr>
          <w:b/>
          <w:bCs/>
          <w:color w:val="2E75B6"/>
          <w:sz w:val="24"/>
          <w:szCs w:val="24"/>
        </w:rPr>
        <w:t xml:space="preserve">B4. TDE Database to Azure VM (IaaS Lift-and-Shift)</w:t>
      </w:r>
    </w:p>
    <w:p>
      <w:pPr>
        <w:spacing w:after="80" w:before="80"/>
      </w:pPr>
      <w:r>
        <w:rPr>
          <w:sz w:val="22"/>
          <w:szCs w:val="22"/>
        </w:rPr>
        <w:t xml:space="preserve">WHAT: Migrate to Azure VM running SQL Server (not PaaS).</w:t>
      </w:r>
    </w:p>
    <w:p>
      <w:pPr>
        <w:spacing w:after="80" w:before="80"/>
      </w:pPr>
      <w:r>
        <w:rPr>
          <w:sz w:val="22"/>
          <w:szCs w:val="22"/>
        </w:rPr>
        <w:t xml:space="preserve">PATTERN: Backup/restore with cert preservation — identical to on-prem-to-on-prem migration. Simplest option.</w:t>
      </w:r>
    </w:p>
    <w:p>
      <w:pPr>
        <w:spacing w:after="80" w:before="80"/>
      </w:pPr>
      <w:r>
        <w:rPr>
          <w:sz w:val="22"/>
          <w:szCs w:val="22"/>
        </w:rPr>
        <w:t xml:space="preserve">BANKING RELEVANCE: Medium. Used when full SQL Server feature set is required or when regulatory constraints mandate full control.</w:t>
      </w:r>
    </w:p>
    <w:p>
      <w:pPr>
        <w:spacing w:after="80" w:before="80"/>
      </w:pPr>
      <w:r>
        <w:rPr>
          <w:b/>
          <w:bCs/>
          <w:sz w:val="22"/>
          <w:szCs w:val="22"/>
        </w:rPr>
        <w:t xml:space="preserve">TIER: 3 — Cataloged. Low complexity, straightforward execution.</w:t>
      </w:r>
    </w:p>
    <w:p>
      <w:pPr>
        <w:pStyle w:val="Heading3"/>
        <w:spacing w:after="110" w:before="220"/>
      </w:pPr>
      <w:r>
        <w:rPr>
          <w:b/>
          <w:bCs/>
          <w:color w:val="2E75B6"/>
          <w:sz w:val="24"/>
          <w:szCs w:val="24"/>
        </w:rPr>
        <w:t xml:space="preserve">B5. TDE Migration Back from Azure to On-Prem (Cloud Repatriation)</w:t>
      </w:r>
    </w:p>
    <w:p>
      <w:pPr>
        <w:spacing w:after="80" w:before="80"/>
      </w:pPr>
      <w:r>
        <w:rPr>
          <w:sz w:val="22"/>
          <w:szCs w:val="22"/>
        </w:rPr>
        <w:t xml:space="preserve">WHAT: Exit strategy. Move TDE database from MI back to on-prem SQL Server.</w:t>
      </w:r>
    </w:p>
    <w:p>
      <w:pPr>
        <w:spacing w:after="80" w:before="80"/>
      </w:pPr>
      <w:r>
        <w:rPr>
          <w:sz w:val="22"/>
          <w:szCs w:val="22"/>
        </w:rPr>
        <w:t xml:space="preserve">CHALLENGE: MI's internal cert store is opaque. Source cert cannot be easily exported from MI. Must re-encrypt on target with new cert.</w:t>
      </w:r>
    </w:p>
    <w:p>
      <w:pPr>
        <w:spacing w:after="80" w:before="80"/>
      </w:pPr>
      <w:r>
        <w:rPr>
          <w:sz w:val="22"/>
          <w:szCs w:val="22"/>
        </w:rPr>
        <w:t xml:space="preserve">BANKING RELEVANCE: High. Every cloud procurement conversation includes exit strategy questions.</w:t>
      </w:r>
    </w:p>
    <w:p>
      <w:pPr>
        <w:spacing w:after="80" w:before="80"/>
      </w:pPr>
      <w:r>
        <w:rPr>
          <w:b/>
          <w:bCs/>
          <w:sz w:val="22"/>
          <w:szCs w:val="22"/>
        </w:rPr>
        <w:t xml:space="preserve">TIER: 3 — Important to document even if not implemented.</w:t>
      </w:r>
    </w:p>
    <w:p>
      <w:pPr>
        <w:pStyle w:val="Heading2"/>
        <w:spacing w:after="140" w:before="280"/>
      </w:pPr>
      <w:r>
        <w:rPr>
          <w:b/>
          <w:bCs/>
          <w:color w:val="2E75B6"/>
          <w:sz w:val="28"/>
          <w:szCs w:val="28"/>
        </w:rPr>
        <w:t xml:space="preserve">12.3 Category C — TDE Key Management Variations</w:t>
      </w:r>
    </w:p>
    <w:p>
      <w:pPr>
        <w:pStyle w:val="Heading3"/>
        <w:spacing w:after="110" w:before="220"/>
      </w:pPr>
      <w:r>
        <w:rPr>
          <w:b/>
          <w:bCs/>
          <w:color w:val="2E75B6"/>
          <w:sz w:val="24"/>
          <w:szCs w:val="24"/>
        </w:rPr>
        <w:t xml:space="preserve">C1. Service-Managed TDE (Default)</w:t>
      </w:r>
    </w:p>
    <w:p>
      <w:pPr>
        <w:spacing w:after="80" w:before="80"/>
      </w:pPr>
      <w:r>
        <w:rPr>
          <w:sz w:val="22"/>
          <w:szCs w:val="22"/>
        </w:rPr>
        <w:t xml:space="preserve">WHAT: SQL Server or Azure manages the encryption key. No Key Vault involvement.</w:t>
      </w:r>
    </w:p>
    <w:p>
      <w:pPr>
        <w:spacing w:after="80" w:before="80"/>
      </w:pPr>
      <w:r>
        <w:rPr>
          <w:sz w:val="22"/>
          <w:szCs w:val="22"/>
        </w:rPr>
        <w:t xml:space="preserve">PROS: Simplest to implement. No additional infrastructure.</w:t>
      </w:r>
    </w:p>
    <w:p>
      <w:pPr>
        <w:spacing w:after="80" w:before="80"/>
      </w:pPr>
      <w:r>
        <w:rPr>
          <w:sz w:val="22"/>
          <w:szCs w:val="22"/>
        </w:rPr>
        <w:t xml:space="preserve">CONS: Less control over key lifecycle. Less audit trail. Not acceptable for high-sensitivity banking workloads.</w:t>
      </w:r>
    </w:p>
    <w:p>
      <w:pPr>
        <w:spacing w:after="80" w:before="80"/>
      </w:pPr>
      <w:r>
        <w:rPr>
          <w:b/>
          <w:bCs/>
          <w:sz w:val="22"/>
          <w:szCs w:val="22"/>
        </w:rPr>
        <w:t xml:space="preserve">TIER: 1 — Implemented as default in this POC.</w:t>
      </w:r>
    </w:p>
    <w:p>
      <w:pPr>
        <w:pStyle w:val="Heading3"/>
        <w:spacing w:after="110" w:before="220"/>
      </w:pPr>
      <w:r>
        <w:rPr>
          <w:b/>
          <w:bCs/>
          <w:color w:val="2E75B6"/>
          <w:sz w:val="24"/>
          <w:szCs w:val="24"/>
        </w:rPr>
        <w:t xml:space="preserve">C2. Customer-Managed Key / BYOK via Azure Key Vault</w:t>
      </w:r>
    </w:p>
    <w:p>
      <w:pPr>
        <w:spacing w:after="80" w:before="80"/>
      </w:pPr>
      <w:r>
        <w:rPr>
          <w:sz w:val="22"/>
          <w:szCs w:val="22"/>
        </w:rPr>
        <w:t xml:space="preserve">WHAT: The encryption key lives in Azure Key Vault. SQL MI references it via CREATE CREDENTIAL and CREATE ASYMMETRIC KEY FROM PROVIDER.</w:t>
      </w:r>
    </w:p>
    <w:p>
      <w:pPr>
        <w:spacing w:after="80" w:before="80"/>
      </w:pPr>
      <w:r>
        <w:rPr>
          <w:sz w:val="22"/>
          <w:szCs w:val="22"/>
        </w:rPr>
        <w:t xml:space="preserve">WHEN: Banking/financial workloads requiring key custody separation from the database.</w:t>
      </w:r>
    </w:p>
    <w:p>
      <w:pPr>
        <w:spacing w:after="80" w:before="80"/>
      </w:pPr>
      <w:r>
        <w:rPr>
          <w:sz w:val="22"/>
          <w:szCs w:val="22"/>
        </w:rPr>
        <w:t xml:space="preserve">KEY TECHNICAL CONSIDERATIONS:</w:t>
      </w:r>
    </w:p>
    <w:p>
      <w:pPr>
        <w:pStyle w:val="ListParagraph"/>
        <w:numPr>
          <w:ilvl w:val="0"/>
          <w:numId w:val="2"/>
        </w:numPr>
        <w:spacing w:after="40" w:before="40"/>
      </w:pPr>
      <w:r>
        <w:rPr>
          <w:sz w:val="22"/>
          <w:szCs w:val="22"/>
        </w:rPr>
        <w:t xml:space="preserve">Azure Key Vault with soft-delete and purge protection enabled</w:t>
      </w:r>
    </w:p>
    <w:p>
      <w:pPr>
        <w:pStyle w:val="ListParagraph"/>
        <w:numPr>
          <w:ilvl w:val="0"/>
          <w:numId w:val="2"/>
        </w:numPr>
        <w:spacing w:after="40" w:before="40"/>
      </w:pPr>
      <w:r>
        <w:rPr>
          <w:sz w:val="22"/>
          <w:szCs w:val="22"/>
        </w:rPr>
        <w:t xml:space="preserve">MI's managed identity must have GET, WRAP, UNWRAP permissions on the key</w:t>
      </w:r>
    </w:p>
    <w:p>
      <w:pPr>
        <w:pStyle w:val="ListParagraph"/>
        <w:numPr>
          <w:ilvl w:val="0"/>
          <w:numId w:val="2"/>
        </w:numPr>
        <w:spacing w:after="40" w:before="40"/>
      </w:pPr>
      <w:r>
        <w:rPr>
          <w:sz w:val="22"/>
          <w:szCs w:val="22"/>
        </w:rPr>
        <w:t xml:space="preserve">Key rotation happens in Key Vault, automatically reflected by MI</w:t>
      </w:r>
    </w:p>
    <w:p>
      <w:pPr>
        <w:pStyle w:val="ListParagraph"/>
        <w:numPr>
          <w:ilvl w:val="0"/>
          <w:numId w:val="2"/>
        </w:numPr>
        <w:spacing w:after="40" w:before="40"/>
      </w:pPr>
      <w:r>
        <w:rPr>
          <w:sz w:val="22"/>
          <w:szCs w:val="22"/>
        </w:rPr>
        <w:t xml:space="preserve">Key revocation immediately renders database inaccessible (kill switch)</w:t>
      </w:r>
    </w:p>
    <w:p>
      <w:pPr>
        <w:spacing w:after="80" w:before="80"/>
      </w:pPr>
      <w:r>
        <w:rPr>
          <w:sz w:val="22"/>
          <w:szCs w:val="22"/>
        </w:rPr>
        <w:t xml:space="preserve">BANKING RELEVANCE: Very High. Compliance-grade banking workloads demand BYOK.</w:t>
      </w:r>
    </w:p>
    <w:p>
      <w:pPr>
        <w:spacing w:after="80" w:before="80"/>
      </w:pPr>
      <w:r>
        <w:rPr>
          <w:b/>
          <w:bCs/>
          <w:sz w:val="22"/>
          <w:szCs w:val="22"/>
        </w:rPr>
        <w:t xml:space="preserve">TIER: 2 — PRIORITIZED for near-term implementation.</w:t>
      </w:r>
    </w:p>
    <w:p>
      <w:pPr>
        <w:pStyle w:val="Heading3"/>
        <w:spacing w:after="110" w:before="220"/>
      </w:pPr>
      <w:r>
        <w:rPr>
          <w:b/>
          <w:bCs/>
          <w:color w:val="2E75B6"/>
          <w:sz w:val="24"/>
          <w:szCs w:val="24"/>
        </w:rPr>
        <w:t xml:space="preserve">C3. HSM-Backed Keys (Azure Managed HSM)</w:t>
      </w:r>
    </w:p>
    <w:p>
      <w:pPr>
        <w:spacing w:after="80" w:before="80"/>
      </w:pPr>
      <w:r>
        <w:rPr>
          <w:sz w:val="22"/>
          <w:szCs w:val="22"/>
        </w:rPr>
        <w:t xml:space="preserve">WHAT: Keys stored in FIPS 140-2 Level 3 validated Hardware Security Module.</w:t>
      </w:r>
    </w:p>
    <w:p>
      <w:pPr>
        <w:spacing w:after="80" w:before="80"/>
      </w:pPr>
      <w:r>
        <w:rPr>
          <w:sz w:val="22"/>
          <w:szCs w:val="22"/>
        </w:rPr>
        <w:t xml:space="preserve">WHEN: Highest-security regulated environments (central banks, payment processors).</w:t>
      </w:r>
    </w:p>
    <w:p>
      <w:pPr>
        <w:spacing w:after="80" w:before="80"/>
      </w:pPr>
      <w:r>
        <w:rPr>
          <w:sz w:val="22"/>
          <w:szCs w:val="22"/>
        </w:rPr>
        <w:t xml:space="preserve">BANKING RELEVANCE: Critical for payment processors, optional for commercial banks.</w:t>
      </w:r>
    </w:p>
    <w:p>
      <w:pPr>
        <w:spacing w:after="80" w:before="80"/>
      </w:pPr>
      <w:r>
        <w:rPr>
          <w:b/>
          <w:bCs/>
          <w:sz w:val="22"/>
          <w:szCs w:val="22"/>
        </w:rPr>
        <w:t xml:space="preserve">TIER: 3 — Cataloged. Expensive; only justified for specific regulatory requirements.</w:t>
      </w:r>
    </w:p>
    <w:p>
      <w:pPr>
        <w:pStyle w:val="Heading3"/>
        <w:spacing w:after="110" w:before="220"/>
      </w:pPr>
      <w:r>
        <w:rPr>
          <w:b/>
          <w:bCs/>
          <w:color w:val="2E75B6"/>
          <w:sz w:val="24"/>
          <w:szCs w:val="24"/>
        </w:rPr>
        <w:t xml:space="preserve">C4. Key Rotation with Zero Downtime</w:t>
      </w:r>
    </w:p>
    <w:p>
      <w:pPr>
        <w:spacing w:after="80" w:before="80"/>
      </w:pPr>
      <w:r>
        <w:rPr>
          <w:sz w:val="22"/>
          <w:szCs w:val="22"/>
        </w:rPr>
        <w:t xml:space="preserve">WHAT: Rotating the Key Vault key without interrupting database operations.</w:t>
      </w:r>
    </w:p>
    <w:p>
      <w:pPr>
        <w:spacing w:after="80" w:before="80"/>
      </w:pPr>
      <w:r>
        <w:rPr>
          <w:sz w:val="22"/>
          <w:szCs w:val="22"/>
        </w:rPr>
        <w:t xml:space="preserve">MECHANICS: Key Vault supports versioning. MI automatically picks up new versions on rotation.</w:t>
      </w:r>
    </w:p>
    <w:p>
      <w:pPr>
        <w:spacing w:after="80" w:before="80"/>
      </w:pPr>
      <w:r>
        <w:rPr>
          <w:b/>
          <w:bCs/>
          <w:sz w:val="22"/>
          <w:szCs w:val="22"/>
        </w:rPr>
        <w:t xml:space="preserve">TIER: 3 — Part of BYOK operational lifecycle, implemented alongside C2.</w:t>
      </w:r>
    </w:p>
    <w:p>
      <w:pPr>
        <w:pStyle w:val="Heading2"/>
        <w:spacing w:after="140" w:before="280"/>
      </w:pPr>
      <w:r>
        <w:rPr>
          <w:b/>
          <w:bCs/>
          <w:color w:val="2E75B6"/>
          <w:sz w:val="28"/>
          <w:szCs w:val="28"/>
        </w:rPr>
        <w:t xml:space="preserve">12.4 Category D — TDE with HA/DR Patterns</w:t>
      </w:r>
    </w:p>
    <w:p>
      <w:pPr>
        <w:pStyle w:val="Heading3"/>
        <w:spacing w:after="110" w:before="220"/>
      </w:pPr>
      <w:r>
        <w:rPr>
          <w:b/>
          <w:bCs/>
          <w:color w:val="2E75B6"/>
          <w:sz w:val="24"/>
          <w:szCs w:val="24"/>
        </w:rPr>
        <w:t xml:space="preserve">D1. TDE + AlwaysOn Availability Groups</w:t>
      </w:r>
    </w:p>
    <w:p>
      <w:pPr>
        <w:spacing w:after="80" w:before="80"/>
      </w:pPr>
      <w:r>
        <w:rPr>
          <w:sz w:val="22"/>
          <w:szCs w:val="22"/>
        </w:rPr>
        <w:t xml:space="preserve">WHAT: TDE-protected databases as AG members.</w:t>
      </w:r>
    </w:p>
    <w:p>
      <w:pPr>
        <w:spacing w:after="80" w:before="80"/>
      </w:pPr>
      <w:r>
        <w:rPr>
          <w:sz w:val="22"/>
          <w:szCs w:val="22"/>
        </w:rPr>
        <w:t xml:space="preserve">KEY POINT: Certificate must be on all replicas with matching thumbprint.</w:t>
      </w:r>
    </w:p>
    <w:p>
      <w:pPr>
        <w:spacing w:after="80" w:before="80"/>
      </w:pPr>
      <w:r>
        <w:rPr>
          <w:sz w:val="22"/>
          <w:szCs w:val="22"/>
        </w:rPr>
        <w:t xml:space="preserve">BANKING RELEVANCE: Very High. Standard production HA pattern.</w:t>
      </w:r>
    </w:p>
    <w:p>
      <w:pPr>
        <w:spacing w:after="80" w:before="80"/>
      </w:pPr>
      <w:r>
        <w:rPr>
          <w:b/>
          <w:bCs/>
          <w:sz w:val="22"/>
          <w:szCs w:val="22"/>
        </w:rPr>
        <w:t xml:space="preserve">TIER: 3 — Cataloged. Foundation for scenarios A2, A3, B2.</w:t>
      </w:r>
    </w:p>
    <w:p>
      <w:pPr>
        <w:pStyle w:val="Heading3"/>
        <w:spacing w:after="110" w:before="220"/>
      </w:pPr>
      <w:r>
        <w:rPr>
          <w:b/>
          <w:bCs/>
          <w:color w:val="2E75B6"/>
          <w:sz w:val="24"/>
          <w:szCs w:val="24"/>
        </w:rPr>
        <w:t xml:space="preserve">D2. TDE + Azure SQL MI Failover Groups</w:t>
      </w:r>
    </w:p>
    <w:p>
      <w:pPr>
        <w:spacing w:after="80" w:before="80"/>
      </w:pPr>
      <w:r>
        <w:rPr>
          <w:sz w:val="22"/>
          <w:szCs w:val="22"/>
        </w:rPr>
        <w:t xml:space="preserve">WHAT: Two MIs in paired regions with async replication. Automatic DNS failover.</w:t>
      </w:r>
    </w:p>
    <w:p>
      <w:pPr>
        <w:spacing w:after="80" w:before="80"/>
      </w:pPr>
      <w:r>
        <w:rPr>
          <w:sz w:val="22"/>
          <w:szCs w:val="22"/>
        </w:rPr>
        <w:t xml:space="preserve">KEY POINT: TDE certs are handled automatically in failover groups — both MIs must have the same cert thumbprint available.</w:t>
      </w:r>
    </w:p>
    <w:p>
      <w:pPr>
        <w:spacing w:after="80" w:before="80"/>
      </w:pPr>
      <w:r>
        <w:rPr>
          <w:sz w:val="22"/>
          <w:szCs w:val="22"/>
        </w:rPr>
        <w:t xml:space="preserve">BANKING RELEVANCE: High. Standard Azure DR pattern for MI.</w:t>
      </w:r>
    </w:p>
    <w:p>
      <w:pPr>
        <w:spacing w:after="80" w:before="80"/>
      </w:pPr>
      <w:r>
        <w:rPr>
          <w:b/>
          <w:bCs/>
          <w:sz w:val="22"/>
          <w:szCs w:val="22"/>
        </w:rPr>
        <w:t xml:space="preserve">TIER: 3 — Cataloged.</w:t>
      </w:r>
    </w:p>
    <w:p>
      <w:pPr>
        <w:pStyle w:val="Heading3"/>
        <w:spacing w:after="110" w:before="220"/>
      </w:pPr>
      <w:r>
        <w:rPr>
          <w:b/>
          <w:bCs/>
          <w:color w:val="2E75B6"/>
          <w:sz w:val="24"/>
          <w:szCs w:val="24"/>
        </w:rPr>
        <w:t xml:space="preserve">D3. TDE + Log Shipping</w:t>
      </w:r>
    </w:p>
    <w:p>
      <w:pPr>
        <w:spacing w:after="80" w:before="80"/>
      </w:pPr>
      <w:r>
        <w:rPr>
          <w:sz w:val="22"/>
          <w:szCs w:val="22"/>
        </w:rPr>
        <w:t xml:space="preserve">WHAT: Log shipping secondary needs the source cert to restore transaction logs.</w:t>
      </w:r>
    </w:p>
    <w:p>
      <w:pPr>
        <w:spacing w:after="80" w:before="80"/>
      </w:pPr>
      <w:r>
        <w:rPr>
          <w:sz w:val="22"/>
          <w:szCs w:val="22"/>
        </w:rPr>
        <w:t xml:space="preserve">BANKING RELEVANCE: Medium. Legacy DR pattern still used in some banks.</w:t>
      </w:r>
    </w:p>
    <w:p>
      <w:pPr>
        <w:spacing w:after="80" w:before="80"/>
      </w:pPr>
      <w:r>
        <w:rPr>
          <w:b/>
          <w:bCs/>
          <w:sz w:val="22"/>
          <w:szCs w:val="22"/>
        </w:rPr>
        <w:t xml:space="preserve">TIER: 3 — Cataloged.</w:t>
      </w:r>
    </w:p>
    <w:p>
      <w:pPr>
        <w:pStyle w:val="Heading3"/>
        <w:spacing w:after="110" w:before="220"/>
      </w:pPr>
      <w:r>
        <w:rPr>
          <w:b/>
          <w:bCs/>
          <w:color w:val="2E75B6"/>
          <w:sz w:val="24"/>
          <w:szCs w:val="24"/>
        </w:rPr>
        <w:t xml:space="preserve">D4. TDE + Distributed Availability Group (DAG)</w:t>
      </w:r>
    </w:p>
    <w:p>
      <w:pPr>
        <w:spacing w:after="80" w:before="80"/>
      </w:pPr>
      <w:r>
        <w:rPr>
          <w:sz w:val="22"/>
          <w:szCs w:val="22"/>
        </w:rPr>
        <w:t xml:space="preserve">WHAT: DAG spans two AGs, often across on-prem and cloud. Foundation of MI Link.</w:t>
      </w:r>
    </w:p>
    <w:p>
      <w:pPr>
        <w:spacing w:after="80" w:before="80"/>
      </w:pPr>
      <w:r>
        <w:rPr>
          <w:sz w:val="22"/>
          <w:szCs w:val="22"/>
        </w:rPr>
        <w:t xml:space="preserve">KEY POINT: Certificate-based endpoint authentication required between forwarder and replica.</w:t>
      </w:r>
    </w:p>
    <w:p>
      <w:pPr>
        <w:spacing w:after="80" w:before="80"/>
      </w:pPr>
      <w:r>
        <w:rPr>
          <w:sz w:val="22"/>
          <w:szCs w:val="22"/>
        </w:rPr>
        <w:t xml:space="preserve">BANKING RELEVANCE: Very High. Modern cross-region HA/DR for large banks.</w:t>
      </w:r>
    </w:p>
    <w:p>
      <w:pPr>
        <w:spacing w:after="80" w:before="80"/>
      </w:pPr>
      <w:r>
        <w:rPr>
          <w:b/>
          <w:bCs/>
          <w:sz w:val="22"/>
          <w:szCs w:val="22"/>
        </w:rPr>
        <w:t xml:space="preserve">TIER: 3 — Cataloged. Prerequisite for B2 Tier 1 (MI Link).</w:t>
      </w:r>
    </w:p>
    <w:p>
      <w:pPr>
        <w:pStyle w:val="Heading3"/>
        <w:spacing w:after="110" w:before="220"/>
      </w:pPr>
      <w:r>
        <w:rPr>
          <w:b/>
          <w:bCs/>
          <w:color w:val="2E75B6"/>
          <w:sz w:val="24"/>
          <w:szCs w:val="24"/>
        </w:rPr>
        <w:t xml:space="preserve">D5. TDE + Database Mirroring (Legacy)</w:t>
      </w:r>
    </w:p>
    <w:p>
      <w:pPr>
        <w:spacing w:after="80" w:before="80"/>
      </w:pPr>
      <w:r>
        <w:rPr>
          <w:sz w:val="22"/>
          <w:szCs w:val="22"/>
        </w:rPr>
        <w:t xml:space="preserve">WHAT: Legacy HA tech. Mirror partner needs source cert.</w:t>
      </w:r>
    </w:p>
    <w:p>
      <w:pPr>
        <w:spacing w:after="80" w:before="80"/>
      </w:pPr>
      <w:r>
        <w:rPr>
          <w:sz w:val="22"/>
          <w:szCs w:val="22"/>
        </w:rPr>
        <w:t xml:space="preserve">BANKING RELEVANCE: Low for new work, still present in some bank environments.</w:t>
      </w:r>
    </w:p>
    <w:p>
      <w:pPr>
        <w:spacing w:after="80" w:before="80"/>
      </w:pPr>
      <w:r>
        <w:rPr>
          <w:b/>
          <w:bCs/>
          <w:sz w:val="22"/>
          <w:szCs w:val="22"/>
        </w:rPr>
        <w:t xml:space="preserve">TIER: 3 — Documented for completeness.</w:t>
      </w:r>
    </w:p>
    <w:p>
      <w:pPr>
        <w:pStyle w:val="Heading3"/>
        <w:spacing w:after="110" w:before="220"/>
      </w:pPr>
      <w:r>
        <w:rPr>
          <w:b/>
          <w:bCs/>
          <w:color w:val="2E75B6"/>
          <w:sz w:val="24"/>
          <w:szCs w:val="24"/>
        </w:rPr>
        <w:t xml:space="preserve">D6. TDE + Transactional Replication</w:t>
      </w:r>
    </w:p>
    <w:p>
      <w:pPr>
        <w:spacing w:after="80" w:before="80"/>
      </w:pPr>
      <w:r>
        <w:rPr>
          <w:sz w:val="22"/>
          <w:szCs w:val="22"/>
        </w:rPr>
        <w:t xml:space="preserve">WHAT: Publisher/Distributor/Subscriber cert considerations.</w:t>
      </w:r>
    </w:p>
    <w:p>
      <w:pPr>
        <w:spacing w:after="80" w:before="80"/>
      </w:pPr>
      <w:r>
        <w:rPr>
          <w:sz w:val="22"/>
          <w:szCs w:val="22"/>
        </w:rPr>
        <w:t xml:space="preserve">CRITICAL SECURITY GAP: TDE does NOT encrypt replication streams. Publishers and subscribers see plaintext in transit. Requires SSL on replication to remediate.</w:t>
      </w:r>
    </w:p>
    <w:p>
      <w:pPr>
        <w:spacing w:after="80" w:before="80"/>
      </w:pPr>
      <w:r>
        <w:rPr>
          <w:sz w:val="22"/>
          <w:szCs w:val="22"/>
        </w:rPr>
        <w:t xml:space="preserve">BANKING RELEVANCE: High. Interview question — tests security depth understanding.</w:t>
      </w:r>
    </w:p>
    <w:p>
      <w:pPr>
        <w:spacing w:after="80" w:before="80"/>
      </w:pPr>
      <w:r>
        <w:rPr>
          <w:b/>
          <w:bCs/>
          <w:sz w:val="22"/>
          <w:szCs w:val="22"/>
        </w:rPr>
        <w:t xml:space="preserve">TIER: 3 — Documented as security awareness.</w:t>
      </w:r>
    </w:p>
    <w:p>
      <w:pPr>
        <w:pStyle w:val="Heading2"/>
        <w:spacing w:after="140" w:before="280"/>
      </w:pPr>
      <w:r>
        <w:rPr>
          <w:b/>
          <w:bCs/>
          <w:color w:val="2E75B6"/>
          <w:sz w:val="28"/>
          <w:szCs w:val="28"/>
        </w:rPr>
        <w:t xml:space="preserve">12.5 Category E — TDE Combined with Other Security Features</w:t>
      </w:r>
    </w:p>
    <w:p>
      <w:pPr>
        <w:pStyle w:val="Heading3"/>
        <w:spacing w:after="110" w:before="220"/>
      </w:pPr>
      <w:r>
        <w:rPr>
          <w:b/>
          <w:bCs/>
          <w:color w:val="2E75B6"/>
          <w:sz w:val="24"/>
          <w:szCs w:val="24"/>
        </w:rPr>
        <w:t xml:space="preserve">E1. TDE + Always Encrypted (Layered Defense)</w:t>
      </w:r>
    </w:p>
    <w:p>
      <w:pPr>
        <w:spacing w:after="80" w:before="80"/>
      </w:pPr>
      <w:r>
        <w:rPr>
          <w:sz w:val="22"/>
          <w:szCs w:val="22"/>
        </w:rPr>
        <w:t xml:space="preserve">WHAT: TDE protects data at rest. Always Encrypted protects data in use — even DBAs cannot see sensitive columns.</w:t>
      </w:r>
    </w:p>
    <w:p>
      <w:pPr>
        <w:spacing w:after="80" w:before="80"/>
      </w:pPr>
      <w:r>
        <w:rPr>
          <w:sz w:val="22"/>
          <w:szCs w:val="22"/>
        </w:rPr>
        <w:t xml:space="preserve">WHEN: Protecting SSNs, credit card numbers, PII from privileged users.</w:t>
      </w:r>
    </w:p>
    <w:p>
      <w:pPr>
        <w:spacing w:after="80" w:before="80"/>
      </w:pPr>
      <w:r>
        <w:rPr>
          <w:sz w:val="22"/>
          <w:szCs w:val="22"/>
        </w:rPr>
        <w:t xml:space="preserve">BANKING RELEVANCE: Very High. Maximum-security banking applications use both.</w:t>
      </w:r>
    </w:p>
    <w:p>
      <w:pPr>
        <w:spacing w:after="80" w:before="80"/>
      </w:pPr>
      <w:r>
        <w:rPr>
          <w:b/>
          <w:bCs/>
          <w:sz w:val="22"/>
          <w:szCs w:val="22"/>
        </w:rPr>
        <w:t xml:space="preserve">TIER: 3 — Cataloged. Strong portfolio candidate.</w:t>
      </w:r>
    </w:p>
    <w:p>
      <w:pPr>
        <w:pStyle w:val="Heading3"/>
        <w:spacing w:after="110" w:before="220"/>
      </w:pPr>
      <w:r>
        <w:rPr>
          <w:b/>
          <w:bCs/>
          <w:color w:val="2E75B6"/>
          <w:sz w:val="24"/>
          <w:szCs w:val="24"/>
        </w:rPr>
        <w:t xml:space="preserve">E2. TDE + Dynamic Data Masking</w:t>
      </w:r>
    </w:p>
    <w:p>
      <w:pPr>
        <w:spacing w:after="80" w:before="80"/>
      </w:pPr>
      <w:r>
        <w:rPr>
          <w:sz w:val="22"/>
          <w:szCs w:val="22"/>
        </w:rPr>
        <w:t xml:space="preserve">WHAT: TDE protects at rest. DDM masks sensitive data from unprivileged query results at runtime.</w:t>
      </w:r>
    </w:p>
    <w:p>
      <w:pPr>
        <w:spacing w:after="80" w:before="80"/>
      </w:pPr>
      <w:r>
        <w:rPr>
          <w:sz w:val="22"/>
          <w:szCs w:val="22"/>
        </w:rPr>
        <w:t xml:space="preserve">BANKING RELEVANCE: High. Common pattern for customer service databases.</w:t>
      </w:r>
    </w:p>
    <w:p>
      <w:pPr>
        <w:spacing w:after="80" w:before="80"/>
      </w:pPr>
      <w:r>
        <w:rPr>
          <w:b/>
          <w:bCs/>
          <w:sz w:val="22"/>
          <w:szCs w:val="22"/>
        </w:rPr>
        <w:t xml:space="preserve">TIER: 3 — Cataloged.</w:t>
      </w:r>
    </w:p>
    <w:p>
      <w:pPr>
        <w:pStyle w:val="Heading3"/>
        <w:spacing w:after="110" w:before="220"/>
      </w:pPr>
      <w:r>
        <w:rPr>
          <w:b/>
          <w:bCs/>
          <w:color w:val="2E75B6"/>
          <w:sz w:val="24"/>
          <w:szCs w:val="24"/>
        </w:rPr>
        <w:t xml:space="preserve">E3. TDE + Row-Level Security</w:t>
      </w:r>
    </w:p>
    <w:p>
      <w:pPr>
        <w:spacing w:after="80" w:before="80"/>
      </w:pPr>
      <w:r>
        <w:rPr>
          <w:sz w:val="22"/>
          <w:szCs w:val="22"/>
        </w:rPr>
        <w:t xml:space="preserve">WHAT: TDE at rest. RLS filters which rows each user can see.</w:t>
      </w:r>
    </w:p>
    <w:p>
      <w:pPr>
        <w:spacing w:after="80" w:before="80"/>
      </w:pPr>
      <w:r>
        <w:rPr>
          <w:sz w:val="22"/>
          <w:szCs w:val="22"/>
        </w:rPr>
        <w:t xml:space="preserve">BANKING RELEVANCE: High. Branch-level data isolation pattern.</w:t>
      </w:r>
    </w:p>
    <w:p>
      <w:pPr>
        <w:spacing w:after="80" w:before="80"/>
      </w:pPr>
      <w:r>
        <w:rPr>
          <w:b/>
          <w:bCs/>
          <w:sz w:val="22"/>
          <w:szCs w:val="22"/>
        </w:rPr>
        <w:t xml:space="preserve">TIER: 3 — Cataloged.</w:t>
      </w:r>
    </w:p>
    <w:p>
      <w:pPr>
        <w:pStyle w:val="Heading3"/>
        <w:spacing w:after="110" w:before="220"/>
      </w:pPr>
      <w:r>
        <w:rPr>
          <w:b/>
          <w:bCs/>
          <w:color w:val="2E75B6"/>
          <w:sz w:val="24"/>
          <w:szCs w:val="24"/>
        </w:rPr>
        <w:t xml:space="preserve">E4. TDE + FIPS 140-2 Compliance Mode</w:t>
      </w:r>
    </w:p>
    <w:p>
      <w:pPr>
        <w:spacing w:after="80" w:before="80"/>
      </w:pPr>
      <w:r>
        <w:rPr>
          <w:sz w:val="22"/>
          <w:szCs w:val="22"/>
        </w:rPr>
        <w:t xml:space="preserve">WHAT: SQL Server running in FIPS mode. Only FIPS-approved algorithms allowed.</w:t>
      </w:r>
    </w:p>
    <w:p>
      <w:pPr>
        <w:spacing w:after="80" w:before="80"/>
      </w:pPr>
      <w:r>
        <w:rPr>
          <w:sz w:val="22"/>
          <w:szCs w:val="22"/>
        </w:rPr>
        <w:t xml:space="preserve">BANKING RELEVANCE: Required for US federal/government-adjacent banking.</w:t>
      </w:r>
    </w:p>
    <w:p>
      <w:pPr>
        <w:spacing w:after="80" w:before="80"/>
      </w:pPr>
      <w:r>
        <w:rPr>
          <w:b/>
          <w:bCs/>
          <w:sz w:val="22"/>
          <w:szCs w:val="22"/>
        </w:rPr>
        <w:t xml:space="preserve">TIER: 3 — Documented as compliance consideration.</w:t>
      </w:r>
    </w:p>
    <w:p>
      <w:pPr>
        <w:pStyle w:val="Heading2"/>
        <w:spacing w:after="140" w:before="280"/>
      </w:pPr>
      <w:r>
        <w:rPr>
          <w:b/>
          <w:bCs/>
          <w:color w:val="2E75B6"/>
          <w:sz w:val="28"/>
          <w:szCs w:val="28"/>
        </w:rPr>
        <w:t xml:space="preserve">12.6 Category F — TDE Operational Scenarios</w:t>
      </w:r>
    </w:p>
    <w:p>
      <w:pPr>
        <w:pStyle w:val="Heading3"/>
        <w:spacing w:after="110" w:before="220"/>
      </w:pPr>
      <w:r>
        <w:rPr>
          <w:b/>
          <w:bCs/>
          <w:color w:val="2E75B6"/>
          <w:sz w:val="24"/>
          <w:szCs w:val="24"/>
        </w:rPr>
        <w:t xml:space="preserve">F1. TDE Impact on Backup Compression</w:t>
      </w:r>
    </w:p>
    <w:p>
      <w:pPr>
        <w:spacing w:after="80" w:before="80"/>
      </w:pPr>
      <w:r>
        <w:rPr>
          <w:sz w:val="22"/>
          <w:szCs w:val="22"/>
        </w:rPr>
        <w:t xml:space="preserve">WHAT: Encrypted data does not compress well. Compression + TDE yields 5-10% savings vs 50%+ on unencrypted data.</w:t>
      </w:r>
    </w:p>
    <w:p>
      <w:pPr>
        <w:spacing w:after="80" w:before="80"/>
      </w:pPr>
      <w:r>
        <w:rPr>
          <w:sz w:val="22"/>
          <w:szCs w:val="22"/>
        </w:rPr>
        <w:t xml:space="preserve">BANKING RELEVANCE: Medium. Affects storage cost planning.</w:t>
      </w:r>
    </w:p>
    <w:p>
      <w:pPr>
        <w:spacing w:after="80" w:before="80"/>
      </w:pPr>
      <w:r>
        <w:rPr>
          <w:b/>
          <w:bCs/>
          <w:sz w:val="22"/>
          <w:szCs w:val="22"/>
        </w:rPr>
        <w:t xml:space="preserve">TIER: 3 — Documented as architectural consideration.</w:t>
      </w:r>
    </w:p>
    <w:p>
      <w:pPr>
        <w:pStyle w:val="Heading3"/>
        <w:spacing w:after="110" w:before="220"/>
      </w:pPr>
      <w:r>
        <w:rPr>
          <w:b/>
          <w:bCs/>
          <w:color w:val="2E75B6"/>
          <w:sz w:val="24"/>
          <w:szCs w:val="24"/>
        </w:rPr>
        <w:t xml:space="preserve">F2. TDE Performance Overhead Assessment</w:t>
      </w:r>
    </w:p>
    <w:p>
      <w:pPr>
        <w:spacing w:after="80" w:before="80"/>
      </w:pPr>
      <w:r>
        <w:rPr>
          <w:sz w:val="22"/>
          <w:szCs w:val="22"/>
        </w:rPr>
        <w:t xml:space="preserve">WHAT: Benchmark CPU/IOPS overhead of TDE on representative workloads.</w:t>
      </w:r>
    </w:p>
    <w:p>
      <w:pPr>
        <w:spacing w:after="80" w:before="80"/>
      </w:pPr>
      <w:r>
        <w:rPr>
          <w:sz w:val="22"/>
          <w:szCs w:val="22"/>
        </w:rPr>
        <w:t xml:space="preserve">TYPICAL RESULT: 3-7% CPU increase. Negligible IOPS impact.</w:t>
      </w:r>
    </w:p>
    <w:p>
      <w:pPr>
        <w:spacing w:after="80" w:before="80"/>
      </w:pPr>
      <w:r>
        <w:rPr>
          <w:sz w:val="22"/>
          <w:szCs w:val="22"/>
        </w:rPr>
        <w:t xml:space="preserve">BANKING RELEVANCE: Medium. Capacity planning input.</w:t>
      </w:r>
    </w:p>
    <w:p>
      <w:pPr>
        <w:spacing w:after="80" w:before="80"/>
      </w:pPr>
      <w:r>
        <w:rPr>
          <w:b/>
          <w:bCs/>
          <w:sz w:val="22"/>
          <w:szCs w:val="22"/>
        </w:rPr>
        <w:t xml:space="preserve">TIER: 3 — Documented as benchmarking task.</w:t>
      </w:r>
    </w:p>
    <w:p>
      <w:pPr>
        <w:pStyle w:val="Heading3"/>
        <w:spacing w:after="110" w:before="220"/>
      </w:pPr>
      <w:r>
        <w:rPr>
          <w:b/>
          <w:bCs/>
          <w:color w:val="2E75B6"/>
          <w:sz w:val="24"/>
          <w:szCs w:val="24"/>
        </w:rPr>
        <w:t xml:space="preserve">F3. TDE + Large Database Migration (TB-scale)</w:t>
      </w:r>
    </w:p>
    <w:p>
      <w:pPr>
        <w:spacing w:after="80" w:before="80"/>
      </w:pPr>
      <w:r>
        <w:rPr>
          <w:sz w:val="22"/>
          <w:szCs w:val="22"/>
        </w:rPr>
        <w:t xml:space="preserve">WHAT: Migration patterns for TDE databases over 1 TB.</w:t>
      </w:r>
    </w:p>
    <w:p>
      <w:pPr>
        <w:spacing w:after="80" w:before="80"/>
      </w:pPr>
      <w:r>
        <w:rPr>
          <w:sz w:val="22"/>
          <w:szCs w:val="22"/>
        </w:rPr>
        <w:t xml:space="preserve">CONSIDERATIONS: Backup compression, bandwidth, DMS online mode, MI Link for zero-downtime.</w:t>
      </w:r>
    </w:p>
    <w:p>
      <w:pPr>
        <w:spacing w:after="80" w:before="80"/>
      </w:pPr>
      <w:r>
        <w:rPr>
          <w:sz w:val="22"/>
          <w:szCs w:val="22"/>
        </w:rPr>
        <w:t xml:space="preserve">BANKING RELEVANCE: High for large institutions.</w:t>
      </w:r>
    </w:p>
    <w:p>
      <w:pPr>
        <w:spacing w:after="80" w:before="80"/>
      </w:pPr>
      <w:r>
        <w:rPr>
          <w:b/>
          <w:bCs/>
          <w:sz w:val="22"/>
          <w:szCs w:val="22"/>
        </w:rPr>
        <w:t xml:space="preserve">TIER: 3 — Cataloged.</w:t>
      </w:r>
    </w:p>
    <w:p>
      <w:pPr>
        <w:pStyle w:val="Heading3"/>
        <w:spacing w:after="110" w:before="220"/>
      </w:pPr>
      <w:r>
        <w:rPr>
          <w:b/>
          <w:bCs/>
          <w:color w:val="2E75B6"/>
          <w:sz w:val="24"/>
          <w:szCs w:val="24"/>
        </w:rPr>
        <w:t xml:space="preserve">F4. TDE Troubleshooting Playbook</w:t>
      </w:r>
    </w:p>
    <w:p>
      <w:pPr>
        <w:spacing w:after="80" w:before="80"/>
      </w:pPr>
      <w:r>
        <w:rPr>
          <w:sz w:val="22"/>
          <w:szCs w:val="22"/>
        </w:rPr>
        <w:t xml:space="preserve">WHAT: Common TDE errors and remediation: 33111 (cert not found), 15581 (DMK open failed), 15276 (no DMK), etc.</w:t>
      </w:r>
    </w:p>
    <w:p>
      <w:pPr>
        <w:spacing w:after="80" w:before="80"/>
      </w:pPr>
      <w:r>
        <w:rPr>
          <w:sz w:val="22"/>
          <w:szCs w:val="22"/>
        </w:rPr>
        <w:t xml:space="preserve">BANKING RELEVANCE: High. Operations runbook material.</w:t>
      </w:r>
    </w:p>
    <w:p>
      <w:pPr>
        <w:spacing w:after="80" w:before="80"/>
      </w:pPr>
      <w:r>
        <w:rPr>
          <w:b/>
          <w:bCs/>
          <w:sz w:val="22"/>
          <w:szCs w:val="22"/>
        </w:rPr>
        <w:t xml:space="preserve">TIER: 3 — Documented as reference material.</w:t>
      </w:r>
    </w:p>
    <w:p>
      <w:pPr>
        <w:pStyle w:val="Heading1"/>
        <w:spacing w:after="180" w:before="360"/>
      </w:pPr>
      <w:r>
        <w:rPr>
          <w:b/>
          <w:bCs/>
          <w:color w:val="1F3864"/>
          <w:sz w:val="32"/>
          <w:szCs w:val="32"/>
        </w:rPr>
        <w:t xml:space="preserve">13. Banking Sector TDE Requirements</w:t>
      </w:r>
    </w:p>
    <w:p>
      <w:pPr>
        <w:pStyle w:val="Heading2"/>
        <w:spacing w:after="140" w:before="280"/>
      </w:pPr>
      <w:r>
        <w:rPr>
          <w:b/>
          <w:bCs/>
          <w:color w:val="2E75B6"/>
          <w:sz w:val="28"/>
          <w:szCs w:val="28"/>
        </w:rPr>
        <w:t xml:space="preserve">13.1 Regulatory Drivers</w:t>
      </w:r>
    </w:p>
    <w:p>
      <w:pPr>
        <w:spacing w:after="80" w:before="80"/>
      </w:pPr>
      <w:r>
        <w:rPr>
          <w:sz w:val="22"/>
          <w:szCs w:val="22"/>
        </w:rPr>
        <w:t xml:space="preserve">TDE adoption in banking is typically mandated by one or more of the following regulations, each with specific encryption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Regulation</w:t>
            </w:r>
          </w:p>
        </w:tc>
        <w:tc>
          <w:tcPr>
            <w:tcW w:type="dxa" w:w="70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TDE Relevance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PCI-DSS v4.0</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Requires encryption of cardholder data at rest. TDE satisfies Requirement 3.5 (Protect stored cardholder data).</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SOX</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Financial reporting data integrity controls. TDE supports internal control evidence for data-at-rest.</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GLBA</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Safeguards Rule requires encryption of nonpublic personal information. TDE is standard remediation.</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NY DFS 23 NYCRR 500</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New York State financial services cybersecurity regulation. Requires encryption of nonpublic information, both at rest and in transit.</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FFIEC Guidance</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Federal Financial Institutions Examination Council. Recommends encryption for sensitive customer information.</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GDPR (EU customers)</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Article 32 requires 'appropriate technical measures' — encryption is the default expectation.</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FIPS 140-2/140-3</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US federal cryptographic module standard. Required for federal/government-adjacent banking.</w:t>
            </w:r>
          </w:p>
        </w:tc>
      </w:tr>
    </w:tbl>
    <w:p>
      <w:pPr>
        <w:pStyle w:val="Heading2"/>
        <w:spacing w:after="140" w:before="280"/>
      </w:pPr>
      <w:r>
        <w:rPr>
          <w:b/>
          <w:bCs/>
          <w:color w:val="2E75B6"/>
          <w:sz w:val="28"/>
          <w:szCs w:val="28"/>
        </w:rPr>
        <w:t xml:space="preserve">13.2 Banking-Specific Design Requirements</w:t>
      </w:r>
    </w:p>
    <w:p>
      <w:pPr>
        <w:pStyle w:val="ListParagraph"/>
        <w:numPr>
          <w:ilvl w:val="0"/>
          <w:numId w:val="2"/>
        </w:numPr>
        <w:spacing w:after="40" w:before="40"/>
      </w:pPr>
      <w:r>
        <w:rPr>
          <w:sz w:val="22"/>
          <w:szCs w:val="22"/>
        </w:rPr>
        <w:t xml:space="preserve">Key custody separation from the database (BYOK via Key Vault or Managed HSM)</w:t>
      </w:r>
    </w:p>
    <w:p>
      <w:pPr>
        <w:pStyle w:val="ListParagraph"/>
        <w:numPr>
          <w:ilvl w:val="0"/>
          <w:numId w:val="2"/>
        </w:numPr>
        <w:spacing w:after="40" w:before="40"/>
      </w:pPr>
      <w:r>
        <w:rPr>
          <w:sz w:val="22"/>
          <w:szCs w:val="22"/>
        </w:rPr>
        <w:t xml:space="preserve">Key rotation on defined schedule (typically annual)</w:t>
      </w:r>
    </w:p>
    <w:p>
      <w:pPr>
        <w:pStyle w:val="ListParagraph"/>
        <w:numPr>
          <w:ilvl w:val="0"/>
          <w:numId w:val="2"/>
        </w:numPr>
        <w:spacing w:after="40" w:before="40"/>
      </w:pPr>
      <w:r>
        <w:rPr>
          <w:sz w:val="22"/>
          <w:szCs w:val="22"/>
        </w:rPr>
        <w:t xml:space="preserve">Audit trail of key access (Azure Key Vault logs to Log Analytics)</w:t>
      </w:r>
    </w:p>
    <w:p>
      <w:pPr>
        <w:pStyle w:val="ListParagraph"/>
        <w:numPr>
          <w:ilvl w:val="0"/>
          <w:numId w:val="2"/>
        </w:numPr>
        <w:spacing w:after="40" w:before="40"/>
      </w:pPr>
      <w:r>
        <w:rPr>
          <w:sz w:val="22"/>
          <w:szCs w:val="22"/>
        </w:rPr>
        <w:t xml:space="preserve">Disaster recovery plan that preserves encryption chain</w:t>
      </w:r>
    </w:p>
    <w:p>
      <w:pPr>
        <w:pStyle w:val="ListParagraph"/>
        <w:numPr>
          <w:ilvl w:val="0"/>
          <w:numId w:val="2"/>
        </w:numPr>
        <w:spacing w:after="40" w:before="40"/>
      </w:pPr>
      <w:r>
        <w:rPr>
          <w:sz w:val="22"/>
          <w:szCs w:val="22"/>
        </w:rPr>
        <w:t xml:space="preserve">Key revocation capability (kill switch) for breach response</w:t>
      </w:r>
    </w:p>
    <w:p>
      <w:pPr>
        <w:pStyle w:val="ListParagraph"/>
        <w:numPr>
          <w:ilvl w:val="0"/>
          <w:numId w:val="2"/>
        </w:numPr>
        <w:spacing w:after="40" w:before="40"/>
      </w:pPr>
      <w:r>
        <w:rPr>
          <w:sz w:val="22"/>
          <w:szCs w:val="22"/>
        </w:rPr>
        <w:t xml:space="preserve">Backup encryption must use TDE certificate (not backup-level encryption alone)</w:t>
      </w:r>
    </w:p>
    <w:p>
      <w:pPr>
        <w:pStyle w:val="ListParagraph"/>
        <w:numPr>
          <w:ilvl w:val="0"/>
          <w:numId w:val="2"/>
        </w:numPr>
        <w:spacing w:after="40" w:before="40"/>
      </w:pPr>
      <w:r>
        <w:rPr>
          <w:sz w:val="22"/>
          <w:szCs w:val="22"/>
        </w:rPr>
        <w:t xml:space="preserve">Non-production environments must use separate keys from production</w:t>
      </w:r>
    </w:p>
    <w:p>
      <w:pPr>
        <w:pStyle w:val="ListParagraph"/>
        <w:numPr>
          <w:ilvl w:val="0"/>
          <w:numId w:val="2"/>
        </w:numPr>
        <w:spacing w:after="40" w:before="40"/>
      </w:pPr>
      <w:r>
        <w:rPr>
          <w:sz w:val="22"/>
          <w:szCs w:val="22"/>
        </w:rPr>
        <w:t xml:space="preserve">Certificate escrow procedures for regulatory compliance</w:t>
      </w:r>
    </w:p>
    <w:p>
      <w:pPr>
        <w:pStyle w:val="Heading2"/>
        <w:spacing w:after="140" w:before="280"/>
      </w:pPr>
      <w:r>
        <w:rPr>
          <w:b/>
          <w:bCs/>
          <w:color w:val="2E75B6"/>
          <w:sz w:val="28"/>
          <w:szCs w:val="28"/>
        </w:rPr>
        <w:t xml:space="preserve">13.3 Common Audit Findings</w:t>
      </w:r>
    </w:p>
    <w:p>
      <w:pPr>
        <w:spacing w:after="80" w:before="80"/>
      </w:pPr>
      <w:r>
        <w:rPr>
          <w:sz w:val="22"/>
          <w:szCs w:val="22"/>
        </w:rPr>
        <w:t xml:space="preserve">From banking audit experience, the most frequent TDE-related audit findings:</w:t>
      </w:r>
    </w:p>
    <w:p>
      <w:pPr>
        <w:pStyle w:val="ListParagraph"/>
        <w:numPr>
          <w:ilvl w:val="0"/>
          <w:numId w:val="2"/>
        </w:numPr>
        <w:spacing w:after="40" w:before="40"/>
      </w:pPr>
      <w:r>
        <w:rPr>
          <w:sz w:val="22"/>
          <w:szCs w:val="22"/>
        </w:rPr>
        <w:t xml:space="preserve">Certificate backup stored on the same server as the database — SPOF</w:t>
      </w:r>
    </w:p>
    <w:p>
      <w:pPr>
        <w:pStyle w:val="ListParagraph"/>
        <w:numPr>
          <w:ilvl w:val="0"/>
          <w:numId w:val="2"/>
        </w:numPr>
        <w:spacing w:after="40" w:before="40"/>
      </w:pPr>
      <w:r>
        <w:rPr>
          <w:sz w:val="22"/>
          <w:szCs w:val="22"/>
        </w:rPr>
        <w:t xml:space="preserve">Same TDE cert used in production and non-production environments</w:t>
      </w:r>
    </w:p>
    <w:p>
      <w:pPr>
        <w:pStyle w:val="ListParagraph"/>
        <w:numPr>
          <w:ilvl w:val="0"/>
          <w:numId w:val="2"/>
        </w:numPr>
        <w:spacing w:after="40" w:before="40"/>
      </w:pPr>
      <w:r>
        <w:rPr>
          <w:sz w:val="22"/>
          <w:szCs w:val="22"/>
        </w:rPr>
        <w:t xml:space="preserve">No documented key rotation schedule</w:t>
      </w:r>
    </w:p>
    <w:p>
      <w:pPr>
        <w:pStyle w:val="ListParagraph"/>
        <w:numPr>
          <w:ilvl w:val="0"/>
          <w:numId w:val="2"/>
        </w:numPr>
        <w:spacing w:after="40" w:before="40"/>
      </w:pPr>
      <w:r>
        <w:rPr>
          <w:sz w:val="22"/>
          <w:szCs w:val="22"/>
        </w:rPr>
        <w:t xml:space="preserve">TDE enabled but backup-to-URL not using the cert (using plain backup encryption instead)</w:t>
      </w:r>
    </w:p>
    <w:p>
      <w:pPr>
        <w:pStyle w:val="ListParagraph"/>
        <w:numPr>
          <w:ilvl w:val="0"/>
          <w:numId w:val="2"/>
        </w:numPr>
        <w:spacing w:after="40" w:before="40"/>
      </w:pPr>
      <w:r>
        <w:rPr>
          <w:sz w:val="22"/>
          <w:szCs w:val="22"/>
        </w:rPr>
        <w:t xml:space="preserve">Cert password stored in the same location as the cert file</w:t>
      </w:r>
    </w:p>
    <w:p>
      <w:pPr>
        <w:pStyle w:val="ListParagraph"/>
        <w:numPr>
          <w:ilvl w:val="0"/>
          <w:numId w:val="2"/>
        </w:numPr>
        <w:spacing w:after="40" w:before="40"/>
      </w:pPr>
      <w:r>
        <w:rPr>
          <w:sz w:val="22"/>
          <w:szCs w:val="22"/>
        </w:rPr>
        <w:t xml:space="preserve">No restore test demonstrating cert recoverability</w:t>
      </w:r>
    </w:p>
    <w:p>
      <w:pPr>
        <w:pStyle w:val="ListParagraph"/>
        <w:numPr>
          <w:ilvl w:val="0"/>
          <w:numId w:val="2"/>
        </w:numPr>
        <w:spacing w:after="40" w:before="40"/>
      </w:pPr>
      <w:r>
        <w:rPr>
          <w:sz w:val="22"/>
          <w:szCs w:val="22"/>
        </w:rPr>
        <w:t xml:space="preserve">Missing documentation of which databases use service-managed vs customer-managed keys</w:t>
      </w:r>
    </w:p>
    <w:p>
      <w:pPr>
        <w:pStyle w:val="Heading1"/>
        <w:spacing w:after="180" w:before="360"/>
      </w:pPr>
      <w:r>
        <w:rPr>
          <w:b/>
          <w:bCs/>
          <w:color w:val="1F3864"/>
          <w:sz w:val="32"/>
          <w:szCs w:val="32"/>
        </w:rPr>
        <w:t xml:space="preserve">14. Priority Matrix — Scenario Ranking</w:t>
      </w:r>
    </w:p>
    <w:p>
      <w:pPr>
        <w:spacing w:after="80" w:before="80"/>
      </w:pPr>
      <w:r>
        <w:rPr>
          <w:sz w:val="22"/>
          <w:szCs w:val="22"/>
        </w:rPr>
        <w:t xml:space="preserve">Each scenario is ranked across three dimensions: Banking Relevance, Implementation Complexity, and Portfolio Impact. Scores 1-5, where 5 is highest.</w:t>
      </w:r>
    </w:p>
    <w:p>
      <w:pPr>
        <w:pStyle w:val="Heading2"/>
        <w:spacing w:after="140" w:before="280"/>
      </w:pPr>
      <w:r>
        <w:rPr>
          <w:b/>
          <w:bCs/>
          <w:color w:val="2E75B6"/>
          <w:sz w:val="28"/>
          <w:szCs w:val="28"/>
        </w:rPr>
        <w:t xml:space="preserve">14.1 Full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120"/>
        <w:gridCol w:w="1560"/>
        <w:gridCol w:w="1560"/>
        <w:gridCol w:w="1560"/>
        <w:gridCol w:w="780"/>
      </w:tblGrid>
      <w:tr>
        <w:tc>
          <w:tcPr>
            <w:tcW w:type="dxa" w:w="7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Ref</w:t>
            </w:r>
          </w:p>
        </w:tc>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Scenario</w:t>
            </w:r>
          </w:p>
        </w:tc>
        <w:tc>
          <w:tcPr>
            <w:tcW w:type="dxa" w:w="1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Banking Rel.</w:t>
            </w:r>
          </w:p>
        </w:tc>
        <w:tc>
          <w:tcPr>
            <w:tcW w:type="dxa" w:w="1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Complexity</w:t>
            </w:r>
          </w:p>
        </w:tc>
        <w:tc>
          <w:tcPr>
            <w:tcW w:type="dxa" w:w="1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Portfolio</w:t>
            </w:r>
          </w:p>
        </w:tc>
        <w:tc>
          <w:tcPr>
            <w:tcW w:type="dxa" w:w="7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Tier</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A1</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TDE on Standalone DB</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78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r>
              <w:rPr>
                <w:b w:val="false"/>
                <w:bCs w:val="false"/>
                <w:sz w:val="20"/>
                <w:szCs w:val="20"/>
              </w:rPr>
              <w:t xml:space="preserve">1</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A2</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Add TDE DB to AG</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78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r>
              <w:rPr>
                <w:b w:val="false"/>
                <w:bCs w:val="false"/>
                <w:sz w:val="20"/>
                <w:szCs w:val="20"/>
              </w:rPr>
              <w:t xml:space="preserve">3</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A3</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Enable TDE on AG DB</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w:t>
            </w:r>
          </w:p>
        </w:tc>
        <w:tc>
          <w:tcPr>
            <w:tcW w:type="dxa" w:w="78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r>
              <w:rPr>
                <w:b w:val="false"/>
                <w:bCs w:val="false"/>
                <w:sz w:val="20"/>
                <w:szCs w:val="20"/>
              </w:rPr>
              <w:t xml:space="preserve">3</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A4</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TDE Cert Rotation</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78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b w:val="false"/>
                <w:bCs w:val="false"/>
                <w:sz w:val="20"/>
                <w:szCs w:val="20"/>
              </w:rPr>
              <w:t xml:space="preserve">2</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A5</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TDE Cert Recovery</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78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r>
              <w:rPr>
                <w:b w:val="false"/>
                <w:bCs w:val="false"/>
                <w:sz w:val="20"/>
                <w:szCs w:val="20"/>
              </w:rPr>
              <w:t xml:space="preserve">3</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B1</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Standalone TDE -&gt; MI</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w:t>
            </w:r>
          </w:p>
        </w:tc>
        <w:tc>
          <w:tcPr>
            <w:tcW w:type="dxa" w:w="78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r>
              <w:rPr>
                <w:b w:val="false"/>
                <w:bCs w:val="false"/>
                <w:sz w:val="20"/>
                <w:szCs w:val="20"/>
              </w:rPr>
              <w:t xml:space="preserve">1</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B2</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AG TDE -&gt; MI (3 tiers)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w:t>
            </w:r>
          </w:p>
        </w:tc>
        <w:tc>
          <w:tcPr>
            <w:tcW w:type="dxa" w:w="78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b w:val="false"/>
                <w:bCs w:val="false"/>
                <w:sz w:val="20"/>
                <w:szCs w:val="20"/>
              </w:rPr>
              <w:t xml:space="preserve">2</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B3</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TDE -&gt; Azure SQL DB</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78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r>
              <w:rPr>
                <w:b w:val="false"/>
                <w:bCs w:val="false"/>
                <w:sz w:val="20"/>
                <w:szCs w:val="20"/>
              </w:rPr>
              <w:t xml:space="preserve">3</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B4</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TDE -&gt; Azure VM</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78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r>
              <w:rPr>
                <w:b w:val="false"/>
                <w:bCs w:val="false"/>
                <w:sz w:val="20"/>
                <w:szCs w:val="20"/>
              </w:rPr>
              <w:t xml:space="preserve">3</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B5</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TDE Cloud Repatriation</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78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r>
              <w:rPr>
                <w:b w:val="false"/>
                <w:bCs w:val="false"/>
                <w:sz w:val="20"/>
                <w:szCs w:val="20"/>
              </w:rPr>
              <w:t xml:space="preserve">3</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C1</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Service-Managed (default)</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78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r>
              <w:rPr>
                <w:b w:val="false"/>
                <w:bCs w:val="false"/>
                <w:sz w:val="20"/>
                <w:szCs w:val="20"/>
              </w:rPr>
              <w:t xml:space="preserve">1</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C2</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BYOK via Key Vault</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w:t>
            </w:r>
          </w:p>
        </w:tc>
        <w:tc>
          <w:tcPr>
            <w:tcW w:type="dxa" w:w="78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b w:val="false"/>
                <w:bCs w:val="false"/>
                <w:sz w:val="20"/>
                <w:szCs w:val="20"/>
              </w:rPr>
              <w:t xml:space="preserve">2</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C3</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HSM-Backed Keys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78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r>
              <w:rPr>
                <w:b w:val="false"/>
                <w:bCs w:val="false"/>
                <w:sz w:val="20"/>
                <w:szCs w:val="20"/>
              </w:rPr>
              <w:t xml:space="preserve">3</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C4</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Zero-Downtime Key Rotation</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78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r>
              <w:rPr>
                <w:b w:val="false"/>
                <w:bCs w:val="false"/>
                <w:sz w:val="20"/>
                <w:szCs w:val="20"/>
              </w:rPr>
              <w:t xml:space="preserve">3</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D1</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TDE + AG</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78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r>
              <w:rPr>
                <w:b w:val="false"/>
                <w:bCs w:val="false"/>
                <w:sz w:val="20"/>
                <w:szCs w:val="20"/>
              </w:rPr>
              <w:t xml:space="preserve">3</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D2</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TDE + Failover Groups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78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r>
              <w:rPr>
                <w:b w:val="false"/>
                <w:bCs w:val="false"/>
                <w:sz w:val="20"/>
                <w:szCs w:val="20"/>
              </w:rPr>
              <w:t xml:space="preserve">3</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D3</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TDE + Log Shipping</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78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r>
              <w:rPr>
                <w:b w:val="false"/>
                <w:bCs w:val="false"/>
                <w:sz w:val="20"/>
                <w:szCs w:val="20"/>
              </w:rPr>
              <w:t xml:space="preserve">3</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D4</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TDE + Distributed AG</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78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r>
              <w:rPr>
                <w:b w:val="false"/>
                <w:bCs w:val="false"/>
                <w:sz w:val="20"/>
                <w:szCs w:val="20"/>
              </w:rPr>
              <w:t xml:space="preserve">3</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D5</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TDE + DB Mirroring</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w:t>
            </w:r>
          </w:p>
        </w:tc>
        <w:tc>
          <w:tcPr>
            <w:tcW w:type="dxa" w:w="78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r>
              <w:rPr>
                <w:b w:val="false"/>
                <w:bCs w:val="false"/>
                <w:sz w:val="20"/>
                <w:szCs w:val="20"/>
              </w:rPr>
              <w:t xml:space="preserve">3</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D6</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TDE + Replication</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78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r>
              <w:rPr>
                <w:b w:val="false"/>
                <w:bCs w:val="false"/>
                <w:sz w:val="20"/>
                <w:szCs w:val="20"/>
              </w:rPr>
              <w:t xml:space="preserve">3</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E1</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TDE + Always Encrypted</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78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r>
              <w:rPr>
                <w:b w:val="false"/>
                <w:bCs w:val="false"/>
                <w:sz w:val="20"/>
                <w:szCs w:val="20"/>
              </w:rPr>
              <w:t xml:space="preserve">3</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E2</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TDE + DDM</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78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r>
              <w:rPr>
                <w:b w:val="false"/>
                <w:bCs w:val="false"/>
                <w:sz w:val="20"/>
                <w:szCs w:val="20"/>
              </w:rPr>
              <w:t xml:space="preserve">3</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E3</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TDE + Row-Level Security</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78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r>
              <w:rPr>
                <w:b w:val="false"/>
                <w:bCs w:val="false"/>
                <w:sz w:val="20"/>
                <w:szCs w:val="20"/>
              </w:rPr>
              <w:t xml:space="preserve">3</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E4</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TDE + FIPS 140-2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78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r>
              <w:rPr>
                <w:b w:val="false"/>
                <w:bCs w:val="false"/>
                <w:sz w:val="20"/>
                <w:szCs w:val="20"/>
              </w:rPr>
              <w:t xml:space="preserve">3</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F1</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TDE + Backup Compression</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78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r>
              <w:rPr>
                <w:b w:val="false"/>
                <w:bCs w:val="false"/>
                <w:sz w:val="20"/>
                <w:szCs w:val="20"/>
              </w:rPr>
              <w:t xml:space="preserve">3</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F2</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TDE Performance Overhead</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78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r>
              <w:rPr>
                <w:b w:val="false"/>
                <w:bCs w:val="false"/>
                <w:sz w:val="20"/>
                <w:szCs w:val="20"/>
              </w:rPr>
              <w:t xml:space="preserve">3</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F3</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TDE + TB-scale Migration</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78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r>
              <w:rPr>
                <w:b w:val="false"/>
                <w:bCs w:val="false"/>
                <w:sz w:val="20"/>
                <w:szCs w:val="20"/>
              </w:rPr>
              <w:t xml:space="preserve">3</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F4</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TDE Troubleshooting</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78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r>
              <w:rPr>
                <w:b w:val="false"/>
                <w:bCs w:val="false"/>
                <w:sz w:val="20"/>
                <w:szCs w:val="20"/>
              </w:rPr>
              <w:t xml:space="preserve">3</w:t>
            </w:r>
          </w:p>
        </w:tc>
      </w:tr>
    </w:tbl>
    <w:p>
      <w:pPr>
        <w:pStyle w:val="Heading2"/>
        <w:spacing w:after="140" w:before="280"/>
      </w:pPr>
      <w:r>
        <w:rPr>
          <w:b/>
          <w:bCs/>
          <w:color w:val="2E75B6"/>
          <w:sz w:val="28"/>
          <w:szCs w:val="28"/>
        </w:rPr>
        <w:t xml:space="preserve">14.2 Color Legend</w:t>
      </w:r>
    </w:p>
    <w:p>
      <w:pPr>
        <w:pStyle w:val="ListParagraph"/>
        <w:numPr>
          <w:ilvl w:val="0"/>
          <w:numId w:val="2"/>
        </w:numPr>
        <w:spacing w:after="40" w:before="40"/>
      </w:pPr>
      <w:r>
        <w:rPr>
          <w:sz w:val="22"/>
          <w:szCs w:val="22"/>
        </w:rPr>
        <w:t xml:space="preserve">GREEN (Tier 1): Implemented with hands-on POC — current Appendix S</w:t>
      </w:r>
    </w:p>
    <w:p>
      <w:pPr>
        <w:pStyle w:val="ListParagraph"/>
        <w:numPr>
          <w:ilvl w:val="0"/>
          <w:numId w:val="2"/>
        </w:numPr>
        <w:spacing w:after="40" w:before="40"/>
      </w:pPr>
      <w:r>
        <w:rPr>
          <w:sz w:val="22"/>
          <w:szCs w:val="22"/>
        </w:rPr>
        <w:t xml:space="preserve">YELLOW (Tier 2): Prioritized for near-term implementation</w:t>
      </w:r>
    </w:p>
    <w:p>
      <w:pPr>
        <w:pStyle w:val="ListParagraph"/>
        <w:numPr>
          <w:ilvl w:val="0"/>
          <w:numId w:val="2"/>
        </w:numPr>
        <w:spacing w:after="40" w:before="40"/>
      </w:pPr>
      <w:r>
        <w:rPr>
          <w:sz w:val="22"/>
          <w:szCs w:val="22"/>
        </w:rPr>
        <w:t xml:space="preserve">ORANGE (Tier 3): Cataloged, implementation deferred</w:t>
      </w:r>
    </w:p>
    <w:p>
      <w:pPr>
        <w:pStyle w:val="Heading2"/>
        <w:spacing w:after="140" w:before="280"/>
      </w:pPr>
      <w:r>
        <w:rPr>
          <w:b/>
          <w:bCs/>
          <w:color w:val="2E75B6"/>
          <w:sz w:val="28"/>
          <w:szCs w:val="28"/>
        </w:rPr>
        <w:t xml:space="preserve">14.3 Tier 2 Selection Rationale</w:t>
      </w:r>
    </w:p>
    <w:p>
      <w:pPr>
        <w:spacing w:after="80" w:before="80"/>
      </w:pPr>
      <w:r>
        <w:rPr>
          <w:sz w:val="22"/>
          <w:szCs w:val="22"/>
        </w:rPr>
        <w:t xml:space="preserve">Three scenarios selected for Tier 2 (near-term implementation) based on the Priority Matrix:</w:t>
      </w:r>
    </w:p>
    <w:p>
      <w:pPr>
        <w:spacing w:after="80" w:before="80"/>
      </w:pPr>
      <w:r>
        <w:rPr>
          <w:b/>
          <w:bCs/>
          <w:sz w:val="22"/>
          <w:szCs w:val="22"/>
        </w:rPr>
        <w:t xml:space="preserve">B2 (AG TDE to MI, 3 tiers): Banking Relevance 5, Portfolio Impact 5. THE interview question. Completes the TDE migration story.</w:t>
      </w:r>
    </w:p>
    <w:p>
      <w:pPr>
        <w:spacing w:after="80" w:before="80"/>
      </w:pPr>
      <w:r>
        <w:rPr>
          <w:b/>
          <w:bCs/>
          <w:sz w:val="22"/>
          <w:szCs w:val="22"/>
        </w:rPr>
        <w:t xml:space="preserve">C2 (BYOK via Azure Key Vault): Banking Relevance 5, Portfolio Impact 5. Compliance differentiator for regulated environments.</w:t>
      </w:r>
    </w:p>
    <w:p>
      <w:pPr>
        <w:spacing w:after="80" w:before="80"/>
      </w:pPr>
      <w:r>
        <w:rPr>
          <w:b/>
          <w:bCs/>
          <w:sz w:val="22"/>
          <w:szCs w:val="22"/>
        </w:rPr>
        <w:t xml:space="preserve">A4 (TDE Certificate Rotation): Banking Relevance 4, Portfolio Impact 4. Operational maturity demonstration.</w:t>
      </w:r>
    </w:p>
    <w:p>
      <w:pPr>
        <w:pStyle w:val="Heading1"/>
        <w:spacing w:after="180" w:before="360"/>
      </w:pPr>
      <w:r>
        <w:rPr>
          <w:b/>
          <w:bCs/>
          <w:color w:val="1F3864"/>
          <w:sz w:val="32"/>
          <w:szCs w:val="32"/>
        </w:rPr>
        <w:t xml:space="preserve">15. Implementation Roadmap</w:t>
      </w:r>
    </w:p>
    <w:p>
      <w:pPr>
        <w:pStyle w:val="Heading2"/>
        <w:spacing w:after="140" w:before="280"/>
      </w:pPr>
      <w:r>
        <w:rPr>
          <w:b/>
          <w:bCs/>
          <w:color w:val="2E75B6"/>
          <w:sz w:val="28"/>
          <w:szCs w:val="28"/>
        </w:rPr>
        <w:t xml:space="preserve">15.1 Current State</w:t>
      </w:r>
    </w:p>
    <w:p>
      <w:pPr>
        <w:spacing w:after="80" w:before="80"/>
      </w:pPr>
      <w:r>
        <w:rPr>
          <w:sz w:val="22"/>
          <w:szCs w:val="22"/>
        </w:rPr>
        <w:t xml:space="preserve">As of April 22, 2026:</w:t>
      </w:r>
    </w:p>
    <w:p>
      <w:pPr>
        <w:pStyle w:val="ListParagraph"/>
        <w:numPr>
          <w:ilvl w:val="0"/>
          <w:numId w:val="2"/>
        </w:numPr>
        <w:spacing w:after="40" w:before="40"/>
      </w:pPr>
      <w:r>
        <w:rPr>
          <w:sz w:val="22"/>
          <w:szCs w:val="22"/>
        </w:rPr>
        <w:t xml:space="preserve">Tier 1 complete: B1 (Standalone TDE to MI) — this document Sections 1-11</w:t>
      </w:r>
    </w:p>
    <w:p>
      <w:pPr>
        <w:pStyle w:val="ListParagraph"/>
        <w:numPr>
          <w:ilvl w:val="0"/>
          <w:numId w:val="2"/>
        </w:numPr>
        <w:spacing w:after="40" w:before="40"/>
      </w:pPr>
      <w:r>
        <w:rPr>
          <w:sz w:val="22"/>
          <w:szCs w:val="22"/>
        </w:rPr>
        <w:t xml:space="preserve">All other scenarios documented at the catalog level (Sections 12-14)</w:t>
      </w:r>
    </w:p>
    <w:p>
      <w:pPr>
        <w:pStyle w:val="Heading2"/>
        <w:spacing w:after="140" w:before="280"/>
      </w:pPr>
      <w:r>
        <w:rPr>
          <w:b/>
          <w:bCs/>
          <w:color w:val="2E75B6"/>
          <w:sz w:val="28"/>
          <w:szCs w:val="28"/>
        </w:rPr>
        <w:t xml:space="preserve">15.2 Near-Term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900"/>
        <w:gridCol w:w="2340"/>
        <w:gridCol w:w="2340"/>
      </w:tblGrid>
      <w:tr>
        <w:tc>
          <w:tcPr>
            <w:tcW w:type="dxa" w:w="7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Seq</w:t>
            </w:r>
          </w:p>
        </w:tc>
        <w:tc>
          <w:tcPr>
            <w:tcW w:type="dxa" w:w="3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Scenario</w:t>
            </w:r>
          </w:p>
        </w:tc>
        <w:tc>
          <w:tcPr>
            <w:tcW w:type="dxa" w:w="234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Est. Sessions</w:t>
            </w:r>
          </w:p>
        </w:tc>
        <w:tc>
          <w:tcPr>
            <w:tcW w:type="dxa" w:w="234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Dependencies</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A4 — TDE Certificate Rotation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 session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None (uses existing cert infrastructure)</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C2 — BYOK via Azure Key Vault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 sessions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usha-kv-poc (already exists)</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B2 Tier 3 — AG TDE -&gt; MI (Native)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2-3 sessions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UshaAg19 (already healthy)</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B2 Tier 1 — AG TDE -&gt; MI (MI Link)</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3-4 sessions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UshaAg22 (requires fix first)</w:t>
            </w:r>
          </w:p>
        </w:tc>
      </w:tr>
    </w:tbl>
    <w:p>
      <w:pPr>
        <w:pStyle w:val="Heading2"/>
        <w:spacing w:after="140" w:before="280"/>
      </w:pPr>
      <w:r>
        <w:rPr>
          <w:b/>
          <w:bCs/>
          <w:color w:val="2E75B6"/>
          <w:sz w:val="28"/>
          <w:szCs w:val="28"/>
        </w:rPr>
        <w:t xml:space="preserve">15.3 Long-Term Portfolio Completion</w:t>
      </w:r>
    </w:p>
    <w:p>
      <w:pPr>
        <w:spacing w:after="80" w:before="80"/>
      </w:pPr>
      <w:r>
        <w:rPr>
          <w:sz w:val="22"/>
          <w:szCs w:val="22"/>
        </w:rPr>
        <w:t xml:space="preserve">The remaining 20+ cataloged scenarios can be implemented opportunistically as time permits, or used as reference material for interview discussions without hands-on execution. The goal is to demonstrate architectural breadth (via the catalog) combined with selective depth (via completed POCs).</w:t>
      </w:r>
    </w:p>
    <w:p>
      <w:pPr>
        <w:pStyle w:val="Heading2"/>
        <w:spacing w:after="140" w:before="280"/>
      </w:pPr>
      <w:r>
        <w:rPr>
          <w:b/>
          <w:bCs/>
          <w:color w:val="2E75B6"/>
          <w:sz w:val="28"/>
          <w:szCs w:val="28"/>
        </w:rPr>
        <w:t xml:space="preserve">15.4 Roadmap Principles</w:t>
      </w:r>
    </w:p>
    <w:p>
      <w:pPr>
        <w:pStyle w:val="ListParagraph"/>
        <w:numPr>
          <w:ilvl w:val="0"/>
          <w:numId w:val="2"/>
        </w:numPr>
        <w:spacing w:after="40" w:before="40"/>
      </w:pPr>
      <w:r>
        <w:rPr>
          <w:sz w:val="22"/>
          <w:szCs w:val="22"/>
        </w:rPr>
        <w:t xml:space="preserve">Every POC produces its own appendix document with the same structure as current Appendix S Sections 1-11</w:t>
      </w:r>
    </w:p>
    <w:p>
      <w:pPr>
        <w:pStyle w:val="ListParagraph"/>
        <w:numPr>
          <w:ilvl w:val="0"/>
          <w:numId w:val="2"/>
        </w:numPr>
        <w:spacing w:after="40" w:before="40"/>
      </w:pPr>
      <w:r>
        <w:rPr>
          <w:sz w:val="22"/>
          <w:szCs w:val="22"/>
        </w:rPr>
        <w:t xml:space="preserve">Each POC has a companion PowerShell automation script</w:t>
      </w:r>
    </w:p>
    <w:p>
      <w:pPr>
        <w:pStyle w:val="ListParagraph"/>
        <w:numPr>
          <w:ilvl w:val="0"/>
          <w:numId w:val="2"/>
        </w:numPr>
        <w:spacing w:after="40" w:before="40"/>
      </w:pPr>
      <w:r>
        <w:rPr>
          <w:sz w:val="22"/>
          <w:szCs w:val="22"/>
        </w:rPr>
        <w:t xml:space="preserve">Each POC ends with validated output and Key Learnings</w:t>
      </w:r>
    </w:p>
    <w:p>
      <w:pPr>
        <w:pStyle w:val="ListParagraph"/>
        <w:numPr>
          <w:ilvl w:val="0"/>
          <w:numId w:val="2"/>
        </w:numPr>
        <w:spacing w:after="40" w:before="40"/>
      </w:pPr>
      <w:r>
        <w:rPr>
          <w:sz w:val="22"/>
          <w:szCs w:val="22"/>
        </w:rPr>
        <w:t xml:space="preserve">Catalog scenarios (Tier 3) remain in this document and get updated as patterns are observed in production</w:t>
      </w:r>
    </w:p>
    <w:p>
      <w:pPr>
        <w:pStyle w:val="Heading1"/>
        <w:spacing w:after="180" w:before="360"/>
      </w:pPr>
      <w:r>
        <w:rPr>
          <w:b/>
          <w:bCs/>
          <w:color w:val="1F3864"/>
          <w:sz w:val="32"/>
          <w:szCs w:val="32"/>
        </w:rPr>
        <w:t xml:space="preserve">16. Key Learnings</w:t>
      </w:r>
    </w:p>
    <w:p>
      <w:pPr>
        <w:pStyle w:val="Heading2"/>
        <w:spacing w:after="140" w:before="280"/>
      </w:pPr>
      <w:r>
        <w:rPr>
          <w:b/>
          <w:bCs/>
          <w:color w:val="2E75B6"/>
          <w:sz w:val="28"/>
          <w:szCs w:val="28"/>
        </w:rPr>
        <w:t xml:space="preserve">16.1 KL-S-08 — pvk2pfx Requires Full Windows SDK Install</w:t>
      </w:r>
    </w:p>
    <w:p>
      <w:pPr>
        <w:spacing w:after="80" w:before="80"/>
      </w:pPr>
      <w:r>
        <w:rPr>
          <w:sz w:val="22"/>
          <w:szCs w:val="22"/>
        </w:rPr>
        <w:t xml:space="preserve">pvk2pfx.exe is NOT included in the 'Signing Tools for Desktop Apps' sub-component of Windows SDK 10.0.28000.0. Initial install with only that component installed signtool.exe, makecat.exe, and cert2spc.exe but NOT pvk2pfx.exe. Resolution: Modify the SDK installation and check ALL components (approximately 3.6 GB total).</w:t>
      </w:r>
    </w:p>
    <w:p>
      <w:pPr>
        <w:pStyle w:val="Heading2"/>
        <w:spacing w:after="140" w:before="280"/>
      </w:pPr>
      <w:r>
        <w:rPr>
          <w:b/>
          <w:bCs/>
          <w:color w:val="2E75B6"/>
          <w:sz w:val="28"/>
          <w:szCs w:val="28"/>
        </w:rPr>
        <w:t xml:space="preserve">16.2 KL-S-09 — Certificate Must Reach Target Before Database</w:t>
      </w:r>
    </w:p>
    <w:p>
      <w:pPr>
        <w:spacing w:after="80" w:before="80"/>
      </w:pPr>
      <w:r>
        <w:rPr>
          <w:sz w:val="22"/>
          <w:szCs w:val="22"/>
        </w:rPr>
        <w:t xml:space="preserve">TDE migration reverses the normal DBA instinct of 'move data first, worry about permissions second.' The certificate must be installed on the target BEFORE the database backup is restored. Without it, RESTORE fails with error 33111.</w:t>
      </w:r>
    </w:p>
    <w:p>
      <w:pPr>
        <w:pStyle w:val="Heading2"/>
        <w:spacing w:after="140" w:before="280"/>
      </w:pPr>
      <w:r>
        <w:rPr>
          <w:b/>
          <w:bCs/>
          <w:color w:val="2E75B6"/>
          <w:sz w:val="28"/>
          <w:szCs w:val="28"/>
        </w:rPr>
        <w:t xml:space="preserve">16.3 KL-S-10 — Base64 Is Encoding, Not Encryption</w:t>
      </w:r>
    </w:p>
    <w:p>
      <w:pPr>
        <w:spacing w:after="80" w:before="80"/>
      </w:pPr>
      <w:r>
        <w:rPr>
          <w:sz w:val="22"/>
          <w:szCs w:val="22"/>
        </w:rPr>
        <w:t xml:space="preserve">Base64 is a text encoding scheme, not encryption. It makes binary data safe for text-based transport (JSON, REST, HTTPS) but provides zero security. The .pfx password is the actual security control. Base64 adds 33% size overhead and is fully reversible with no password.</w:t>
      </w:r>
    </w:p>
    <w:p>
      <w:pPr>
        <w:pStyle w:val="Heading2"/>
        <w:spacing w:after="140" w:before="280"/>
      </w:pPr>
      <w:r>
        <w:rPr>
          <w:b/>
          <w:bCs/>
          <w:color w:val="2E75B6"/>
          <w:sz w:val="28"/>
          <w:szCs w:val="28"/>
        </w:rPr>
        <w:t xml:space="preserve">16.4 KL-S-11 — Az.Sql Cmdlet Naming Convention Change</w:t>
      </w:r>
    </w:p>
    <w:p>
      <w:pPr>
        <w:spacing w:after="80" w:before="80"/>
      </w:pPr>
      <w:r>
        <w:rPr>
          <w:sz w:val="22"/>
          <w:szCs w:val="22"/>
        </w:rPr>
        <w:t xml:space="preserve">Microsoft renamed the MI TDE cmdlet from Add-AzSqlInstance* to Add-AzSqlManagedInstance* in newer Az.Sql versions. However, Get-AzSqlInstance was NOT renamed. The 'Managed' prefix rollout was inconsistent.</w:t>
      </w:r>
    </w:p>
    <w:p>
      <w:pPr>
        <w:pStyle w:val="Heading2"/>
        <w:spacing w:after="140" w:before="280"/>
      </w:pPr>
      <w:r>
        <w:rPr>
          <w:b/>
          <w:bCs/>
          <w:color w:val="2E75B6"/>
          <w:sz w:val="28"/>
          <w:szCs w:val="28"/>
        </w:rPr>
        <w:t xml:space="preserve">16.5 KL-S-12 — Both -PrivateBlob and -Password Are SecureString</w:t>
      </w:r>
    </w:p>
    <w:p>
      <w:pPr>
        <w:spacing w:after="80" w:before="80"/>
      </w:pPr>
      <w:r>
        <w:rPr>
          <w:sz w:val="22"/>
          <w:szCs w:val="22"/>
        </w:rPr>
        <w:t xml:space="preserve">The Add-AzSqlManagedInstanceTransparentDataEncryptionCertificate cmdlet requires BOTH -PrivateBlob and -Password as SecureString. Plain strings produce parameter binding errors. The authoritative source for current cmdlet signatures is Microsoft's Azure PowerShell GitHub repo.</w:t>
      </w:r>
    </w:p>
    <w:p>
      <w:pPr>
        <w:pStyle w:val="Heading2"/>
        <w:spacing w:after="140" w:before="280"/>
      </w:pPr>
      <w:r>
        <w:rPr>
          <w:b/>
          <w:bCs/>
          <w:color w:val="2E75B6"/>
          <w:sz w:val="28"/>
          <w:szCs w:val="28"/>
        </w:rPr>
        <w:t xml:space="preserve">16.6 KL-S-13 — Uploaded TDE Cert Not Visible in sys.certificates</w:t>
      </w:r>
    </w:p>
    <w:p>
      <w:pPr>
        <w:spacing w:after="80" w:before="80"/>
      </w:pPr>
      <w:r>
        <w:rPr>
          <w:sz w:val="22"/>
          <w:szCs w:val="22"/>
        </w:rPr>
        <w:t xml:space="preserve">After Add-AzSqlManagedInstanceTransparentDataEncryptionCertificate succeeds, the uploaded TDE certificate is NOT visible in sys.certificates on the MI. Azure stores TDE certificates in an internal cryptographic store not exposed to user T-SQL. This is a deliberate security design preventing certificate exfiltration via SQL.</w:t>
      </w:r>
    </w:p>
    <w:p>
      <w:pPr>
        <w:pStyle w:val="Heading2"/>
        <w:spacing w:after="140" w:before="280"/>
      </w:pPr>
      <w:r>
        <w:rPr>
          <w:b/>
          <w:bCs/>
          <w:color w:val="2E75B6"/>
          <w:sz w:val="28"/>
          <w:szCs w:val="28"/>
        </w:rPr>
        <w:t xml:space="preserve">16.7 KL-S-14 — IDENTITY Is Reserved in T-SQL</w:t>
      </w:r>
    </w:p>
    <w:p>
      <w:pPr>
        <w:spacing w:after="80" w:before="80"/>
      </w:pPr>
      <w:r>
        <w:rPr>
          <w:sz w:val="22"/>
          <w:szCs w:val="22"/>
        </w:rPr>
        <w:t xml:space="preserve">IDENTITY is a reserved keyword in T-SQL. It cannot be used as an unquoted column alias. Use bracketed [Identity] or a different alias like IdentityType.</w:t>
      </w:r>
    </w:p>
    <w:p>
      <w:pPr>
        <w:pStyle w:val="Heading1"/>
        <w:spacing w:after="180" w:before="360"/>
      </w:pPr>
      <w:r>
        <w:rPr>
          <w:b/>
          <w:bCs/>
          <w:color w:val="1F3864"/>
          <w:sz w:val="32"/>
          <w:szCs w:val="32"/>
        </w:rPr>
        <w:t xml:space="preserve">17. Resume Bullet Candidates</w:t>
      </w:r>
    </w:p>
    <w:p>
      <w:pPr>
        <w:pStyle w:val="Heading2"/>
        <w:spacing w:after="140" w:before="280"/>
      </w:pPr>
      <w:r>
        <w:rPr>
          <w:b/>
          <w:bCs/>
          <w:color w:val="2E75B6"/>
          <w:sz w:val="28"/>
          <w:szCs w:val="28"/>
        </w:rPr>
        <w:t xml:space="preserve">17.1 Matrix Thinking</w:t>
      </w:r>
    </w:p>
    <w:p>
      <w:pPr>
        <w:spacing w:after="80" w:before="80"/>
      </w:pPr>
      <w:r>
        <w:rPr>
          <w:sz w:val="22"/>
          <w:szCs w:val="22"/>
        </w:rPr>
        <w:t xml:space="preserve">Authored comprehensive Transparent Data Encryption (TDE) Options Playbook cataloging 28 distinct TDE scenarios across 6 categories (on-prem lifecycle, Azure migration, key management, HA/DR, layered security, operational considerations) — with tiered implementation roadmap aligned to banking regulatory requirements (PCI-DSS, SOX, GLBA, NY DFS).</w:t>
      </w:r>
    </w:p>
    <w:p>
      <w:pPr>
        <w:pStyle w:val="Heading2"/>
        <w:spacing w:after="140" w:before="280"/>
      </w:pPr>
      <w:r>
        <w:rPr>
          <w:b/>
          <w:bCs/>
          <w:color w:val="2E75B6"/>
          <w:sz w:val="28"/>
          <w:szCs w:val="28"/>
        </w:rPr>
        <w:t xml:space="preserve">17.2 End-to-End Execution</w:t>
      </w:r>
    </w:p>
    <w:p>
      <w:pPr>
        <w:spacing w:after="80" w:before="80"/>
      </w:pPr>
      <w:r>
        <w:rPr>
          <w:sz w:val="22"/>
          <w:szCs w:val="22"/>
        </w:rPr>
        <w:t xml:space="preserve">Executed end-to-end TDE migration from on-premises SQL Server 2019 to Azure SQL Managed Instance using Microsoft's native certificate migration method — preserving cryptographic chain integrity across platforms with zero data loss, zero encryption downgrade, and 100 percent row count parity (2,300 rows validated).</w:t>
      </w:r>
    </w:p>
    <w:p>
      <w:pPr>
        <w:pStyle w:val="Heading2"/>
        <w:spacing w:after="140" w:before="280"/>
      </w:pPr>
      <w:r>
        <w:rPr>
          <w:b/>
          <w:bCs/>
          <w:color w:val="2E75B6"/>
          <w:sz w:val="28"/>
          <w:szCs w:val="28"/>
        </w:rPr>
        <w:t xml:space="preserve">17.3 Technical Depth</w:t>
      </w:r>
    </w:p>
    <w:p>
      <w:pPr>
        <w:spacing w:after="80" w:before="80"/>
      </w:pPr>
      <w:r>
        <w:rPr>
          <w:sz w:val="22"/>
          <w:szCs w:val="22"/>
        </w:rPr>
        <w:t xml:space="preserve">Engineered 9-phase TDE migration runbook covering BACKUP CERTIFICATE export, .pvk-to-.pfx format conversion via pvk2pfx, Base64 encoding for Azure REST API transport, certificate upload via Add-AzSqlManagedInstanceTransparentDataEncryptionCertificate, and BACKUP/RESTORE DATABASE TO URL patterns — documented as production-ready reference for regulated banking workloads.</w:t>
      </w:r>
    </w:p>
    <w:p>
      <w:pPr>
        <w:pStyle w:val="Heading2"/>
        <w:spacing w:after="140" w:before="280"/>
      </w:pPr>
      <w:r>
        <w:rPr>
          <w:b/>
          <w:bCs/>
          <w:color w:val="2E75B6"/>
          <w:sz w:val="28"/>
          <w:szCs w:val="28"/>
        </w:rPr>
        <w:t xml:space="preserve">17.4 Problem-Solving</w:t>
      </w:r>
    </w:p>
    <w:p>
      <w:pPr>
        <w:spacing w:after="80" w:before="80"/>
      </w:pPr>
      <w:r>
        <w:rPr>
          <w:sz w:val="22"/>
          <w:szCs w:val="22"/>
        </w:rPr>
        <w:t xml:space="preserve">Diagnosed and documented 7 Key Learnings during TDE migration including Windows SDK component selection gap, Azure PowerShell cmdlet rename gaps in Microsoft documentation, and Azure MI's invisible internal certificate store design — producing actionable remediation for each issue.</w:t>
      </w:r>
    </w:p>
    <w:p>
      <w:pPr>
        <w:pStyle w:val="Heading1"/>
        <w:spacing w:after="180" w:before="360"/>
      </w:pPr>
      <w:r>
        <w:rPr>
          <w:b/>
          <w:bCs/>
          <w:color w:val="1F3864"/>
          <w:sz w:val="32"/>
          <w:szCs w:val="32"/>
        </w:rPr>
        <w:t xml:space="preserve">18. References</w:t>
      </w:r>
    </w:p>
    <w:p>
      <w:pPr>
        <w:spacing w:after="80" w:before="80"/>
      </w:pPr>
      <w:r>
        <w:rPr>
          <w:sz w:val="22"/>
          <w:szCs w:val="22"/>
        </w:rPr>
        <w:t xml:space="preserve">Microsoft Learn — Migrate TDE certificate to Azure SQL MI:</w:t>
      </w:r>
    </w:p>
    <w:p>
      <w:pPr>
        <w:spacing w:after="80" w:before="80"/>
      </w:pPr>
      <w:r>
        <w:rPr>
          <w:sz w:val="22"/>
          <w:szCs w:val="22"/>
        </w:rPr>
        <w:t xml:space="preserve">https://learn.microsoft.com/en-us/azure/azure-sql/managed-instance/tde-certificate-migrate</w:t>
      </w:r>
    </w:p>
    <w:p>
      <w:pPr>
        <w:spacing w:after="80" w:before="80"/>
      </w:pPr>
      <w:r>
        <w:rPr>
          <w:sz w:val="22"/>
          <w:szCs w:val="22"/>
        </w:rPr>
        <w:t xml:space="preserve">Microsoft Learn — Pvk2Pfx tool:</w:t>
      </w:r>
    </w:p>
    <w:p>
      <w:pPr>
        <w:spacing w:after="80" w:before="80"/>
      </w:pPr>
      <w:r>
        <w:rPr>
          <w:sz w:val="22"/>
          <w:szCs w:val="22"/>
        </w:rPr>
        <w:t xml:space="preserve">https://learn.microsoft.com/en-us/windows-hardware/drivers/devtest/pvk2pfx</w:t>
      </w:r>
    </w:p>
    <w:p>
      <w:pPr>
        <w:spacing w:after="80" w:before="80"/>
      </w:pPr>
      <w:r>
        <w:rPr>
          <w:sz w:val="22"/>
          <w:szCs w:val="22"/>
        </w:rPr>
        <w:t xml:space="preserve">Microsoft Learn — Add-AzSqlManagedInstanceTransparentDataEncryptionCertificate:</w:t>
      </w:r>
    </w:p>
    <w:p>
      <w:pPr>
        <w:spacing w:after="80" w:before="80"/>
      </w:pPr>
      <w:r>
        <w:rPr>
          <w:sz w:val="22"/>
          <w:szCs w:val="22"/>
        </w:rPr>
        <w:t xml:space="preserve">https://learn.microsoft.com/en-us/powershell/module/az.sql/add-azsqlmanagedinstancetransparentdataencryptioncertificate</w:t>
      </w:r>
    </w:p>
    <w:p>
      <w:pPr>
        <w:spacing w:after="80" w:before="80"/>
      </w:pPr>
      <w:r>
        <w:rPr>
          <w:sz w:val="22"/>
          <w:szCs w:val="22"/>
        </w:rPr>
        <w:t xml:space="preserve">Azure PowerShell GitHub — Authoritative cmdlet reference:</w:t>
      </w:r>
    </w:p>
    <w:p>
      <w:pPr>
        <w:spacing w:after="80" w:before="80"/>
      </w:pPr>
      <w:r>
        <w:rPr>
          <w:sz w:val="22"/>
          <w:szCs w:val="22"/>
        </w:rPr>
        <w:t xml:space="preserve">https://github.com/Azure/azure-powershell/blob/main/src/Sql/Sql/help/Add-AzSqlManagedInstanceTransparentDataEncryptionCertificate.md</w:t>
      </w:r>
    </w:p>
    <w:p>
      <w:pPr>
        <w:spacing w:after="80" w:before="80"/>
      </w:pPr>
      <w:r>
        <w:rPr>
          <w:sz w:val="22"/>
          <w:szCs w:val="22"/>
        </w:rPr>
        <w:t xml:space="preserve">Microsoft Learn — BACKUP DATABASE TO URL:</w:t>
      </w:r>
    </w:p>
    <w:p>
      <w:pPr>
        <w:spacing w:after="80" w:before="80"/>
      </w:pPr>
      <w:r>
        <w:rPr>
          <w:sz w:val="22"/>
          <w:szCs w:val="22"/>
        </w:rPr>
        <w:t xml:space="preserve">https://learn.microsoft.com/en-us/sql/relational-databases/backup-restore/sql-server-backup-to-url</w:t>
      </w:r>
    </w:p>
    <w:p>
      <w:pPr>
        <w:spacing w:after="80" w:before="80"/>
      </w:pPr>
      <w:r>
        <w:rPr>
          <w:sz w:val="22"/>
          <w:szCs w:val="22"/>
        </w:rPr>
        <w:t xml:space="preserve">Microsoft Learn — MI Link:</w:t>
      </w:r>
    </w:p>
    <w:p>
      <w:pPr>
        <w:spacing w:after="80" w:before="80"/>
      </w:pPr>
      <w:r>
        <w:rPr>
          <w:sz w:val="22"/>
          <w:szCs w:val="22"/>
        </w:rPr>
        <w:t xml:space="preserve">https://learn.microsoft.com/en-us/azure/azure-sql/managed-instance/managed-instance-link-feature-overview</w:t>
      </w:r>
    </w:p>
    <w:p>
      <w:pPr>
        <w:spacing w:after="80" w:before="80"/>
      </w:pPr>
      <w:r>
        <w:rPr>
          <w:sz w:val="22"/>
          <w:szCs w:val="22"/>
        </w:rPr>
        <w:t xml:space="preserve">Microsoft Learn — Azure Key Vault TDE (BYOK):</w:t>
      </w:r>
    </w:p>
    <w:p>
      <w:pPr>
        <w:spacing w:after="80" w:before="80"/>
      </w:pPr>
      <w:r>
        <w:rPr>
          <w:sz w:val="22"/>
          <w:szCs w:val="22"/>
        </w:rPr>
        <w:t xml:space="preserve">https://learn.microsoft.com/en-us/azure/azure-sql/database/transparent-data-encryption-byok-overview</w:t>
      </w:r>
    </w:p>
    <w:p>
      <w:pPr>
        <w:spacing w:after="80" w:before="80"/>
      </w:pPr>
      <w:r>
        <w:rPr>
          <w:sz w:val="22"/>
          <w:szCs w:val="22"/>
        </w:rPr>
        <w:t xml:space="preserve">PCI Security Standards Council — PCI-DSS v4.0:</w:t>
      </w:r>
    </w:p>
    <w:p>
      <w:pPr>
        <w:spacing w:after="80" w:before="80"/>
      </w:pPr>
      <w:r>
        <w:rPr>
          <w:sz w:val="22"/>
          <w:szCs w:val="22"/>
        </w:rPr>
        <w:t xml:space="preserve">https://www.pcisecuritystandards.org/</w:t>
      </w:r>
    </w:p>
    <w:p>
      <w:pPr>
        <w:spacing w:after="80" w:before="80"/>
      </w:pPr>
      <w:r>
        <w:rPr>
          <w:sz w:val="22"/>
          <w:szCs w:val="22"/>
        </w:rPr>
        <w:t xml:space="preserve">NY DFS 23 NYCRR 500 Cybersecurity Regulation:</w:t>
      </w:r>
    </w:p>
    <w:p>
      <w:pPr>
        <w:spacing w:after="80" w:before="80"/>
      </w:pPr>
      <w:r>
        <w:rPr>
          <w:sz w:val="22"/>
          <w:szCs w:val="22"/>
        </w:rPr>
        <w:t xml:space="preserve">https://www.dfs.ny.gov/industry_guidance/cybersecurity</w:t>
      </w:r>
    </w:p>
    <w:p>
      <w:pPr>
        <w:spacing w:after="120" w:before="480"/>
        <w:jc w:val="center"/>
      </w:pPr>
      <w:r>
        <w:rPr>
          <w:i/>
          <w:iCs/>
          <w:sz w:val="20"/>
          <w:szCs w:val="20"/>
        </w:rPr>
        <w:t xml:space="preserve">End of Appendix S v5 — TDE Options &amp; Certificate Migration</w:t>
      </w:r>
    </w:p>
    <w:p>
      <w:pPr>
        <w:jc w:val="center"/>
      </w:pPr>
      <w:r>
        <w:rPr>
          <w:i/>
          <w:iCs/>
          <w:sz w:val="18"/>
          <w:szCs w:val="18"/>
        </w:rPr>
        <w:t xml:space="preserve">GitHub: ushakaleclouddba-design/Azure-Data-Engineering-Portfolio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10" w:before="2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23d41830bc107996a2c1bbb5ab10901148ccc20.png"/><Relationship Id="rId8" Type="http://schemas.openxmlformats.org/officeDocument/2006/relationships/image" Target="media/53339e15b68d32f44c18c9f935bf22e36b199f6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2026-04-22T23:30:08.944Z</dcterms:created>
  <dcterms:modified xsi:type="dcterms:W3CDTF">2026-04-22T23:30:08.945Z</dcterms:modified>
</cp:coreProperties>
</file>

<file path=docProps/custom.xml><?xml version="1.0" encoding="utf-8"?>
<Properties xmlns="http://schemas.openxmlformats.org/officeDocument/2006/custom-properties" xmlns:vt="http://schemas.openxmlformats.org/officeDocument/2006/docPropsVTypes"/>
</file>