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3A5F"/>
          <w:sz w:val="56"/>
          <w:szCs w:val="56"/>
        </w:rPr>
        <w:t xml:space="preserve">HA/DR INTERVIEW BIBLE</w:t>
      </w:r>
    </w:p>
    <w:p>
      <w:pPr>
        <w:spacing w:after="480"/>
        <w:jc w:val="center"/>
      </w:pPr>
      <w:r>
        <w:rPr>
          <w:rFonts w:ascii="Arial" w:cs="Arial" w:eastAsia="Arial" w:hAnsi="Arial"/>
          <w:b/>
          <w:bCs/>
          <w:color w:val="2C7873"/>
          <w:sz w:val="36"/>
          <w:szCs w:val="36"/>
        </w:rPr>
        <w:t xml:space="preserve">Interview Q&amp;A Volume — Parts 8-10</w:t>
      </w:r>
    </w:p>
    <w:p>
      <w:pPr>
        <w:spacing w:after="240"/>
        <w:jc w:val="center"/>
      </w:pPr>
      <w:r>
        <w:rPr>
          <w:rFonts w:ascii="Arial" w:cs="Arial" w:eastAsia="Arial" w:hAnsi="Arial"/>
          <w:i/>
          <w:iCs/>
          <w:color w:val="4A5568"/>
          <w:sz w:val="24"/>
          <w:szCs w:val="24"/>
        </w:rPr>
        <w:t xml:space="preserve">Decision Frameworks, Real-World Scenarios, and 30+ Practice Q&amp;A</w:t>
      </w:r>
    </w:p>
    <w:p>
      <w:pPr>
        <w:spacing w:after="1800" w:before="480"/>
        <w:jc w:val="center"/>
      </w:pPr>
      <w:r>
        <w:rPr>
          <w:rFonts w:ascii="Arial" w:cs="Arial" w:eastAsia="Arial" w:hAnsi="Arial"/>
          <w:i/>
          <w:iCs/>
          <w:color w:val="4A5568"/>
          <w:sz w:val="22"/>
          <w:szCs w:val="22"/>
        </w:rPr>
        <w:t xml:space="preserve">Companion Volume to HADR_Bible_Theory.docx</w:t>
      </w:r>
    </w:p>
    <w:p>
      <w:pPr>
        <w:jc w:val="center"/>
      </w:pPr>
      <w:r>
        <w:rPr>
          <w:rFonts w:ascii="Arial" w:cs="Arial" w:eastAsia="Arial" w:hAnsi="Arial"/>
          <w:color w:val="4A5568"/>
          <w:sz w:val="26"/>
          <w:szCs w:val="26"/>
        </w:rPr>
        <w:t xml:space="preserve">By Usha Kale</w:t>
      </w:r>
    </w:p>
    <w:p>
      <w:pPr>
        <w:spacing w:after="240"/>
        <w:jc w:val="center"/>
      </w:pPr>
      <w:r>
        <w:rPr>
          <w:rFonts w:ascii="Arial" w:cs="Arial" w:eastAsia="Arial" w:hAnsi="Arial"/>
          <w:i/>
          <w:iCs/>
          <w:color w:val="4A5568"/>
          <w:sz w:val="22"/>
          <w:szCs w:val="22"/>
        </w:rPr>
        <w:t xml:space="preserve">Senior Cloud DBA / Azure Data Engineer</w:t>
      </w:r>
    </w:p>
    <w:p>
      <w:pPr>
        <w:spacing w:before="1200"/>
        <w:jc w:val="center"/>
      </w:pPr>
      <w:r>
        <w:rPr>
          <w:rFonts w:ascii="Arial" w:cs="Arial" w:eastAsia="Arial" w:hAnsi="Arial"/>
          <w:b/>
          <w:bCs/>
          <w:color w:val="1F3A5F"/>
          <w:sz w:val="22"/>
          <w:szCs w:val="22"/>
        </w:rPr>
        <w:t xml:space="preserve">Version 1.0  ·  April 29, 2026</w:t>
      </w:r>
    </w:p>
    <w:p>
      <w:r>
        <w:br w:type="page"/>
      </w:r>
    </w:p>
    <w:p>
      <w:pPr>
        <w:pStyle w:val="Heading1"/>
        <w:spacing w:after="180" w:before="360"/>
      </w:pPr>
      <w:r>
        <w:rPr>
          <w:rFonts w:ascii="Arial" w:cs="Arial" w:eastAsia="Arial" w:hAnsi="Arial"/>
          <w:b/>
          <w:bCs/>
          <w:color w:val="1F3A5F"/>
          <w:sz w:val="36"/>
          <w:szCs w:val="36"/>
        </w:rPr>
        <w:t xml:space="preserve">How to Use This Volume</w:t>
      </w:r>
    </w:p>
    <w:p>
      <w:pPr>
        <w:spacing w:after="120" w:before="0" w:line="300"/>
        <w:jc w:val="left"/>
      </w:pPr>
      <w:r>
        <w:rPr>
          <w:rFonts w:ascii="Arial" w:cs="Arial" w:eastAsia="Arial" w:hAnsi="Arial"/>
          <w:b w:val="false"/>
          <w:bCs w:val="false"/>
          <w:i w:val="false"/>
          <w:iCs w:val="false"/>
          <w:color w:val="2D3748"/>
          <w:sz w:val="24"/>
          <w:szCs w:val="24"/>
        </w:rPr>
        <w:t xml:space="preserve">This is the practical companion to HADR_Bible_Theory.docx. The theory volume covers concepts; this volume covers application.</w:t>
      </w:r>
    </w:p>
    <w:p>
      <w:r>
        <w:t xml:space="preserve"/>
      </w:r>
    </w:p>
    <w:p>
      <w:pPr>
        <w:pStyle w:val="Heading2"/>
        <w:spacing w:after="140" w:before="280"/>
      </w:pPr>
      <w:r>
        <w:rPr>
          <w:rFonts w:ascii="Arial" w:cs="Arial" w:eastAsia="Arial" w:hAnsi="Arial"/>
          <w:b/>
          <w:bCs/>
          <w:color w:val="2C7873"/>
          <w:sz w:val="28"/>
          <w:szCs w:val="28"/>
        </w:rPr>
        <w:t xml:space="preserve">Three sections</w:t>
      </w:r>
    </w:p>
    <w:p>
      <w:pPr>
        <w:pStyle w:val="ListParagraph"/>
        <w:numPr>
          <w:ilvl w:val="0"/>
          <w:numId w:val="2"/>
        </w:numPr>
        <w:spacing w:after="80" w:line="280"/>
      </w:pPr>
      <w:r>
        <w:rPr>
          <w:rFonts w:ascii="Arial" w:cs="Arial" w:eastAsia="Arial" w:hAnsi="Arial"/>
          <w:color w:val="2D3748"/>
          <w:sz w:val="24"/>
          <w:szCs w:val="24"/>
        </w:rPr>
        <w:t xml:space="preserve">Part 8 — Decision Frameworks: How to think through HA/DR architecture choices</w:t>
      </w:r>
    </w:p>
    <w:p>
      <w:pPr>
        <w:pStyle w:val="ListParagraph"/>
        <w:numPr>
          <w:ilvl w:val="0"/>
          <w:numId w:val="2"/>
        </w:numPr>
        <w:spacing w:after="80" w:line="280"/>
      </w:pPr>
      <w:r>
        <w:rPr>
          <w:rFonts w:ascii="Arial" w:cs="Arial" w:eastAsia="Arial" w:hAnsi="Arial"/>
          <w:color w:val="2D3748"/>
          <w:sz w:val="24"/>
          <w:szCs w:val="24"/>
        </w:rPr>
        <w:t xml:space="preserve">Part 9 — Real-World Scenarios: 8 deep scenarios you can use as STAR-method interview stories</w:t>
      </w:r>
    </w:p>
    <w:p>
      <w:pPr>
        <w:pStyle w:val="ListParagraph"/>
        <w:numPr>
          <w:ilvl w:val="0"/>
          <w:numId w:val="2"/>
        </w:numPr>
        <w:spacing w:after="80" w:line="280"/>
      </w:pPr>
      <w:r>
        <w:rPr>
          <w:rFonts w:ascii="Arial" w:cs="Arial" w:eastAsia="Arial" w:hAnsi="Arial"/>
          <w:color w:val="2D3748"/>
          <w:sz w:val="24"/>
          <w:szCs w:val="24"/>
        </w:rPr>
        <w:t xml:space="preserve">Part 10 — Q&amp;A Practice: 30+ questions organized by difficulty level</w:t>
      </w:r>
    </w:p>
    <w:p>
      <w:r>
        <w:t xml:space="preserve"/>
      </w:r>
    </w:p>
    <w:p>
      <w:pPr>
        <w:pStyle w:val="Heading2"/>
        <w:spacing w:after="140" w:before="280"/>
      </w:pPr>
      <w:r>
        <w:rPr>
          <w:rFonts w:ascii="Arial" w:cs="Arial" w:eastAsia="Arial" w:hAnsi="Arial"/>
          <w:b/>
          <w:bCs/>
          <w:color w:val="2C7873"/>
          <w:sz w:val="28"/>
          <w:szCs w:val="28"/>
        </w:rPr>
        <w:t xml:space="preserve">How to practice</w:t>
      </w:r>
    </w:p>
    <w:p>
      <w:pPr>
        <w:pStyle w:val="ListParagraph"/>
        <w:numPr>
          <w:ilvl w:val="0"/>
          <w:numId w:val="2"/>
        </w:numPr>
        <w:spacing w:after="80" w:line="280"/>
      </w:pPr>
      <w:r>
        <w:rPr>
          <w:rFonts w:ascii="Arial" w:cs="Arial" w:eastAsia="Arial" w:hAnsi="Arial"/>
          <w:color w:val="2D3748"/>
          <w:sz w:val="24"/>
          <w:szCs w:val="24"/>
        </w:rPr>
        <w:t xml:space="preserve">Read the question. Cover the answer.</w:t>
      </w:r>
    </w:p>
    <w:p>
      <w:pPr>
        <w:pStyle w:val="ListParagraph"/>
        <w:numPr>
          <w:ilvl w:val="0"/>
          <w:numId w:val="2"/>
        </w:numPr>
        <w:spacing w:after="80" w:line="280"/>
      </w:pPr>
      <w:r>
        <w:rPr>
          <w:rFonts w:ascii="Arial" w:cs="Arial" w:eastAsia="Arial" w:hAnsi="Arial"/>
          <w:color w:val="2D3748"/>
          <w:sz w:val="24"/>
          <w:szCs w:val="24"/>
        </w:rPr>
        <w:t xml:space="preserve">Speak your answer aloud (record it on your phone if helpful).</w:t>
      </w:r>
    </w:p>
    <w:p>
      <w:pPr>
        <w:pStyle w:val="ListParagraph"/>
        <w:numPr>
          <w:ilvl w:val="0"/>
          <w:numId w:val="2"/>
        </w:numPr>
        <w:spacing w:after="80" w:line="280"/>
      </w:pPr>
      <w:r>
        <w:rPr>
          <w:rFonts w:ascii="Arial" w:cs="Arial" w:eastAsia="Arial" w:hAnsi="Arial"/>
          <w:color w:val="2D3748"/>
          <w:sz w:val="24"/>
          <w:szCs w:val="24"/>
        </w:rPr>
        <w:t xml:space="preserve">Reveal the suggested answer. Compare.</w:t>
      </w:r>
    </w:p>
    <w:p>
      <w:pPr>
        <w:pStyle w:val="ListParagraph"/>
        <w:numPr>
          <w:ilvl w:val="0"/>
          <w:numId w:val="2"/>
        </w:numPr>
        <w:spacing w:after="80" w:line="280"/>
      </w:pPr>
      <w:r>
        <w:rPr>
          <w:rFonts w:ascii="Arial" w:cs="Arial" w:eastAsia="Arial" w:hAnsi="Arial"/>
          <w:color w:val="2D3748"/>
          <w:sz w:val="24"/>
          <w:szCs w:val="24"/>
        </w:rPr>
        <w:t xml:space="preserve">Note where you missed structure or content.</w:t>
      </w:r>
    </w:p>
    <w:p>
      <w:pPr>
        <w:pStyle w:val="ListParagraph"/>
        <w:numPr>
          <w:ilvl w:val="0"/>
          <w:numId w:val="2"/>
        </w:numPr>
        <w:spacing w:after="80" w:line="280"/>
      </w:pPr>
      <w:r>
        <w:rPr>
          <w:rFonts w:ascii="Arial" w:cs="Arial" w:eastAsia="Arial" w:hAnsi="Arial"/>
          <w:color w:val="2D3748"/>
          <w:sz w:val="24"/>
          <w:szCs w:val="24"/>
        </w:rPr>
        <w:t xml:space="preserve">Repeat in 2-3 days for retention.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The biggest difference between strong and weak interviewees isn't knowledge — it's verbal fluency. You may KNOW everything in the theory volume, but if you can't articulate it under pressure, you'll lose to candidates with less knowledge but better delivery. Practice OUT LOUD. Practice with a friend. Practice with a mirror. Repetition builds fluency.</w:t>
            </w:r>
          </w:p>
        </w:tc>
      </w:tr>
    </w:tbl>
    <w:p>
      <w:r>
        <w:br w:type="page"/>
      </w:r>
    </w:p>
    <w:p>
      <w:pPr>
        <w:pStyle w:val="Heading1"/>
        <w:spacing w:after="180" w:before="360"/>
      </w:pPr>
      <w:r>
        <w:rPr>
          <w:rFonts w:ascii="Arial" w:cs="Arial" w:eastAsia="Arial" w:hAnsi="Arial"/>
          <w:b/>
          <w:bCs/>
          <w:color w:val="1F3A5F"/>
          <w:sz w:val="36"/>
          <w:szCs w:val="36"/>
        </w:rPr>
        <w:t xml:space="preserve">Part 8 — Decision Frameworks</w:t>
      </w:r>
    </w:p>
    <w:p>
      <w:pPr>
        <w:pStyle w:val="Heading2"/>
        <w:spacing w:after="140" w:before="280"/>
      </w:pPr>
      <w:r>
        <w:rPr>
          <w:rFonts w:ascii="Arial" w:cs="Arial" w:eastAsia="Arial" w:hAnsi="Arial"/>
          <w:b/>
          <w:bCs/>
          <w:color w:val="2C7873"/>
          <w:sz w:val="28"/>
          <w:szCs w:val="28"/>
        </w:rPr>
        <w:t xml:space="preserve">8.1 — The 'Three Questions' Framework</w:t>
      </w:r>
    </w:p>
    <w:p>
      <w:pPr>
        <w:spacing w:after="120" w:before="0" w:line="300"/>
        <w:jc w:val="left"/>
      </w:pPr>
      <w:r>
        <w:rPr>
          <w:rFonts w:ascii="Arial" w:cs="Arial" w:eastAsia="Arial" w:hAnsi="Arial"/>
          <w:b w:val="false"/>
          <w:bCs w:val="false"/>
          <w:i w:val="false"/>
          <w:iCs w:val="false"/>
          <w:color w:val="2D3748"/>
          <w:sz w:val="24"/>
          <w:szCs w:val="24"/>
        </w:rPr>
        <w:t xml:space="preserve">Before recommending any HA/DR architecture, ask three questions:</w:t>
      </w:r>
    </w:p>
    <w:p>
      <w:r>
        <w:t xml:space="preserve"/>
      </w:r>
    </w:p>
    <w:p>
      <w:pPr>
        <w:pStyle w:val="ListParagraph"/>
        <w:numPr>
          <w:ilvl w:val="0"/>
          <w:numId w:val="2"/>
        </w:numPr>
        <w:spacing w:after="80" w:line="280"/>
      </w:pPr>
      <w:r>
        <w:rPr>
          <w:rFonts w:ascii="Arial" w:cs="Arial" w:eastAsia="Arial" w:hAnsi="Arial"/>
          <w:color w:val="2D3748"/>
          <w:sz w:val="24"/>
          <w:szCs w:val="24"/>
        </w:rPr>
        <w:t xml:space="preserve">RPO — How much data loss is acceptable in time?</w:t>
      </w:r>
    </w:p>
    <w:p>
      <w:pPr>
        <w:pStyle w:val="ListParagraph"/>
        <w:numPr>
          <w:ilvl w:val="0"/>
          <w:numId w:val="2"/>
        </w:numPr>
        <w:spacing w:after="80" w:line="280"/>
      </w:pPr>
      <w:r>
        <w:rPr>
          <w:rFonts w:ascii="Arial" w:cs="Arial" w:eastAsia="Arial" w:hAnsi="Arial"/>
          <w:color w:val="2D3748"/>
          <w:sz w:val="24"/>
          <w:szCs w:val="24"/>
        </w:rPr>
        <w:t xml:space="preserve">RTO — How long can the system be unavailable?</w:t>
      </w:r>
    </w:p>
    <w:p>
      <w:pPr>
        <w:pStyle w:val="ListParagraph"/>
        <w:numPr>
          <w:ilvl w:val="0"/>
          <w:numId w:val="2"/>
        </w:numPr>
        <w:spacing w:after="80" w:line="280"/>
      </w:pPr>
      <w:r>
        <w:rPr>
          <w:rFonts w:ascii="Arial" w:cs="Arial" w:eastAsia="Arial" w:hAnsi="Arial"/>
          <w:color w:val="2D3748"/>
          <w:sz w:val="24"/>
          <w:szCs w:val="24"/>
        </w:rPr>
        <w:t xml:space="preserve">Budget — What's the financial constraint?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If you skip these questions, your recommendation is guesswork. If you ask them, your answer becomes specific and defensible.</w:t>
            </w:r>
          </w:p>
        </w:tc>
      </w:tr>
    </w:tbl>
    <w:p>
      <w:r>
        <w:t xml:space="preserve"/>
      </w:r>
    </w:p>
    <w:p>
      <w:pPr>
        <w:pStyle w:val="Heading3"/>
        <w:spacing w:after="100" w:before="200"/>
      </w:pPr>
      <w:r>
        <w:rPr>
          <w:rFonts w:ascii="Arial" w:cs="Arial" w:eastAsia="Arial" w:hAnsi="Arial"/>
          <w:b/>
          <w:bCs/>
          <w:color w:val="4A5568"/>
          <w:sz w:val="26"/>
          <w:szCs w:val="26"/>
        </w:rPr>
        <w:t xml:space="preserve">Translation: Business need →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500"/>
        <w:gridCol w:w="5460"/>
      </w:tblGrid>
      <w:tr>
        <w:trPr>
          <w:tblHeader/>
        </w:trPr>
        <w:tc>
          <w:tcPr>
            <w:tcW w:type="dxa" w:w="11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RPO</w:t>
            </w:r>
          </w:p>
        </w:tc>
        <w:tc>
          <w:tcPr>
            <w:tcW w:type="dxa" w:w="13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RTO</w:t>
            </w:r>
          </w:p>
        </w:tc>
        <w:tc>
          <w:tcPr>
            <w:tcW w:type="dxa" w:w="15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Budget</w:t>
            </w:r>
          </w:p>
        </w:tc>
        <w:tc>
          <w:tcPr>
            <w:tcW w:type="dxa" w:w="54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Architecture</w:t>
            </w:r>
          </w:p>
        </w:tc>
      </w:tr>
      <w:tr>
        <w:tc>
          <w:tcPr>
            <w:tcW w:type="dxa" w:w="11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0</w:t>
            </w:r>
          </w:p>
        </w:tc>
        <w:tc>
          <w:tcPr>
            <w:tcW w:type="dxa" w:w="13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30 sec</w:t>
            </w:r>
          </w:p>
        </w:tc>
        <w:tc>
          <w:tcPr>
            <w:tcW w:type="dxa" w:w="1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High</w:t>
            </w:r>
          </w:p>
        </w:tc>
        <w:tc>
          <w:tcPr>
            <w:tcW w:type="dxa" w:w="54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Sync AG (local) + zone redundant</w:t>
            </w:r>
          </w:p>
        </w:tc>
      </w:tr>
      <w:tr>
        <w:tc>
          <w:tcPr>
            <w:tcW w:type="dxa" w:w="11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0</w:t>
            </w:r>
          </w:p>
        </w:tc>
        <w:tc>
          <w:tcPr>
            <w:tcW w:type="dxa" w:w="13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5 min</w:t>
            </w:r>
          </w:p>
        </w:tc>
        <w:tc>
          <w:tcPr>
            <w:tcW w:type="dxa" w:w="1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High</w:t>
            </w:r>
          </w:p>
        </w:tc>
        <w:tc>
          <w:tcPr>
            <w:tcW w:type="dxa" w:w="54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Sync AG (local) + async geo (DR)</w:t>
            </w:r>
          </w:p>
        </w:tc>
      </w:tr>
      <w:tr>
        <w:tc>
          <w:tcPr>
            <w:tcW w:type="dxa" w:w="11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5 sec</w:t>
            </w:r>
          </w:p>
        </w:tc>
        <w:tc>
          <w:tcPr>
            <w:tcW w:type="dxa" w:w="13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5 min</w:t>
            </w:r>
          </w:p>
        </w:tc>
        <w:tc>
          <w:tcPr>
            <w:tcW w:type="dxa" w:w="1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Medium</w:t>
            </w:r>
          </w:p>
        </w:tc>
        <w:tc>
          <w:tcPr>
            <w:tcW w:type="dxa" w:w="54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Async AG to second site/region</w:t>
            </w:r>
          </w:p>
        </w:tc>
      </w:tr>
      <w:tr>
        <w:tc>
          <w:tcPr>
            <w:tcW w:type="dxa" w:w="11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5 min</w:t>
            </w:r>
          </w:p>
        </w:tc>
        <w:tc>
          <w:tcPr>
            <w:tcW w:type="dxa" w:w="13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30 min</w:t>
            </w:r>
          </w:p>
        </w:tc>
        <w:tc>
          <w:tcPr>
            <w:tcW w:type="dxa" w:w="1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Medium</w:t>
            </w:r>
          </w:p>
        </w:tc>
        <w:tc>
          <w:tcPr>
            <w:tcW w:type="dxa" w:w="54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Log shipping with automation</w:t>
            </w:r>
          </w:p>
        </w:tc>
      </w:tr>
      <w:tr>
        <w:tc>
          <w:tcPr>
            <w:tcW w:type="dxa" w:w="11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1 hr</w:t>
            </w:r>
          </w:p>
        </w:tc>
        <w:tc>
          <w:tcPr>
            <w:tcW w:type="dxa" w:w="13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4 hr</w:t>
            </w:r>
          </w:p>
        </w:tc>
        <w:tc>
          <w:tcPr>
            <w:tcW w:type="dxa" w:w="1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Low</w:t>
            </w:r>
          </w:p>
        </w:tc>
        <w:tc>
          <w:tcPr>
            <w:tcW w:type="dxa" w:w="54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Hourly log backups + manual restore</w:t>
            </w:r>
          </w:p>
        </w:tc>
      </w:tr>
      <w:tr>
        <w:tc>
          <w:tcPr>
            <w:tcW w:type="dxa" w:w="11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24 hr</w:t>
            </w:r>
          </w:p>
        </w:tc>
        <w:tc>
          <w:tcPr>
            <w:tcW w:type="dxa" w:w="13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8 hr</w:t>
            </w:r>
          </w:p>
        </w:tc>
        <w:tc>
          <w:tcPr>
            <w:tcW w:type="dxa" w:w="1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Low</w:t>
            </w:r>
          </w:p>
        </w:tc>
        <w:tc>
          <w:tcPr>
            <w:tcW w:type="dxa" w:w="54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Daily backup to off-site</w:t>
            </w:r>
          </w:p>
        </w:tc>
      </w:tr>
    </w:tbl>
    <w:p>
      <w:r>
        <w:br w:type="page"/>
      </w:r>
    </w:p>
    <w:p>
      <w:pPr>
        <w:pStyle w:val="Heading2"/>
        <w:spacing w:after="140" w:before="280"/>
      </w:pPr>
      <w:r>
        <w:rPr>
          <w:rFonts w:ascii="Arial" w:cs="Arial" w:eastAsia="Arial" w:hAnsi="Arial"/>
          <w:b/>
          <w:bCs/>
          <w:color w:val="2C7873"/>
          <w:sz w:val="28"/>
          <w:szCs w:val="28"/>
        </w:rPr>
        <w:t xml:space="preserve">8.2 — The 'Layers' Framework</w:t>
      </w:r>
    </w:p>
    <w:p>
      <w:pPr>
        <w:spacing w:after="120" w:before="0" w:line="300"/>
        <w:jc w:val="left"/>
      </w:pPr>
      <w:r>
        <w:rPr>
          <w:rFonts w:ascii="Arial" w:cs="Arial" w:eastAsia="Arial" w:hAnsi="Arial"/>
          <w:b w:val="false"/>
          <w:bCs w:val="false"/>
          <w:i w:val="false"/>
          <w:iCs w:val="false"/>
          <w:color w:val="2D3748"/>
          <w:sz w:val="24"/>
          <w:szCs w:val="24"/>
        </w:rPr>
        <w:t xml:space="preserve">Senior architects layer protection. Each layer addresses different failure modes.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rPr>
          <w:tblHeader/>
        </w:trPr>
        <w:tc>
          <w:tcPr>
            <w:tcW w:type="dxa" w:w="27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Layer</w:t>
            </w:r>
          </w:p>
        </w:tc>
        <w:tc>
          <w:tcPr>
            <w:tcW w:type="dxa" w:w="32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Protects against</w:t>
            </w:r>
          </w:p>
        </w:tc>
        <w:tc>
          <w:tcPr>
            <w:tcW w:type="dxa" w:w="34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Technology</w:t>
            </w:r>
          </w:p>
        </w:tc>
      </w:tr>
      <w:tr>
        <w:tc>
          <w:tcPr>
            <w:tcW w:type="dxa" w:w="2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Layer 1: Hardware redundancy</w:t>
            </w:r>
          </w:p>
        </w:tc>
        <w:tc>
          <w:tcPr>
            <w:tcW w:type="dxa" w:w="32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Disk failure, NIC failure</w:t>
            </w:r>
          </w:p>
        </w:tc>
        <w:tc>
          <w:tcPr>
            <w:tcW w:type="dxa" w:w="34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RAID, redundant NICs, dual PSU</w:t>
            </w:r>
          </w:p>
        </w:tc>
      </w:tr>
      <w:tr>
        <w:tc>
          <w:tcPr>
            <w:tcW w:type="dxa" w:w="27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Layer 2: Local HA (intra-DC)</w:t>
            </w:r>
          </w:p>
        </w:tc>
        <w:tc>
          <w:tcPr>
            <w:tcW w:type="dxa" w:w="32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Server crash, OS reboot</w:t>
            </w:r>
          </w:p>
        </w:tc>
        <w:tc>
          <w:tcPr>
            <w:tcW w:type="dxa" w:w="34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Sync AG with local secondary</w:t>
            </w:r>
          </w:p>
        </w:tc>
      </w:tr>
      <w:tr>
        <w:tc>
          <w:tcPr>
            <w:tcW w:type="dxa" w:w="2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Layer 3: Datacenter HA</w:t>
            </w:r>
          </w:p>
        </w:tc>
        <w:tc>
          <w:tcPr>
            <w:tcW w:type="dxa" w:w="32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Datacenter outage</w:t>
            </w:r>
          </w:p>
        </w:tc>
        <w:tc>
          <w:tcPr>
            <w:tcW w:type="dxa" w:w="34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Zone-redundant or multi-DC sync AG</w:t>
            </w:r>
          </w:p>
        </w:tc>
      </w:tr>
      <w:tr>
        <w:tc>
          <w:tcPr>
            <w:tcW w:type="dxa" w:w="27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Layer 4: Regional DR</w:t>
            </w:r>
          </w:p>
        </w:tc>
        <w:tc>
          <w:tcPr>
            <w:tcW w:type="dxa" w:w="32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Region/disaster</w:t>
            </w:r>
          </w:p>
        </w:tc>
        <w:tc>
          <w:tcPr>
            <w:tcW w:type="dxa" w:w="34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Async AG / DAG to remote region</w:t>
            </w:r>
          </w:p>
        </w:tc>
      </w:tr>
      <w:tr>
        <w:tc>
          <w:tcPr>
            <w:tcW w:type="dxa" w:w="2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Layer 5: Backup recovery</w:t>
            </w:r>
          </w:p>
        </w:tc>
        <w:tc>
          <w:tcPr>
            <w:tcW w:type="dxa" w:w="32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Logical errors, ransomware</w:t>
            </w:r>
          </w:p>
        </w:tc>
        <w:tc>
          <w:tcPr>
            <w:tcW w:type="dxa" w:w="34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Immutable backups, point-in-time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In a senior interview, when asked 'how would you architect HA/DR,' walk through the layers. "I'd start with Layer 1, hardware redundancy at the server level. Layer 2 is local HA — sync AG with a local secondary for automatic failover within the datacenter. Layer 3 protects against datacenter loss — either zone-redundant or a sync replica in a second nearby DC. Layer 4 is regional DR — async to a far region. Layer 5 is backup-based recovery for logical errors and ransomware. Each layer addresses a different failure mode, and they compound — having all five gives you defense in depth."</w:t>
            </w:r>
          </w:p>
        </w:tc>
      </w:tr>
    </w:tbl>
    <w:p>
      <w:r>
        <w:br w:type="page"/>
      </w:r>
    </w:p>
    <w:p>
      <w:pPr>
        <w:pStyle w:val="Heading2"/>
        <w:spacing w:after="140" w:before="280"/>
      </w:pPr>
      <w:r>
        <w:rPr>
          <w:rFonts w:ascii="Arial" w:cs="Arial" w:eastAsia="Arial" w:hAnsi="Arial"/>
          <w:b/>
          <w:bCs/>
          <w:color w:val="2C7873"/>
          <w:sz w:val="28"/>
          <w:szCs w:val="28"/>
        </w:rPr>
        <w:t xml:space="preserve">8.3 — The 'Cost vs Risk' Framework</w:t>
      </w:r>
    </w:p>
    <w:p>
      <w:pPr>
        <w:spacing w:after="120" w:before="0" w:line="300"/>
        <w:jc w:val="left"/>
      </w:pPr>
      <w:r>
        <w:rPr>
          <w:rFonts w:ascii="Arial" w:cs="Arial" w:eastAsia="Arial" w:hAnsi="Arial"/>
          <w:b w:val="false"/>
          <w:bCs w:val="false"/>
          <w:i w:val="false"/>
          <w:iCs w:val="false"/>
          <w:color w:val="2D3748"/>
          <w:sz w:val="24"/>
          <w:szCs w:val="24"/>
        </w:rPr>
        <w:t xml:space="preserve">HA/DR is risk management. The question isn't whether to spend, but how much.</w:t>
      </w:r>
    </w:p>
    <w:p>
      <w:r>
        <w:t xml:space="preserve"/>
      </w:r>
    </w:p>
    <w:p>
      <w:pPr>
        <w:pStyle w:val="Heading3"/>
        <w:spacing w:after="100" w:before="200"/>
      </w:pPr>
      <w:r>
        <w:rPr>
          <w:rFonts w:ascii="Arial" w:cs="Arial" w:eastAsia="Arial" w:hAnsi="Arial"/>
          <w:b/>
          <w:bCs/>
          <w:color w:val="4A5568"/>
          <w:sz w:val="26"/>
          <w:szCs w:val="26"/>
        </w:rPr>
        <w:t xml:space="preserve">Cost components</w:t>
      </w:r>
    </w:p>
    <w:p>
      <w:pPr>
        <w:pStyle w:val="ListParagraph"/>
        <w:numPr>
          <w:ilvl w:val="0"/>
          <w:numId w:val="2"/>
        </w:numPr>
        <w:spacing w:after="80" w:line="280"/>
      </w:pPr>
      <w:r>
        <w:rPr>
          <w:rFonts w:ascii="Arial" w:cs="Arial" w:eastAsia="Arial" w:hAnsi="Arial"/>
          <w:color w:val="2D3748"/>
          <w:sz w:val="24"/>
          <w:szCs w:val="24"/>
        </w:rPr>
        <w:t xml:space="preserve">Infrastructure: extra servers, storage, licensing, cloud compute</w:t>
      </w:r>
    </w:p>
    <w:p>
      <w:pPr>
        <w:pStyle w:val="ListParagraph"/>
        <w:numPr>
          <w:ilvl w:val="0"/>
          <w:numId w:val="2"/>
        </w:numPr>
        <w:spacing w:after="80" w:line="280"/>
      </w:pPr>
      <w:r>
        <w:rPr>
          <w:rFonts w:ascii="Arial" w:cs="Arial" w:eastAsia="Arial" w:hAnsi="Arial"/>
          <w:color w:val="2D3748"/>
          <w:sz w:val="24"/>
          <w:szCs w:val="24"/>
        </w:rPr>
        <w:t xml:space="preserve">Network: VPN, ExpressRoute, bandwidth</w:t>
      </w:r>
    </w:p>
    <w:p>
      <w:pPr>
        <w:pStyle w:val="ListParagraph"/>
        <w:numPr>
          <w:ilvl w:val="0"/>
          <w:numId w:val="2"/>
        </w:numPr>
        <w:spacing w:after="80" w:line="280"/>
      </w:pPr>
      <w:r>
        <w:rPr>
          <w:rFonts w:ascii="Arial" w:cs="Arial" w:eastAsia="Arial" w:hAnsi="Arial"/>
          <w:color w:val="2D3748"/>
          <w:sz w:val="24"/>
          <w:szCs w:val="24"/>
        </w:rPr>
        <w:t xml:space="preserve">Operational: monitoring, testing, training, on-call</w:t>
      </w:r>
    </w:p>
    <w:p>
      <w:pPr>
        <w:pStyle w:val="ListParagraph"/>
        <w:numPr>
          <w:ilvl w:val="0"/>
          <w:numId w:val="2"/>
        </w:numPr>
        <w:spacing w:after="80" w:line="280"/>
      </w:pPr>
      <w:r>
        <w:rPr>
          <w:rFonts w:ascii="Arial" w:cs="Arial" w:eastAsia="Arial" w:hAnsi="Arial"/>
          <w:color w:val="2D3748"/>
          <w:sz w:val="24"/>
          <w:szCs w:val="24"/>
        </w:rPr>
        <w:t xml:space="preserve">Complexity: more moving parts = more failures and harder troubleshooting</w:t>
      </w:r>
    </w:p>
    <w:p>
      <w:r>
        <w:t xml:space="preserve"/>
      </w:r>
    </w:p>
    <w:p>
      <w:pPr>
        <w:pStyle w:val="Heading3"/>
        <w:spacing w:after="100" w:before="200"/>
      </w:pPr>
      <w:r>
        <w:rPr>
          <w:rFonts w:ascii="Arial" w:cs="Arial" w:eastAsia="Arial" w:hAnsi="Arial"/>
          <w:b/>
          <w:bCs/>
          <w:color w:val="4A5568"/>
          <w:sz w:val="26"/>
          <w:szCs w:val="26"/>
        </w:rPr>
        <w:t xml:space="preserve">Risk components</w:t>
      </w:r>
    </w:p>
    <w:p>
      <w:pPr>
        <w:pStyle w:val="ListParagraph"/>
        <w:numPr>
          <w:ilvl w:val="0"/>
          <w:numId w:val="2"/>
        </w:numPr>
        <w:spacing w:after="80" w:line="280"/>
      </w:pPr>
      <w:r>
        <w:rPr>
          <w:rFonts w:ascii="Arial" w:cs="Arial" w:eastAsia="Arial" w:hAnsi="Arial"/>
          <w:color w:val="2D3748"/>
          <w:sz w:val="24"/>
          <w:szCs w:val="24"/>
        </w:rPr>
        <w:t xml:space="preserve">Probability: How likely is the failure mode? (Hardware: high. Region loss: low.)</w:t>
      </w:r>
    </w:p>
    <w:p>
      <w:pPr>
        <w:pStyle w:val="ListParagraph"/>
        <w:numPr>
          <w:ilvl w:val="0"/>
          <w:numId w:val="2"/>
        </w:numPr>
        <w:spacing w:after="80" w:line="280"/>
      </w:pPr>
      <w:r>
        <w:rPr>
          <w:rFonts w:ascii="Arial" w:cs="Arial" w:eastAsia="Arial" w:hAnsi="Arial"/>
          <w:color w:val="2D3748"/>
          <w:sz w:val="24"/>
          <w:szCs w:val="24"/>
        </w:rPr>
        <w:t xml:space="preserve">Impact: What's the cost if it happens? (Revenue loss + reputational damage + regulatory fines)</w:t>
      </w:r>
    </w:p>
    <w:p>
      <w:pPr>
        <w:pStyle w:val="ListParagraph"/>
        <w:numPr>
          <w:ilvl w:val="0"/>
          <w:numId w:val="2"/>
        </w:numPr>
        <w:spacing w:after="80" w:line="280"/>
      </w:pPr>
      <w:r>
        <w:rPr>
          <w:rFonts w:ascii="Arial" w:cs="Arial" w:eastAsia="Arial" w:hAnsi="Arial"/>
          <w:color w:val="2D3748"/>
          <w:sz w:val="24"/>
          <w:szCs w:val="24"/>
        </w:rPr>
        <w:t xml:space="preserve">Frequency: How often might it occur over the system's lifetime?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Risk = Probability × Impact. If the impact is enormous (bank's primary trading system), even low probability events justify expensive HA/DR. If impact is small (internal report database), even high-probability events may not justify the cost.</w:t>
            </w:r>
          </w:p>
        </w:tc>
      </w:tr>
    </w:tbl>
    <w:p>
      <w:r>
        <w:t xml:space="preserve"/>
      </w:r>
    </w:p>
    <w:p>
      <w:pPr>
        <w:pStyle w:val="Heading3"/>
        <w:spacing w:after="100" w:before="200"/>
      </w:pPr>
      <w:r>
        <w:rPr>
          <w:rFonts w:ascii="Arial" w:cs="Arial" w:eastAsia="Arial" w:hAnsi="Arial"/>
          <w:b/>
          <w:bCs/>
          <w:color w:val="4A5568"/>
          <w:sz w:val="26"/>
          <w:szCs w:val="26"/>
        </w:rPr>
        <w:t xml:space="preserve">Senior interview answer pattern</w:t>
      </w:r>
    </w:p>
    <w:p>
      <w:pPr>
        <w:spacing w:after="120" w:before="0" w:line="300"/>
        <w:jc w:val="left"/>
      </w:pPr>
      <w:r>
        <w:rPr>
          <w:rFonts w:ascii="Arial" w:cs="Arial" w:eastAsia="Arial" w:hAnsi="Arial"/>
          <w:b w:val="false"/>
          <w:bCs w:val="false"/>
          <w:i w:val="false"/>
          <w:iCs w:val="false"/>
          <w:color w:val="2D3748"/>
          <w:sz w:val="24"/>
          <w:szCs w:val="24"/>
        </w:rPr>
        <w:t xml:space="preserve">"For HA/DR investment, I think in terms of expected cost vs expected impact. A trading platform losing $1M per minute of downtime justifies a $500K/year HA/DR investment trivially — break-even at 30 minutes of avoided downtime per year. A reporting database with $0/minute downtime cost has no justification for that investment. The architecture should match the business value of the data, not just hit a uniform standard."</w:t>
      </w:r>
    </w:p>
    <w:p>
      <w:r>
        <w:br w:type="page"/>
      </w:r>
    </w:p>
    <w:p>
      <w:pPr>
        <w:pStyle w:val="Heading2"/>
        <w:spacing w:after="140" w:before="280"/>
      </w:pPr>
      <w:r>
        <w:rPr>
          <w:rFonts w:ascii="Arial" w:cs="Arial" w:eastAsia="Arial" w:hAnsi="Arial"/>
          <w:b/>
          <w:bCs/>
          <w:color w:val="2C7873"/>
          <w:sz w:val="28"/>
          <w:szCs w:val="28"/>
        </w:rPr>
        <w:t xml:space="preserve">8.4 — The 'Compliance First' Framework</w:t>
      </w:r>
    </w:p>
    <w:p>
      <w:pPr>
        <w:spacing w:after="120" w:before="0" w:line="300"/>
        <w:jc w:val="left"/>
      </w:pPr>
      <w:r>
        <w:rPr>
          <w:rFonts w:ascii="Arial" w:cs="Arial" w:eastAsia="Arial" w:hAnsi="Arial"/>
          <w:b w:val="false"/>
          <w:bCs w:val="false"/>
          <w:i w:val="false"/>
          <w:iCs w:val="false"/>
          <w:color w:val="2D3748"/>
          <w:sz w:val="24"/>
          <w:szCs w:val="24"/>
        </w:rPr>
        <w:t xml:space="preserve">Some HA/DR decisions are non-negotiable due to regulation. Senior DBAs know which apply where.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Industry</w:t>
            </w:r>
          </w:p>
        </w:tc>
        <w:tc>
          <w:tcPr>
            <w:tcW w:type="dxa" w:w="67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Common requirements</w:t>
            </w:r>
          </w:p>
        </w:tc>
      </w:tr>
      <w:tr>
        <w:tc>
          <w:tcPr>
            <w:tcW w:type="dxa" w:w="2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Banking (SOX, GLBA, FFIEC)</w:t>
            </w:r>
          </w:p>
        </w:tc>
        <w:tc>
          <w:tcPr>
            <w:tcW w:type="dxa" w:w="67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RPO under 15 min, off-site backups, 7-year retention, immutable for some data</w:t>
            </w:r>
          </w:p>
        </w:tc>
      </w:tr>
      <w:tr>
        <w:tc>
          <w:tcPr>
            <w:tcW w:type="dxa" w:w="2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Healthcare (HIPAA)</w:t>
            </w:r>
          </w:p>
        </w:tc>
        <w:tc>
          <w:tcPr>
            <w:tcW w:type="dxa" w:w="67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RTO under 24 hr, encrypted backups, audit trail of access, BAA with cloud providers</w:t>
            </w:r>
          </w:p>
        </w:tc>
      </w:tr>
      <w:tr>
        <w:tc>
          <w:tcPr>
            <w:tcW w:type="dxa" w:w="2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Payment cards (PCI-DSS)</w:t>
            </w:r>
          </w:p>
        </w:tc>
        <w:tc>
          <w:tcPr>
            <w:tcW w:type="dxa" w:w="67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Quarterly DR test, encryption in transit/rest, separation of duties</w:t>
            </w:r>
          </w:p>
        </w:tc>
      </w:tr>
      <w:tr>
        <w:tc>
          <w:tcPr>
            <w:tcW w:type="dxa" w:w="2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Government (FedRAMP)</w:t>
            </w:r>
          </w:p>
        </w:tc>
        <w:tc>
          <w:tcPr>
            <w:tcW w:type="dxa" w:w="67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Government cloud regions only, FIPS 140-2 encryption, specific authentication requirements</w:t>
            </w:r>
          </w:p>
        </w:tc>
      </w:tr>
      <w:tr>
        <w:tc>
          <w:tcPr>
            <w:tcW w:type="dxa" w:w="2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Insurance (NAIC)</w:t>
            </w:r>
          </w:p>
        </w:tc>
        <w:tc>
          <w:tcPr>
            <w:tcW w:type="dxa" w:w="67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Annual DR exercise documented, business continuity plan, risk assessment</w:t>
            </w:r>
          </w:p>
        </w:tc>
      </w:tr>
      <w:tr>
        <w:tc>
          <w:tcPr>
            <w:tcW w:type="dxa" w:w="2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Energy (NERC CIP)</w:t>
            </w:r>
          </w:p>
        </w:tc>
        <w:tc>
          <w:tcPr>
            <w:tcW w:type="dxa" w:w="67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Critical infrastructure protection, isolated networks, specific recovery times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16"/>
              <w:bottom w:val="single" w:color="B91C1C" w:sz="4"/>
              <w:right w:val="single" w:color="B91C1C" w:sz="4"/>
            </w:tcBorders>
            <w:shd w:fill="FEF2F2" w:val="clear"/>
            <w:tcMar>
              <w:top w:type="dxa" w:w="140"/>
              <w:left w:type="dxa" w:w="240"/>
              <w:bottom w:type="dxa" w:w="140"/>
              <w:right w:type="dxa" w:w="200"/>
            </w:tcMar>
          </w:tcPr>
          <w:p>
            <w:pPr>
              <w:spacing w:after="80"/>
            </w:pPr>
            <w:r>
              <w:rPr>
                <w:rFonts w:ascii="Arial" w:cs="Arial" w:eastAsia="Arial" w:hAnsi="Arial"/>
                <w:b/>
                <w:bCs/>
                <w:color w:val="B91C1C"/>
                <w:sz w:val="20"/>
                <w:szCs w:val="20"/>
              </w:rPr>
              <w:t xml:space="preserve">INTERVIEW TRAP</w:t>
            </w:r>
          </w:p>
          <w:p>
            <w:pPr>
              <w:spacing w:line="280"/>
            </w:pPr>
            <w:r>
              <w:rPr>
                <w:rFonts w:ascii="Arial" w:cs="Arial" w:eastAsia="Arial" w:hAnsi="Arial"/>
                <w:color w:val="2D3748"/>
                <w:sz w:val="24"/>
                <w:szCs w:val="24"/>
              </w:rPr>
              <w:t xml:space="preserve">Always ask: 'What compliance frameworks apply to this data?' BEFORE recommending architecture. Recommending an architecture that violates regulatory requirements is a credibility-destroying mistake.</w:t>
            </w:r>
          </w:p>
        </w:tc>
      </w:tr>
    </w:tbl>
    <w:p>
      <w:r>
        <w:br w:type="page"/>
      </w:r>
    </w:p>
    <w:p>
      <w:pPr>
        <w:pStyle w:val="Heading2"/>
        <w:spacing w:after="140" w:before="280"/>
      </w:pPr>
      <w:r>
        <w:rPr>
          <w:rFonts w:ascii="Arial" w:cs="Arial" w:eastAsia="Arial" w:hAnsi="Arial"/>
          <w:b/>
          <w:bCs/>
          <w:color w:val="2C7873"/>
          <w:sz w:val="28"/>
          <w:szCs w:val="28"/>
        </w:rPr>
        <w:t xml:space="preserve">8.5 — Decision Tree: Which Hybrid Pattern?</w:t>
      </w:r>
    </w:p>
    <w:p>
      <w:pPr>
        <w:spacing w:after="120" w:before="0" w:line="300"/>
        <w:jc w:val="left"/>
      </w:pPr>
      <w:r>
        <w:rPr>
          <w:rFonts w:ascii="Arial" w:cs="Arial" w:eastAsia="Arial" w:hAnsi="Arial"/>
          <w:b w:val="false"/>
          <w:bCs w:val="false"/>
          <w:i w:val="false"/>
          <w:iCs w:val="false"/>
          <w:color w:val="2D3748"/>
          <w:sz w:val="24"/>
          <w:szCs w:val="24"/>
        </w:rPr>
        <w:t xml:space="preserve">Given a hybrid scenario (on-prem to Azure), which pattern fits?</w:t>
      </w:r>
    </w:p>
    <w:p>
      <w:r>
        <w:t xml:space="preserve"/>
      </w:r>
    </w:p>
    <w:p>
      <w:pPr>
        <w:pStyle w:val="ListParagraph"/>
        <w:numPr>
          <w:ilvl w:val="0"/>
          <w:numId w:val="2"/>
        </w:numPr>
        <w:spacing w:after="80" w:line="280"/>
      </w:pPr>
      <w:r>
        <w:rPr>
          <w:rFonts w:ascii="Arial" w:cs="Arial" w:eastAsia="Arial" w:hAnsi="Arial"/>
          <w:color w:val="2D3748"/>
          <w:sz w:val="24"/>
          <w:szCs w:val="24"/>
        </w:rPr>
        <w:t xml:space="preserve">Q1: Need real-time bidirectional? → MI Link</w:t>
      </w:r>
    </w:p>
    <w:p>
      <w:pPr>
        <w:pStyle w:val="ListParagraph"/>
        <w:numPr>
          <w:ilvl w:val="0"/>
          <w:numId w:val="2"/>
        </w:numPr>
        <w:spacing w:after="80" w:line="280"/>
      </w:pPr>
      <w:r>
        <w:rPr>
          <w:rFonts w:ascii="Arial" w:cs="Arial" w:eastAsia="Arial" w:hAnsi="Arial"/>
          <w:color w:val="2D3748"/>
          <w:sz w:val="24"/>
          <w:szCs w:val="24"/>
        </w:rPr>
        <w:t xml:space="preserve">Q2: One-time migration with downtime OK? → Backup to URL → Restore on MI</w:t>
      </w:r>
    </w:p>
    <w:p>
      <w:pPr>
        <w:pStyle w:val="ListParagraph"/>
        <w:numPr>
          <w:ilvl w:val="0"/>
          <w:numId w:val="2"/>
        </w:numPr>
        <w:spacing w:after="80" w:line="280"/>
      </w:pPr>
      <w:r>
        <w:rPr>
          <w:rFonts w:ascii="Arial" w:cs="Arial" w:eastAsia="Arial" w:hAnsi="Arial"/>
          <w:color w:val="2D3748"/>
          <w:sz w:val="24"/>
          <w:szCs w:val="24"/>
        </w:rPr>
        <w:t xml:space="preserve">Q3: Multi-database with schema validation needed? → DMS</w:t>
      </w:r>
    </w:p>
    <w:p>
      <w:pPr>
        <w:pStyle w:val="ListParagraph"/>
        <w:numPr>
          <w:ilvl w:val="0"/>
          <w:numId w:val="2"/>
        </w:numPr>
        <w:spacing w:after="80" w:line="280"/>
      </w:pPr>
      <w:r>
        <w:rPr>
          <w:rFonts w:ascii="Arial" w:cs="Arial" w:eastAsia="Arial" w:hAnsi="Arial"/>
          <w:color w:val="2D3748"/>
          <w:sz w:val="24"/>
          <w:szCs w:val="24"/>
        </w:rPr>
        <w:t xml:space="preserve">Q4: Need cross-version migration (e.g., SQL 2014 to MI)? → DMS or Log Shipping then upgrade</w:t>
      </w:r>
    </w:p>
    <w:p>
      <w:pPr>
        <w:pStyle w:val="ListParagraph"/>
        <w:numPr>
          <w:ilvl w:val="0"/>
          <w:numId w:val="2"/>
        </w:numPr>
        <w:spacing w:after="80" w:line="280"/>
      </w:pPr>
      <w:r>
        <w:rPr>
          <w:rFonts w:ascii="Arial" w:cs="Arial" w:eastAsia="Arial" w:hAnsi="Arial"/>
          <w:color w:val="2D3748"/>
          <w:sz w:val="24"/>
          <w:szCs w:val="24"/>
        </w:rPr>
        <w:t xml:space="preserve">Q5: Want full IaaS control? → Hybrid AG to Azure VM</w:t>
      </w:r>
    </w:p>
    <w:p>
      <w:pPr>
        <w:pStyle w:val="ListParagraph"/>
        <w:numPr>
          <w:ilvl w:val="0"/>
          <w:numId w:val="2"/>
        </w:numPr>
        <w:spacing w:after="80" w:line="280"/>
      </w:pPr>
      <w:r>
        <w:rPr>
          <w:rFonts w:ascii="Arial" w:cs="Arial" w:eastAsia="Arial" w:hAnsi="Arial"/>
          <w:color w:val="2D3748"/>
          <w:sz w:val="24"/>
          <w:szCs w:val="24"/>
        </w:rPr>
        <w:t xml:space="preserve">Q6: Standard Edition source, simple needs? → Log Shipping to Azure VM</w:t>
      </w:r>
    </w:p>
    <w:p>
      <w:r>
        <w:t xml:space="preserve"/>
      </w:r>
    </w:p>
    <w:p>
      <w:pPr>
        <w:pStyle w:val="Heading3"/>
        <w:spacing w:after="100" w:before="200"/>
      </w:pPr>
      <w:r>
        <w:rPr>
          <w:rFonts w:ascii="Arial" w:cs="Arial" w:eastAsia="Arial" w:hAnsi="Arial"/>
          <w:b/>
          <w:bCs/>
          <w:color w:val="4A5568"/>
          <w:sz w:val="26"/>
          <w:szCs w:val="26"/>
        </w:rPr>
        <w:t xml:space="preserve">Quick decision flowchart</w:t>
      </w:r>
    </w:p>
    <w:p>
      <w:pPr>
        <w:pStyle w:val="ListParagraph"/>
        <w:numPr>
          <w:ilvl w:val="0"/>
          <w:numId w:val="2"/>
        </w:numPr>
        <w:spacing w:after="80" w:line="280"/>
      </w:pPr>
      <w:r>
        <w:rPr>
          <w:rFonts w:ascii="Arial" w:cs="Arial" w:eastAsia="Arial" w:hAnsi="Arial"/>
          <w:color w:val="2D3748"/>
          <w:sz w:val="24"/>
          <w:szCs w:val="24"/>
        </w:rPr>
        <w:t xml:space="preserve">Need ongoing replication? → MI Link (if SQL 2022+) or Hybrid AG (if older)</w:t>
      </w:r>
    </w:p>
    <w:p>
      <w:pPr>
        <w:pStyle w:val="ListParagraph"/>
        <w:numPr>
          <w:ilvl w:val="0"/>
          <w:numId w:val="2"/>
        </w:numPr>
        <w:spacing w:after="80" w:line="280"/>
      </w:pPr>
      <w:r>
        <w:rPr>
          <w:rFonts w:ascii="Arial" w:cs="Arial" w:eastAsia="Arial" w:hAnsi="Arial"/>
          <w:color w:val="2D3748"/>
          <w:sz w:val="24"/>
          <w:szCs w:val="24"/>
        </w:rPr>
        <w:t xml:space="preserve">One-time only? → Backup to URL (if simple) or DMS (if complex)</w:t>
      </w:r>
    </w:p>
    <w:p>
      <w:pPr>
        <w:pStyle w:val="ListParagraph"/>
        <w:numPr>
          <w:ilvl w:val="0"/>
          <w:numId w:val="2"/>
        </w:numPr>
        <w:spacing w:after="80" w:line="280"/>
      </w:pPr>
      <w:r>
        <w:rPr>
          <w:rFonts w:ascii="Arial" w:cs="Arial" w:eastAsia="Arial" w:hAnsi="Arial"/>
          <w:color w:val="2D3748"/>
          <w:sz w:val="24"/>
          <w:szCs w:val="24"/>
        </w:rPr>
        <w:t xml:space="preserve">Need bidirectional? → MI Link only (others are unidirectional)</w:t>
      </w:r>
    </w:p>
    <w:p>
      <w:pPr>
        <w:pStyle w:val="ListParagraph"/>
        <w:numPr>
          <w:ilvl w:val="0"/>
          <w:numId w:val="2"/>
        </w:numPr>
        <w:spacing w:after="80" w:line="280"/>
      </w:pPr>
      <w:r>
        <w:rPr>
          <w:rFonts w:ascii="Arial" w:cs="Arial" w:eastAsia="Arial" w:hAnsi="Arial"/>
          <w:color w:val="2D3748"/>
          <w:sz w:val="24"/>
          <w:szCs w:val="24"/>
        </w:rPr>
        <w:t xml:space="preserve">Need to keep on-prem long-term? → Hybrid AG or MI Link as ongoing DR</w:t>
      </w:r>
    </w:p>
    <w:p>
      <w:r>
        <w:br w:type="page"/>
      </w:r>
    </w:p>
    <w:p>
      <w:pPr>
        <w:pStyle w:val="Heading1"/>
        <w:spacing w:after="180" w:before="360"/>
      </w:pPr>
      <w:r>
        <w:rPr>
          <w:rFonts w:ascii="Arial" w:cs="Arial" w:eastAsia="Arial" w:hAnsi="Arial"/>
          <w:b/>
          <w:bCs/>
          <w:color w:val="1F3A5F"/>
          <w:sz w:val="36"/>
          <w:szCs w:val="36"/>
        </w:rPr>
        <w:t xml:space="preserve">Part 9 — Real-World Scenarios</w:t>
      </w:r>
    </w:p>
    <w:p>
      <w:pPr>
        <w:spacing w:after="120" w:before="0" w:line="300"/>
        <w:jc w:val="left"/>
      </w:pPr>
      <w:r>
        <w:rPr>
          <w:rFonts w:ascii="Arial" w:cs="Arial" w:eastAsia="Arial" w:hAnsi="Arial"/>
          <w:b w:val="false"/>
          <w:bCs w:val="false"/>
          <w:i w:val="false"/>
          <w:iCs w:val="false"/>
          <w:color w:val="2D3748"/>
          <w:sz w:val="24"/>
          <w:szCs w:val="24"/>
        </w:rPr>
        <w:t xml:space="preserve">Each scenario below can be told as a STAR-method story (Situation, Task, Action, Result). Use them as templates. Adapt the details to your actual experience where you can.</w:t>
      </w:r>
    </w:p>
    <w:p>
      <w:r>
        <w:t xml:space="preserve"/>
      </w:r>
    </w:p>
    <w:p>
      <w:pPr>
        <w:pStyle w:val="Heading2"/>
        <w:spacing w:after="140" w:before="280"/>
      </w:pPr>
      <w:r>
        <w:rPr>
          <w:rFonts w:ascii="Arial" w:cs="Arial" w:eastAsia="Arial" w:hAnsi="Arial"/>
          <w:b/>
          <w:bCs/>
          <w:color w:val="2C7873"/>
          <w:sz w:val="28"/>
          <w:szCs w:val="28"/>
        </w:rPr>
        <w:t xml:space="preserve">9.1 — Scenario: The Quorum Vulnerability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BANKING SCENARIO</w:t>
            </w:r>
          </w:p>
          <w:p>
            <w:pPr>
              <w:spacing w:line="280"/>
            </w:pPr>
            <w:r>
              <w:rPr>
                <w:rFonts w:ascii="Arial" w:cs="Arial" w:eastAsia="Arial" w:hAnsi="Arial"/>
                <w:color w:val="2D3748"/>
                <w:sz w:val="24"/>
                <w:szCs w:val="24"/>
              </w:rPr>
              <w:t xml:space="preserve">A 2-node SQL Always On Availability Group running in production. No witness. Both nodes in the same cluster. The network team scheduled a Saturday cleanup that involved disconnecting and reconnecting cross-rack network cables. Mid-procedure, a side-effect: the heartbeat between Node1 and Node2 was severed for several minutes.</w:t>
            </w:r>
          </w:p>
        </w:tc>
      </w:tr>
    </w:tbl>
    <w:p>
      <w:r>
        <w:t xml:space="preserve"/>
      </w:r>
    </w:p>
    <w:p>
      <w:pPr>
        <w:pStyle w:val="Heading3"/>
        <w:spacing w:after="100" w:before="200"/>
      </w:pPr>
      <w:r>
        <w:rPr>
          <w:rFonts w:ascii="Arial" w:cs="Arial" w:eastAsia="Arial" w:hAnsi="Arial"/>
          <w:b/>
          <w:bCs/>
          <w:color w:val="4A5568"/>
          <w:sz w:val="26"/>
          <w:szCs w:val="26"/>
        </w:rPr>
        <w:t xml:space="preserve">STAR breakdown</w:t>
      </w:r>
    </w:p>
    <w:p>
      <w:pPr>
        <w:pStyle w:val="ListParagraph"/>
        <w:numPr>
          <w:ilvl w:val="0"/>
          <w:numId w:val="2"/>
        </w:numPr>
        <w:spacing w:after="80" w:line="280"/>
      </w:pPr>
      <w:r>
        <w:rPr>
          <w:rFonts w:ascii="Arial" w:cs="Arial" w:eastAsia="Arial" w:hAnsi="Arial"/>
          <w:color w:val="2D3748"/>
          <w:sz w:val="24"/>
          <w:szCs w:val="24"/>
        </w:rPr>
        <w:t xml:space="preserve">Situation: 2-node AG in production, no witness, network maintenance window.</w:t>
      </w:r>
    </w:p>
    <w:p>
      <w:pPr>
        <w:pStyle w:val="ListParagraph"/>
        <w:numPr>
          <w:ilvl w:val="0"/>
          <w:numId w:val="2"/>
        </w:numPr>
        <w:spacing w:after="80" w:line="280"/>
      </w:pPr>
      <w:r>
        <w:rPr>
          <w:rFonts w:ascii="Arial" w:cs="Arial" w:eastAsia="Arial" w:hAnsi="Arial"/>
          <w:color w:val="2D3748"/>
          <w:sz w:val="24"/>
          <w:szCs w:val="24"/>
        </w:rPr>
        <w:t xml:space="preserve">Task: Identify the latent risk and remediate before it becomes a production outage.</w:t>
      </w:r>
    </w:p>
    <w:p>
      <w:pPr>
        <w:pStyle w:val="ListParagraph"/>
        <w:numPr>
          <w:ilvl w:val="0"/>
          <w:numId w:val="2"/>
        </w:numPr>
        <w:spacing w:after="80" w:line="280"/>
      </w:pPr>
      <w:r>
        <w:rPr>
          <w:rFonts w:ascii="Arial" w:cs="Arial" w:eastAsia="Arial" w:hAnsi="Arial"/>
          <w:color w:val="2D3748"/>
          <w:sz w:val="24"/>
          <w:szCs w:val="24"/>
        </w:rPr>
        <w:t xml:space="preserve">Action: Audited the cluster configuration, identified missing witness as the primary risk. Designed a remediation plan: extend cluster from 2 to 3 nodes (adding Node3 from a separate rack), configure File Share Witness on a domain controller in a different building, build a new 3-replica AG (UshaAg22MI) to validate the corrected architecture, and document the entire process.</w:t>
      </w:r>
    </w:p>
    <w:p>
      <w:pPr>
        <w:pStyle w:val="ListParagraph"/>
        <w:numPr>
          <w:ilvl w:val="0"/>
          <w:numId w:val="2"/>
        </w:numPr>
        <w:spacing w:after="80" w:line="280"/>
      </w:pPr>
      <w:r>
        <w:rPr>
          <w:rFonts w:ascii="Arial" w:cs="Arial" w:eastAsia="Arial" w:hAnsi="Arial"/>
          <w:color w:val="2D3748"/>
          <w:sz w:val="24"/>
          <w:szCs w:val="24"/>
        </w:rPr>
        <w:t xml:space="preserve">Result: Quorum vulnerability eliminated. Cluster now survives any single failure including witness loss. Validated through controlled failover testing Node1 → Node2 → Node1, zero data loss. Created a 150-page playbook for the team to use as a reference for similar future remediations.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Why this story works: It demonstrates (1) audit/risk-assessment skill, (2) hands-on cluster work, (3) remediation discipline, (4) documentation excellence. All senior-level qualities.</w:t>
            </w:r>
          </w:p>
        </w:tc>
      </w:tr>
    </w:tbl>
    <w:p>
      <w:r>
        <w:br w:type="page"/>
      </w:r>
    </w:p>
    <w:p>
      <w:pPr>
        <w:pStyle w:val="Heading2"/>
        <w:spacing w:after="140" w:before="280"/>
      </w:pPr>
      <w:r>
        <w:rPr>
          <w:rFonts w:ascii="Arial" w:cs="Arial" w:eastAsia="Arial" w:hAnsi="Arial"/>
          <w:b/>
          <w:bCs/>
          <w:color w:val="2C7873"/>
          <w:sz w:val="28"/>
          <w:szCs w:val="28"/>
        </w:rPr>
        <w:t xml:space="preserve">9.2 — Scenario: The AlwaysUpToDate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BANKING SCENARIO</w:t>
            </w:r>
          </w:p>
          <w:p>
            <w:pPr>
              <w:spacing w:line="280"/>
            </w:pPr>
            <w:r>
              <w:rPr>
                <w:rFonts w:ascii="Arial" w:cs="Arial" w:eastAsia="Arial" w:hAnsi="Arial"/>
                <w:color w:val="2D3748"/>
                <w:sz w:val="24"/>
                <w:szCs w:val="24"/>
              </w:rPr>
              <w:t xml:space="preserve">Tasked with setting up Managed Instance Link from on-prem SQL Server 2022 (AG primary) to Azure SQL Managed Instance for hybrid HA/DR. Worked through cert exchange, dual-auth endpoint configuration, distributed AG creation. At the final wizard validation step, hit a hard error: 'database format alignment between SQL Server and SQL Managed Instance.' Investigation revealed the SQL MI had been provisioned with the AlwaysUpToDate update policy — which is irreversible per Microsoft documentation.</w:t>
            </w:r>
          </w:p>
        </w:tc>
      </w:tr>
    </w:tbl>
    <w:p>
      <w:r>
        <w:t xml:space="preserve"/>
      </w:r>
    </w:p>
    <w:p>
      <w:pPr>
        <w:pStyle w:val="Heading3"/>
        <w:spacing w:after="100" w:before="200"/>
      </w:pPr>
      <w:r>
        <w:rPr>
          <w:rFonts w:ascii="Arial" w:cs="Arial" w:eastAsia="Arial" w:hAnsi="Arial"/>
          <w:b/>
          <w:bCs/>
          <w:color w:val="4A5568"/>
          <w:sz w:val="26"/>
          <w:szCs w:val="26"/>
        </w:rPr>
        <w:t xml:space="preserve">STAR breakdown</w:t>
      </w:r>
    </w:p>
    <w:p>
      <w:pPr>
        <w:pStyle w:val="ListParagraph"/>
        <w:numPr>
          <w:ilvl w:val="0"/>
          <w:numId w:val="2"/>
        </w:numPr>
        <w:spacing w:after="80" w:line="280"/>
      </w:pPr>
      <w:r>
        <w:rPr>
          <w:rFonts w:ascii="Arial" w:cs="Arial" w:eastAsia="Arial" w:hAnsi="Arial"/>
          <w:color w:val="2D3748"/>
          <w:sz w:val="24"/>
          <w:szCs w:val="24"/>
        </w:rPr>
        <w:t xml:space="preserve">Situation: Hybrid HA/DR setup using MI Link. Three days of cert/endpoint work completed.</w:t>
      </w:r>
    </w:p>
    <w:p>
      <w:pPr>
        <w:pStyle w:val="ListParagraph"/>
        <w:numPr>
          <w:ilvl w:val="0"/>
          <w:numId w:val="2"/>
        </w:numPr>
        <w:spacing w:after="80" w:line="280"/>
      </w:pPr>
      <w:r>
        <w:rPr>
          <w:rFonts w:ascii="Arial" w:cs="Arial" w:eastAsia="Arial" w:hAnsi="Arial"/>
          <w:color w:val="2D3748"/>
          <w:sz w:val="24"/>
          <w:szCs w:val="24"/>
        </w:rPr>
        <w:t xml:space="preserve">Task: Discover root cause of validation failure and identify path forward.</w:t>
      </w:r>
    </w:p>
    <w:p>
      <w:pPr>
        <w:pStyle w:val="ListParagraph"/>
        <w:numPr>
          <w:ilvl w:val="0"/>
          <w:numId w:val="2"/>
        </w:numPr>
        <w:spacing w:after="80" w:line="280"/>
      </w:pPr>
      <w:r>
        <w:rPr>
          <w:rFonts w:ascii="Arial" w:cs="Arial" w:eastAsia="Arial" w:hAnsi="Arial"/>
          <w:color w:val="2D3748"/>
          <w:sz w:val="24"/>
          <w:szCs w:val="24"/>
        </w:rPr>
        <w:t xml:space="preserve">Action: Investigated via PowerShell — Get-AzSqlInstance | DatabaseFormat = AlwaysUpToDate. Read Microsoft Learn documentation: 'cannot be reversed.' Documented the architectural blocker fully (root cause, evidence, decision tree for path forward). Two options identified: provision new MI with explicit SQL Server 2022 update policy, OR pivot to native backup/restore demo. Created a pre-flight diagnostic script that detects this scenario in 5 seconds.</w:t>
      </w:r>
    </w:p>
    <w:p>
      <w:pPr>
        <w:pStyle w:val="ListParagraph"/>
        <w:numPr>
          <w:ilvl w:val="0"/>
          <w:numId w:val="2"/>
        </w:numPr>
        <w:spacing w:after="80" w:line="280"/>
      </w:pPr>
      <w:r>
        <w:rPr>
          <w:rFonts w:ascii="Arial" w:cs="Arial" w:eastAsia="Arial" w:hAnsi="Arial"/>
          <w:color w:val="2D3748"/>
          <w:sz w:val="24"/>
          <w:szCs w:val="24"/>
        </w:rPr>
        <w:t xml:space="preserve">Result: Saved future work hours by adding pre-flight diagnostic to standard hybrid playbook. Documented the gotcha as interview-grade learning. Gained deeper understanding of MI architecture internals (database format versioning) than docs alone teach.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Why this story works: It shows you encounter unexpected blockers in production, diagnose them properly, and create reusable artifacts to prevent the team from hitting them again. Senior interviewers love 'I learned X the hard way and built Y to prevent it.'</w:t>
            </w:r>
          </w:p>
        </w:tc>
      </w:tr>
    </w:tbl>
    <w:p>
      <w:r>
        <w:br w:type="page"/>
      </w:r>
    </w:p>
    <w:p>
      <w:pPr>
        <w:pStyle w:val="Heading2"/>
        <w:spacing w:after="140" w:before="280"/>
      </w:pPr>
      <w:r>
        <w:rPr>
          <w:rFonts w:ascii="Arial" w:cs="Arial" w:eastAsia="Arial" w:hAnsi="Arial"/>
          <w:b/>
          <w:bCs/>
          <w:color w:val="2C7873"/>
          <w:sz w:val="28"/>
          <w:szCs w:val="28"/>
        </w:rPr>
        <w:t xml:space="preserve">9.3 — Scenario: The Backup That Wasn't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BANKING SCENARIO</w:t>
            </w:r>
          </w:p>
          <w:p>
            <w:pPr>
              <w:spacing w:line="280"/>
            </w:pPr>
            <w:r>
              <w:rPr>
                <w:rFonts w:ascii="Arial" w:cs="Arial" w:eastAsia="Arial" w:hAnsi="Arial"/>
                <w:color w:val="2D3748"/>
                <w:sz w:val="24"/>
                <w:szCs w:val="24"/>
              </w:rPr>
              <w:t xml:space="preserve">A bank's nightly backup job had been running successfully for 18 months — green checkmarks, no errors, retention complete. During a quarterly DR test, the team attempted to restore from a backup file. Restore failed: file corrupt. Tried previous night's backup. Also corrupt. Tried 30 days back. Same. The backup chain had been silently failing for over a month due to a misconfigured antivirus scanning the backup files mid-write.</w:t>
            </w:r>
          </w:p>
        </w:tc>
      </w:tr>
    </w:tbl>
    <w:p>
      <w:r>
        <w:t xml:space="preserve"/>
      </w:r>
    </w:p>
    <w:p>
      <w:pPr>
        <w:pStyle w:val="Heading3"/>
        <w:spacing w:after="100" w:before="200"/>
      </w:pPr>
      <w:r>
        <w:rPr>
          <w:rFonts w:ascii="Arial" w:cs="Arial" w:eastAsia="Arial" w:hAnsi="Arial"/>
          <w:b/>
          <w:bCs/>
          <w:color w:val="4A5568"/>
          <w:sz w:val="26"/>
          <w:szCs w:val="26"/>
        </w:rPr>
        <w:t xml:space="preserve">Lessons</w:t>
      </w:r>
    </w:p>
    <w:p>
      <w:pPr>
        <w:pStyle w:val="ListParagraph"/>
        <w:numPr>
          <w:ilvl w:val="0"/>
          <w:numId w:val="2"/>
        </w:numPr>
        <w:spacing w:after="80" w:line="280"/>
      </w:pPr>
      <w:r>
        <w:rPr>
          <w:rFonts w:ascii="Arial" w:cs="Arial" w:eastAsia="Arial" w:hAnsi="Arial"/>
          <w:color w:val="2D3748"/>
          <w:sz w:val="24"/>
          <w:szCs w:val="24"/>
        </w:rPr>
        <w:t xml:space="preserve">'Successful' backup completion does not mean the file is restorable</w:t>
      </w:r>
    </w:p>
    <w:p>
      <w:pPr>
        <w:pStyle w:val="ListParagraph"/>
        <w:numPr>
          <w:ilvl w:val="0"/>
          <w:numId w:val="2"/>
        </w:numPr>
        <w:spacing w:after="80" w:line="280"/>
      </w:pPr>
      <w:r>
        <w:rPr>
          <w:rFonts w:ascii="Arial" w:cs="Arial" w:eastAsia="Arial" w:hAnsi="Arial"/>
          <w:color w:val="2D3748"/>
          <w:sz w:val="24"/>
          <w:szCs w:val="24"/>
        </w:rPr>
        <w:t xml:space="preserve">RESTORE VERIFYONLY catches some but not all corruption (especially in-flight tampering)</w:t>
      </w:r>
    </w:p>
    <w:p>
      <w:pPr>
        <w:pStyle w:val="ListParagraph"/>
        <w:numPr>
          <w:ilvl w:val="0"/>
          <w:numId w:val="2"/>
        </w:numPr>
        <w:spacing w:after="80" w:line="280"/>
      </w:pPr>
      <w:r>
        <w:rPr>
          <w:rFonts w:ascii="Arial" w:cs="Arial" w:eastAsia="Arial" w:hAnsi="Arial"/>
          <w:color w:val="2D3748"/>
          <w:sz w:val="24"/>
          <w:szCs w:val="24"/>
        </w:rPr>
        <w:t xml:space="preserve">Antivirus must NEVER scan SQL backup directories without exclusion</w:t>
      </w:r>
    </w:p>
    <w:p>
      <w:pPr>
        <w:pStyle w:val="ListParagraph"/>
        <w:numPr>
          <w:ilvl w:val="0"/>
          <w:numId w:val="2"/>
        </w:numPr>
        <w:spacing w:after="80" w:line="280"/>
      </w:pPr>
      <w:r>
        <w:rPr>
          <w:rFonts w:ascii="Arial" w:cs="Arial" w:eastAsia="Arial" w:hAnsi="Arial"/>
          <w:color w:val="2D3748"/>
          <w:sz w:val="24"/>
          <w:szCs w:val="24"/>
        </w:rPr>
        <w:t xml:space="preserve">Test restore is the only way to truly verify backup integrity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"How do you prevent this?" Answer: "Three controls. First, backup directory exclusion in antivirus — non-negotiable. Second, RESTORE VERIFYONLY immediately after every backup completion — catches obvious corruption. Third and most important: monthly automated test restore to a sandbox SQL instance. Restore the latest backup, run a row count check on key tables, drop the sandbox DB. This catches problems within 30 days, not 18 months later."</w:t>
            </w:r>
          </w:p>
        </w:tc>
      </w:tr>
    </w:tbl>
    <w:p>
      <w:r>
        <w:br w:type="page"/>
      </w:r>
    </w:p>
    <w:p>
      <w:pPr>
        <w:pStyle w:val="Heading2"/>
        <w:spacing w:after="140" w:before="280"/>
      </w:pPr>
      <w:r>
        <w:rPr>
          <w:rFonts w:ascii="Arial" w:cs="Arial" w:eastAsia="Arial" w:hAnsi="Arial"/>
          <w:b/>
          <w:bCs/>
          <w:color w:val="2C7873"/>
          <w:sz w:val="28"/>
          <w:szCs w:val="28"/>
        </w:rPr>
        <w:t xml:space="preserve">9.4 — Scenario: The 14-Hour Failover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BANKING SCENARIO</w:t>
            </w:r>
          </w:p>
          <w:p>
            <w:pPr>
              <w:spacing w:line="280"/>
            </w:pPr>
            <w:r>
              <w:rPr>
                <w:rFonts w:ascii="Arial" w:cs="Arial" w:eastAsia="Arial" w:hAnsi="Arial"/>
                <w:color w:val="2D3748"/>
                <w:sz w:val="24"/>
                <w:szCs w:val="24"/>
              </w:rPr>
              <w:t xml:space="preserve">A retailer's primary SQL went offline due to hardware failure. The manual failover procedure was supposed to take 30 minutes — fail over to the standby, update connection strings, validate. Instead, the on-call DBA spent 14 hours bringing the system back. Why? The failover procedure existed, but had never been tested. The DBA hit unexpected steps that weren't documented (DNS TTL too long for fast cutover, secondary's tempdb on wrong drive, application connection pool didn't refresh, etc.).</w:t>
            </w:r>
          </w:p>
        </w:tc>
      </w:tr>
    </w:tbl>
    <w:p>
      <w:r>
        <w:t xml:space="preserve"/>
      </w:r>
    </w:p>
    <w:p>
      <w:pPr>
        <w:pStyle w:val="Heading3"/>
        <w:spacing w:after="100" w:before="200"/>
      </w:pPr>
      <w:r>
        <w:rPr>
          <w:rFonts w:ascii="Arial" w:cs="Arial" w:eastAsia="Arial" w:hAnsi="Arial"/>
          <w:b/>
          <w:bCs/>
          <w:color w:val="4A5568"/>
          <w:sz w:val="26"/>
          <w:szCs w:val="26"/>
        </w:rPr>
        <w:t xml:space="preserve">Lessons</w:t>
      </w:r>
    </w:p>
    <w:p>
      <w:pPr>
        <w:pStyle w:val="ListParagraph"/>
        <w:numPr>
          <w:ilvl w:val="0"/>
          <w:numId w:val="2"/>
        </w:numPr>
        <w:spacing w:after="80" w:line="280"/>
      </w:pPr>
      <w:r>
        <w:rPr>
          <w:rFonts w:ascii="Arial" w:cs="Arial" w:eastAsia="Arial" w:hAnsi="Arial"/>
          <w:color w:val="2D3748"/>
          <w:sz w:val="24"/>
          <w:szCs w:val="24"/>
        </w:rPr>
        <w:t xml:space="preserve">Untested DR is just hope</w:t>
      </w:r>
    </w:p>
    <w:p>
      <w:pPr>
        <w:pStyle w:val="ListParagraph"/>
        <w:numPr>
          <w:ilvl w:val="0"/>
          <w:numId w:val="2"/>
        </w:numPr>
        <w:spacing w:after="80" w:line="280"/>
      </w:pPr>
      <w:r>
        <w:rPr>
          <w:rFonts w:ascii="Arial" w:cs="Arial" w:eastAsia="Arial" w:hAnsi="Arial"/>
          <w:color w:val="2D3748"/>
          <w:sz w:val="24"/>
          <w:szCs w:val="24"/>
        </w:rPr>
        <w:t xml:space="preserve">First-time execution under pressure ALWAYS reveals gaps</w:t>
      </w:r>
    </w:p>
    <w:p>
      <w:pPr>
        <w:pStyle w:val="ListParagraph"/>
        <w:numPr>
          <w:ilvl w:val="0"/>
          <w:numId w:val="2"/>
        </w:numPr>
        <w:spacing w:after="80" w:line="280"/>
      </w:pPr>
      <w:r>
        <w:rPr>
          <w:rFonts w:ascii="Arial" w:cs="Arial" w:eastAsia="Arial" w:hAnsi="Arial"/>
          <w:color w:val="2D3748"/>
          <w:sz w:val="24"/>
          <w:szCs w:val="24"/>
        </w:rPr>
        <w:t xml:space="preserve">Rehearse before the disaster, not during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"How often should we test DR?" Answer: "Tabletop walk-throughs quarterly to keep familiarity. Component tests monthly to validate individual pieces. Partial DR exercise twice a year. Full DR exercise annually. The full annual exercise is the only one that catches integration gaps. Most organizations skip it because it requires a maintenance window — which is exactly why most organizations fail their first real DR."</w:t>
            </w:r>
          </w:p>
        </w:tc>
      </w:tr>
    </w:tbl>
    <w:p>
      <w:r>
        <w:br w:type="page"/>
      </w:r>
    </w:p>
    <w:p>
      <w:pPr>
        <w:pStyle w:val="Heading2"/>
        <w:spacing w:after="140" w:before="280"/>
      </w:pPr>
      <w:r>
        <w:rPr>
          <w:rFonts w:ascii="Arial" w:cs="Arial" w:eastAsia="Arial" w:hAnsi="Arial"/>
          <w:b/>
          <w:bCs/>
          <w:color w:val="2C7873"/>
          <w:sz w:val="28"/>
          <w:szCs w:val="28"/>
        </w:rPr>
        <w:t xml:space="preserve">9.5 — Scenario: The Ransomware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BANKING SCENARIO</w:t>
            </w:r>
          </w:p>
          <w:p>
            <w:pPr>
              <w:spacing w:line="280"/>
            </w:pPr>
            <w:r>
              <w:rPr>
                <w:rFonts w:ascii="Arial" w:cs="Arial" w:eastAsia="Arial" w:hAnsi="Arial"/>
                <w:color w:val="2D3748"/>
                <w:sz w:val="24"/>
                <w:szCs w:val="24"/>
              </w:rPr>
              <w:t xml:space="preserve">A healthcare provider's network was breached. Attackers spent 6 weeks navigating internal systems before deploying ransomware. They specifically targeted backup infrastructure, encrypting backup files for the past 4 weeks. When the ransomware fired, the live database AND 4 weeks of backups were encrypted simultaneously. The org had to negotiate with attackers and lost 4 weeks of patient data.</w:t>
            </w:r>
          </w:p>
        </w:tc>
      </w:tr>
    </w:tbl>
    <w:p>
      <w:r>
        <w:t xml:space="preserve"/>
      </w:r>
    </w:p>
    <w:p>
      <w:pPr>
        <w:pStyle w:val="Heading3"/>
        <w:spacing w:after="100" w:before="200"/>
      </w:pPr>
      <w:r>
        <w:rPr>
          <w:rFonts w:ascii="Arial" w:cs="Arial" w:eastAsia="Arial" w:hAnsi="Arial"/>
          <w:b/>
          <w:bCs/>
          <w:color w:val="4A5568"/>
          <w:sz w:val="26"/>
          <w:szCs w:val="26"/>
        </w:rPr>
        <w:t xml:space="preserve">How this would have been prevented</w:t>
      </w:r>
    </w:p>
    <w:p>
      <w:pPr>
        <w:pStyle w:val="ListParagraph"/>
        <w:numPr>
          <w:ilvl w:val="0"/>
          <w:numId w:val="2"/>
        </w:numPr>
        <w:spacing w:after="80" w:line="280"/>
      </w:pPr>
      <w:r>
        <w:rPr>
          <w:rFonts w:ascii="Arial" w:cs="Arial" w:eastAsia="Arial" w:hAnsi="Arial"/>
          <w:color w:val="2D3748"/>
          <w:sz w:val="24"/>
          <w:szCs w:val="24"/>
        </w:rPr>
        <w:t xml:space="preserve">Immutable backups (WORM storage) — attackers cannot encrypt files locked by retention policy</w:t>
      </w:r>
    </w:p>
    <w:p>
      <w:pPr>
        <w:pStyle w:val="ListParagraph"/>
        <w:numPr>
          <w:ilvl w:val="0"/>
          <w:numId w:val="2"/>
        </w:numPr>
        <w:spacing w:after="80" w:line="280"/>
      </w:pPr>
      <w:r>
        <w:rPr>
          <w:rFonts w:ascii="Arial" w:cs="Arial" w:eastAsia="Arial" w:hAnsi="Arial"/>
          <w:color w:val="2D3748"/>
          <w:sz w:val="24"/>
          <w:szCs w:val="24"/>
        </w:rPr>
        <w:t xml:space="preserve">Off-site backup copies — attacker can't reach backups in different network/cloud</w:t>
      </w:r>
    </w:p>
    <w:p>
      <w:pPr>
        <w:pStyle w:val="ListParagraph"/>
        <w:numPr>
          <w:ilvl w:val="0"/>
          <w:numId w:val="2"/>
        </w:numPr>
        <w:spacing w:after="80" w:line="280"/>
      </w:pPr>
      <w:r>
        <w:rPr>
          <w:rFonts w:ascii="Arial" w:cs="Arial" w:eastAsia="Arial" w:hAnsi="Arial"/>
          <w:color w:val="2D3748"/>
          <w:sz w:val="24"/>
          <w:szCs w:val="24"/>
        </w:rPr>
        <w:t xml:space="preserve">Privileged access management — attackers needed admin to reach backup infrastructure</w:t>
      </w:r>
    </w:p>
    <w:p>
      <w:pPr>
        <w:pStyle w:val="ListParagraph"/>
        <w:numPr>
          <w:ilvl w:val="0"/>
          <w:numId w:val="2"/>
        </w:numPr>
        <w:spacing w:after="80" w:line="280"/>
      </w:pPr>
      <w:r>
        <w:rPr>
          <w:rFonts w:ascii="Arial" w:cs="Arial" w:eastAsia="Arial" w:hAnsi="Arial"/>
          <w:color w:val="2D3748"/>
          <w:sz w:val="24"/>
          <w:szCs w:val="24"/>
        </w:rPr>
        <w:t xml:space="preserve">Detection capabilities — 6 weeks of intrusion went unnoticed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Modern backup strategy MUST include immutability for ransomware defense. Even if attackers gain admin credentials, immutable backups cannot be modified or deleted until the retention period expires. This is mandatory in financial services and healthcare in 2026 — and increasingly common elsewhere.</w:t>
            </w:r>
          </w:p>
        </w:tc>
      </w:tr>
    </w:tbl>
    <w:p>
      <w:r>
        <w:br w:type="page"/>
      </w:r>
    </w:p>
    <w:p>
      <w:pPr>
        <w:pStyle w:val="Heading2"/>
        <w:spacing w:after="140" w:before="280"/>
      </w:pPr>
      <w:r>
        <w:rPr>
          <w:rFonts w:ascii="Arial" w:cs="Arial" w:eastAsia="Arial" w:hAnsi="Arial"/>
          <w:b/>
          <w:bCs/>
          <w:color w:val="2C7873"/>
          <w:sz w:val="28"/>
          <w:szCs w:val="28"/>
        </w:rPr>
        <w:t xml:space="preserve">9.6 — Scenario: Multi-Region Active-Active Banking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BANKING SCENARIO</w:t>
            </w:r>
          </w:p>
          <w:p>
            <w:pPr>
              <w:spacing w:line="280"/>
            </w:pPr>
            <w:r>
              <w:rPr>
                <w:rFonts w:ascii="Arial" w:cs="Arial" w:eastAsia="Arial" w:hAnsi="Arial"/>
                <w:color w:val="2D3748"/>
                <w:sz w:val="24"/>
                <w:szCs w:val="24"/>
              </w:rPr>
              <w:t xml:space="preserve">A retail bank wanted true 24/7 availability — every transaction, every customer, every ATM, no exceptions, ever. Built using multi-region active-active design with sophisticated conflict resolution.</w:t>
            </w:r>
          </w:p>
        </w:tc>
      </w:tr>
    </w:tbl>
    <w:p>
      <w:r>
        <w:t xml:space="preserve"/>
      </w:r>
    </w:p>
    <w:p>
      <w:pPr>
        <w:pStyle w:val="Heading3"/>
        <w:spacing w:after="100" w:before="200"/>
      </w:pPr>
      <w:r>
        <w:rPr>
          <w:rFonts w:ascii="Arial" w:cs="Arial" w:eastAsia="Arial" w:hAnsi="Arial"/>
          <w:b/>
          <w:bCs/>
          <w:color w:val="4A5568"/>
          <w:sz w:val="26"/>
          <w:szCs w:val="26"/>
        </w:rPr>
        <w:t xml:space="preserve">Architecture</w:t>
      </w:r>
    </w:p>
    <w:p>
      <w:pPr>
        <w:pStyle w:val="ListParagraph"/>
        <w:numPr>
          <w:ilvl w:val="0"/>
          <w:numId w:val="2"/>
        </w:numPr>
        <w:spacing w:after="80" w:line="280"/>
      </w:pPr>
      <w:r>
        <w:rPr>
          <w:rFonts w:ascii="Arial" w:cs="Arial" w:eastAsia="Arial" w:hAnsi="Arial"/>
          <w:color w:val="2D3748"/>
          <w:sz w:val="24"/>
          <w:szCs w:val="24"/>
        </w:rPr>
        <w:t xml:space="preserve">Two Azure regions (primary East US, secondary West US 2)</w:t>
      </w:r>
    </w:p>
    <w:p>
      <w:pPr>
        <w:pStyle w:val="ListParagraph"/>
        <w:numPr>
          <w:ilvl w:val="0"/>
          <w:numId w:val="2"/>
        </w:numPr>
        <w:spacing w:after="80" w:line="280"/>
      </w:pPr>
      <w:r>
        <w:rPr>
          <w:rFonts w:ascii="Arial" w:cs="Arial" w:eastAsia="Arial" w:hAnsi="Arial"/>
          <w:color w:val="2D3748"/>
          <w:sz w:val="24"/>
          <w:szCs w:val="24"/>
        </w:rPr>
        <w:t xml:space="preserve">Each region runs SQL MI with Business Critical tier (zone-redundant)</w:t>
      </w:r>
    </w:p>
    <w:p>
      <w:pPr>
        <w:pStyle w:val="ListParagraph"/>
        <w:numPr>
          <w:ilvl w:val="0"/>
          <w:numId w:val="2"/>
        </w:numPr>
        <w:spacing w:after="80" w:line="280"/>
      </w:pPr>
      <w:r>
        <w:rPr>
          <w:rFonts w:ascii="Arial" w:cs="Arial" w:eastAsia="Arial" w:hAnsi="Arial"/>
          <w:color w:val="2D3748"/>
          <w:sz w:val="24"/>
          <w:szCs w:val="24"/>
        </w:rPr>
        <w:t xml:space="preserve">Failover Group between regions for cross-region DR</w:t>
      </w:r>
    </w:p>
    <w:p>
      <w:pPr>
        <w:pStyle w:val="ListParagraph"/>
        <w:numPr>
          <w:ilvl w:val="0"/>
          <w:numId w:val="2"/>
        </w:numPr>
        <w:spacing w:after="80" w:line="280"/>
      </w:pPr>
      <w:r>
        <w:rPr>
          <w:rFonts w:ascii="Arial" w:cs="Arial" w:eastAsia="Arial" w:hAnsi="Arial"/>
          <w:color w:val="2D3748"/>
          <w:sz w:val="24"/>
          <w:szCs w:val="24"/>
        </w:rPr>
        <w:t xml:space="preserve">Application layer routing based on customer geographic region</w:t>
      </w:r>
    </w:p>
    <w:p>
      <w:pPr>
        <w:pStyle w:val="ListParagraph"/>
        <w:numPr>
          <w:ilvl w:val="0"/>
          <w:numId w:val="2"/>
        </w:numPr>
        <w:spacing w:after="80" w:line="280"/>
      </w:pPr>
      <w:r>
        <w:rPr>
          <w:rFonts w:ascii="Arial" w:cs="Arial" w:eastAsia="Arial" w:hAnsi="Arial"/>
          <w:color w:val="2D3748"/>
          <w:sz w:val="24"/>
          <w:szCs w:val="24"/>
        </w:rPr>
        <w:t xml:space="preserve">Conflict resolution layer in application — last-write-wins for non-financial, manual review for financial</w:t>
      </w:r>
    </w:p>
    <w:p>
      <w:pPr>
        <w:pStyle w:val="ListParagraph"/>
        <w:numPr>
          <w:ilvl w:val="0"/>
          <w:numId w:val="2"/>
        </w:numPr>
        <w:spacing w:after="80" w:line="280"/>
      </w:pPr>
      <w:r>
        <w:rPr>
          <w:rFonts w:ascii="Arial" w:cs="Arial" w:eastAsia="Arial" w:hAnsi="Arial"/>
          <w:color w:val="2D3748"/>
          <w:sz w:val="24"/>
          <w:szCs w:val="24"/>
        </w:rPr>
        <w:t xml:space="preserve">Read scale-out via geo-secondary's read-only listener</w:t>
      </w:r>
    </w:p>
    <w:p>
      <w:r>
        <w:t xml:space="preserve"/>
      </w:r>
    </w:p>
    <w:p>
      <w:pPr>
        <w:pStyle w:val="Heading3"/>
        <w:spacing w:after="100" w:before="200"/>
      </w:pPr>
      <w:r>
        <w:rPr>
          <w:rFonts w:ascii="Arial" w:cs="Arial" w:eastAsia="Arial" w:hAnsi="Arial"/>
          <w:b/>
          <w:bCs/>
          <w:color w:val="4A5568"/>
          <w:sz w:val="26"/>
          <w:szCs w:val="26"/>
        </w:rPr>
        <w:t xml:space="preserve">Cost vs benefit</w:t>
      </w:r>
    </w:p>
    <w:p>
      <w:pPr>
        <w:pStyle w:val="ListParagraph"/>
        <w:numPr>
          <w:ilvl w:val="0"/>
          <w:numId w:val="2"/>
        </w:numPr>
        <w:spacing w:after="80" w:line="280"/>
      </w:pPr>
      <w:r>
        <w:rPr>
          <w:rFonts w:ascii="Arial" w:cs="Arial" w:eastAsia="Arial" w:hAnsi="Arial"/>
          <w:color w:val="2D3748"/>
          <w:sz w:val="24"/>
          <w:szCs w:val="24"/>
        </w:rPr>
        <w:t xml:space="preserve">Monthly cost: ~$80K (two MIs at Business Critical, plus Failover Group bandwidth)</w:t>
      </w:r>
    </w:p>
    <w:p>
      <w:pPr>
        <w:pStyle w:val="ListParagraph"/>
        <w:numPr>
          <w:ilvl w:val="0"/>
          <w:numId w:val="2"/>
        </w:numPr>
        <w:spacing w:after="80" w:line="280"/>
      </w:pPr>
      <w:r>
        <w:rPr>
          <w:rFonts w:ascii="Arial" w:cs="Arial" w:eastAsia="Arial" w:hAnsi="Arial"/>
          <w:color w:val="2D3748"/>
          <w:sz w:val="24"/>
          <w:szCs w:val="24"/>
        </w:rPr>
        <w:t xml:space="preserve">Avoided downtime: Estimated $50K+ per minute of customer-facing outage</w:t>
      </w:r>
    </w:p>
    <w:p>
      <w:pPr>
        <w:pStyle w:val="ListParagraph"/>
        <w:numPr>
          <w:ilvl w:val="0"/>
          <w:numId w:val="2"/>
        </w:numPr>
        <w:spacing w:after="80" w:line="280"/>
      </w:pPr>
      <w:r>
        <w:rPr>
          <w:rFonts w:ascii="Arial" w:cs="Arial" w:eastAsia="Arial" w:hAnsi="Arial"/>
          <w:color w:val="2D3748"/>
          <w:sz w:val="24"/>
          <w:szCs w:val="24"/>
        </w:rPr>
        <w:t xml:space="preserve">Break-even: 1.6 minutes of avoided downtime per month</w:t>
      </w:r>
    </w:p>
    <w:p>
      <w:pPr>
        <w:pStyle w:val="ListParagraph"/>
        <w:numPr>
          <w:ilvl w:val="0"/>
          <w:numId w:val="2"/>
        </w:numPr>
        <w:spacing w:after="80" w:line="280"/>
      </w:pPr>
      <w:r>
        <w:rPr>
          <w:rFonts w:ascii="Arial" w:cs="Arial" w:eastAsia="Arial" w:hAnsi="Arial"/>
          <w:color w:val="2D3748"/>
          <w:sz w:val="24"/>
          <w:szCs w:val="24"/>
        </w:rPr>
        <w:t xml:space="preserve">Verdict: Easily justified for the use case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"Tell me about a complex HA/DR architecture you've worked on." This is the kind of scenario you describe. It demonstrates reasoning about cost, multiple regions, conflict resolution, and ongoing operations.</w:t>
            </w:r>
          </w:p>
        </w:tc>
      </w:tr>
    </w:tbl>
    <w:p>
      <w:r>
        <w:br w:type="page"/>
      </w:r>
    </w:p>
    <w:p>
      <w:pPr>
        <w:pStyle w:val="Heading2"/>
        <w:spacing w:after="140" w:before="280"/>
      </w:pPr>
      <w:r>
        <w:rPr>
          <w:rFonts w:ascii="Arial" w:cs="Arial" w:eastAsia="Arial" w:hAnsi="Arial"/>
          <w:b/>
          <w:bCs/>
          <w:color w:val="2C7873"/>
          <w:sz w:val="28"/>
          <w:szCs w:val="28"/>
        </w:rPr>
        <w:t xml:space="preserve">9.7 — Scenario: Migrating Legacy Mirroring to 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BANKING SCENARIO</w:t>
            </w:r>
          </w:p>
          <w:p>
            <w:pPr>
              <w:spacing w:line="280"/>
            </w:pPr>
            <w:r>
              <w:rPr>
                <w:rFonts w:ascii="Arial" w:cs="Arial" w:eastAsia="Arial" w:hAnsi="Arial"/>
                <w:color w:val="2D3748"/>
                <w:sz w:val="24"/>
                <w:szCs w:val="24"/>
              </w:rPr>
              <w:t xml:space="preserve">Inherited a legacy environment with 30+ databases using SQL Server Database Mirroring (deprecated since SQL 2012). All on SQL Server 2014 Standard Edition. Business needed to upgrade to SQL Server 2022 AND modernize HA technology AND validate everything in a 3-month window.</w:t>
            </w:r>
          </w:p>
        </w:tc>
      </w:tr>
    </w:tbl>
    <w:p>
      <w:r>
        <w:t xml:space="preserve"/>
      </w:r>
    </w:p>
    <w:p>
      <w:pPr>
        <w:pStyle w:val="Heading3"/>
        <w:spacing w:after="100" w:before="200"/>
      </w:pPr>
      <w:r>
        <w:rPr>
          <w:rFonts w:ascii="Arial" w:cs="Arial" w:eastAsia="Arial" w:hAnsi="Arial"/>
          <w:b/>
          <w:bCs/>
          <w:color w:val="4A5568"/>
          <w:sz w:val="26"/>
          <w:szCs w:val="26"/>
        </w:rPr>
        <w:t xml:space="preserve">Approach</w:t>
      </w:r>
    </w:p>
    <w:p>
      <w:pPr>
        <w:pStyle w:val="ListParagraph"/>
        <w:numPr>
          <w:ilvl w:val="0"/>
          <w:numId w:val="2"/>
        </w:numPr>
        <w:spacing w:after="80" w:line="280"/>
      </w:pPr>
      <w:r>
        <w:rPr>
          <w:rFonts w:ascii="Arial" w:cs="Arial" w:eastAsia="Arial" w:hAnsi="Arial"/>
          <w:color w:val="2D3748"/>
          <w:sz w:val="24"/>
          <w:szCs w:val="24"/>
        </w:rPr>
        <w:t xml:space="preserve">Phase 1: Build new SQL Server 2022 cluster on Enterprise Edition (AG requires Enterprise for &gt;1 DB per AG)</w:t>
      </w:r>
    </w:p>
    <w:p>
      <w:pPr>
        <w:pStyle w:val="ListParagraph"/>
        <w:numPr>
          <w:ilvl w:val="0"/>
          <w:numId w:val="2"/>
        </w:numPr>
        <w:spacing w:after="80" w:line="280"/>
      </w:pPr>
      <w:r>
        <w:rPr>
          <w:rFonts w:ascii="Arial" w:cs="Arial" w:eastAsia="Arial" w:hAnsi="Arial"/>
          <w:color w:val="2D3748"/>
          <w:sz w:val="24"/>
          <w:szCs w:val="24"/>
        </w:rPr>
        <w:t xml:space="preserve">Phase 2: Migrate databases one-by-one using log shipping to new cluster (cross-version supported)</w:t>
      </w:r>
    </w:p>
    <w:p>
      <w:pPr>
        <w:pStyle w:val="ListParagraph"/>
        <w:numPr>
          <w:ilvl w:val="0"/>
          <w:numId w:val="2"/>
        </w:numPr>
        <w:spacing w:after="80" w:line="280"/>
      </w:pPr>
      <w:r>
        <w:rPr>
          <w:rFonts w:ascii="Arial" w:cs="Arial" w:eastAsia="Arial" w:hAnsi="Arial"/>
          <w:color w:val="2D3748"/>
          <w:sz w:val="24"/>
          <w:szCs w:val="24"/>
        </w:rPr>
        <w:t xml:space="preserve">Phase 3: Build AGs on new cluster, join migrated databases</w:t>
      </w:r>
    </w:p>
    <w:p>
      <w:pPr>
        <w:pStyle w:val="ListParagraph"/>
        <w:numPr>
          <w:ilvl w:val="0"/>
          <w:numId w:val="2"/>
        </w:numPr>
        <w:spacing w:after="80" w:line="280"/>
      </w:pPr>
      <w:r>
        <w:rPr>
          <w:rFonts w:ascii="Arial" w:cs="Arial" w:eastAsia="Arial" w:hAnsi="Arial"/>
          <w:color w:val="2D3748"/>
          <w:sz w:val="24"/>
          <w:szCs w:val="24"/>
        </w:rPr>
        <w:t xml:space="preserve">Phase 4: Update application connection strings from mirroring partner specification to AG listener</w:t>
      </w:r>
    </w:p>
    <w:p>
      <w:pPr>
        <w:pStyle w:val="ListParagraph"/>
        <w:numPr>
          <w:ilvl w:val="0"/>
          <w:numId w:val="2"/>
        </w:numPr>
        <w:spacing w:after="80" w:line="280"/>
      </w:pPr>
      <w:r>
        <w:rPr>
          <w:rFonts w:ascii="Arial" w:cs="Arial" w:eastAsia="Arial" w:hAnsi="Arial"/>
          <w:color w:val="2D3748"/>
          <w:sz w:val="24"/>
          <w:szCs w:val="24"/>
        </w:rPr>
        <w:t xml:space="preserve">Phase 5: Decommission old mirroring infrastructure</w:t>
      </w:r>
    </w:p>
    <w:p>
      <w:r>
        <w:t xml:space="preserve"/>
      </w:r>
    </w:p>
    <w:p>
      <w:pPr>
        <w:pStyle w:val="Heading3"/>
        <w:spacing w:after="100" w:before="200"/>
      </w:pPr>
      <w:r>
        <w:rPr>
          <w:rFonts w:ascii="Arial" w:cs="Arial" w:eastAsia="Arial" w:hAnsi="Arial"/>
          <w:b/>
          <w:bCs/>
          <w:color w:val="4A5568"/>
          <w:sz w:val="26"/>
          <w:szCs w:val="26"/>
        </w:rPr>
        <w:t xml:space="preserve">Why log shipping for migration</w:t>
      </w:r>
    </w:p>
    <w:p>
      <w:pPr>
        <w:pStyle w:val="ListParagraph"/>
        <w:numPr>
          <w:ilvl w:val="0"/>
          <w:numId w:val="2"/>
        </w:numPr>
        <w:spacing w:after="80" w:line="280"/>
      </w:pPr>
      <w:r>
        <w:rPr>
          <w:rFonts w:ascii="Arial" w:cs="Arial" w:eastAsia="Arial" w:hAnsi="Arial"/>
          <w:color w:val="2D3748"/>
          <w:sz w:val="24"/>
          <w:szCs w:val="24"/>
        </w:rPr>
        <w:t xml:space="preserve">AG can't span SQL versions in same cluster (same major required)</w:t>
      </w:r>
    </w:p>
    <w:p>
      <w:pPr>
        <w:pStyle w:val="ListParagraph"/>
        <w:numPr>
          <w:ilvl w:val="0"/>
          <w:numId w:val="2"/>
        </w:numPr>
        <w:spacing w:after="80" w:line="280"/>
      </w:pPr>
      <w:r>
        <w:rPr>
          <w:rFonts w:ascii="Arial" w:cs="Arial" w:eastAsia="Arial" w:hAnsi="Arial"/>
          <w:color w:val="2D3748"/>
          <w:sz w:val="24"/>
          <w:szCs w:val="24"/>
        </w:rPr>
        <w:t xml:space="preserve">Log shipping works across versions</w:t>
      </w:r>
    </w:p>
    <w:p>
      <w:pPr>
        <w:pStyle w:val="ListParagraph"/>
        <w:numPr>
          <w:ilvl w:val="0"/>
          <w:numId w:val="2"/>
        </w:numPr>
        <w:spacing w:after="80" w:line="280"/>
      </w:pPr>
      <w:r>
        <w:rPr>
          <w:rFonts w:ascii="Arial" w:cs="Arial" w:eastAsia="Arial" w:hAnsi="Arial"/>
          <w:color w:val="2D3748"/>
          <w:sz w:val="24"/>
          <w:szCs w:val="24"/>
        </w:rPr>
        <w:t xml:space="preserve">Lower-risk than backup-restore — incremental, can be tested</w:t>
      </w:r>
    </w:p>
    <w:p>
      <w:pPr>
        <w:pStyle w:val="ListParagraph"/>
        <w:numPr>
          <w:ilvl w:val="0"/>
          <w:numId w:val="2"/>
        </w:numPr>
        <w:spacing w:after="80" w:line="280"/>
      </w:pPr>
      <w:r>
        <w:rPr>
          <w:rFonts w:ascii="Arial" w:cs="Arial" w:eastAsia="Arial" w:hAnsi="Arial"/>
          <w:color w:val="2D3748"/>
          <w:sz w:val="24"/>
          <w:szCs w:val="24"/>
        </w:rPr>
        <w:t xml:space="preserve">Cutover window only minutes when ready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"How would you migrate from Database Mirroring to Always On AG?" Answer: "Database Mirroring can't be 'upgraded' to AG — they're separate technologies. Approach: build new infrastructure with AG, migrate databases over (typically log shipping if cross-version, backup-restore if same version), update application connection strings from mirroring partner specs to listener URL, then decommission old mirroring. Modern wrinkle: if migrating to SQL 2022, you can use this as the moment to also move to Azure SQL MI via MI Link instead of building new on-prem clusters."</w:t>
            </w:r>
          </w:p>
        </w:tc>
      </w:tr>
    </w:tbl>
    <w:p>
      <w:r>
        <w:br w:type="page"/>
      </w:r>
    </w:p>
    <w:p>
      <w:pPr>
        <w:pStyle w:val="Heading2"/>
        <w:spacing w:after="140" w:before="280"/>
      </w:pPr>
      <w:r>
        <w:rPr>
          <w:rFonts w:ascii="Arial" w:cs="Arial" w:eastAsia="Arial" w:hAnsi="Arial"/>
          <w:b/>
          <w:bCs/>
          <w:color w:val="2C7873"/>
          <w:sz w:val="28"/>
          <w:szCs w:val="28"/>
        </w:rPr>
        <w:t xml:space="preserve">9.8 — Scenario: The Listener Trick That Saved the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BANKING SCENARIO</w:t>
            </w:r>
          </w:p>
          <w:p>
            <w:pPr>
              <w:spacing w:line="280"/>
            </w:pPr>
            <w:r>
              <w:rPr>
                <w:rFonts w:ascii="Arial" w:cs="Arial" w:eastAsia="Arial" w:hAnsi="Arial"/>
                <w:color w:val="2D3748"/>
                <w:sz w:val="24"/>
                <w:szCs w:val="24"/>
              </w:rPr>
              <w:t xml:space="preserve">A reporting workload was overwhelming the primary AG replica. Applications were complaining about slow OLTP because the report queries were consuming I/O. CFO threatened to buy a separate reporting database for $500K. The DBA team had a $0 budget.</w:t>
            </w:r>
          </w:p>
        </w:tc>
      </w:tr>
    </w:tbl>
    <w:p>
      <w:r>
        <w:t xml:space="preserve"/>
      </w:r>
    </w:p>
    <w:p>
      <w:pPr>
        <w:pStyle w:val="Heading3"/>
        <w:spacing w:after="100" w:before="200"/>
      </w:pPr>
      <w:r>
        <w:rPr>
          <w:rFonts w:ascii="Arial" w:cs="Arial" w:eastAsia="Arial" w:hAnsi="Arial"/>
          <w:b/>
          <w:bCs/>
          <w:color w:val="4A5568"/>
          <w:sz w:val="26"/>
          <w:szCs w:val="26"/>
        </w:rPr>
        <w:t xml:space="preserve">Solution</w:t>
      </w:r>
    </w:p>
    <w:p>
      <w:pPr>
        <w:pStyle w:val="ListParagraph"/>
        <w:numPr>
          <w:ilvl w:val="0"/>
          <w:numId w:val="2"/>
        </w:numPr>
        <w:spacing w:after="80" w:line="280"/>
      </w:pPr>
      <w:r>
        <w:rPr>
          <w:rFonts w:ascii="Arial" w:cs="Arial" w:eastAsia="Arial" w:hAnsi="Arial"/>
          <w:color w:val="2D3748"/>
          <w:sz w:val="24"/>
          <w:szCs w:val="24"/>
        </w:rPr>
        <w:t xml:space="preserve">Existing AG had 2 secondaries — one sync auto-failover, one async readable for DR</w:t>
      </w:r>
    </w:p>
    <w:p>
      <w:pPr>
        <w:pStyle w:val="ListParagraph"/>
        <w:numPr>
          <w:ilvl w:val="0"/>
          <w:numId w:val="2"/>
        </w:numPr>
        <w:spacing w:after="80" w:line="280"/>
      </w:pPr>
      <w:r>
        <w:rPr>
          <w:rFonts w:ascii="Arial" w:cs="Arial" w:eastAsia="Arial" w:hAnsi="Arial"/>
          <w:color w:val="2D3748"/>
          <w:sz w:val="24"/>
          <w:szCs w:val="24"/>
        </w:rPr>
        <w:t xml:space="preserve">Configured the async secondary as readable (was already in place)</w:t>
      </w:r>
    </w:p>
    <w:p>
      <w:pPr>
        <w:pStyle w:val="ListParagraph"/>
        <w:numPr>
          <w:ilvl w:val="0"/>
          <w:numId w:val="2"/>
        </w:numPr>
        <w:spacing w:after="80" w:line="280"/>
      </w:pPr>
      <w:r>
        <w:rPr>
          <w:rFonts w:ascii="Arial" w:cs="Arial" w:eastAsia="Arial" w:hAnsi="Arial"/>
          <w:color w:val="2D3748"/>
          <w:sz w:val="24"/>
          <w:szCs w:val="24"/>
        </w:rPr>
        <w:t xml:space="preserve">Set up read-only routing on the primary</w:t>
      </w:r>
    </w:p>
    <w:p>
      <w:pPr>
        <w:pStyle w:val="ListParagraph"/>
        <w:numPr>
          <w:ilvl w:val="0"/>
          <w:numId w:val="2"/>
        </w:numPr>
        <w:spacing w:after="80" w:line="280"/>
      </w:pPr>
      <w:r>
        <w:rPr>
          <w:rFonts w:ascii="Arial" w:cs="Arial" w:eastAsia="Arial" w:hAnsi="Arial"/>
          <w:color w:val="2D3748"/>
          <w:sz w:val="24"/>
          <w:szCs w:val="24"/>
        </w:rPr>
        <w:t xml:space="preserve">Updated reporting application connection string to add ApplicationIntent=ReadOnly</w:t>
      </w:r>
    </w:p>
    <w:p>
      <w:pPr>
        <w:pStyle w:val="ListParagraph"/>
        <w:numPr>
          <w:ilvl w:val="0"/>
          <w:numId w:val="2"/>
        </w:numPr>
        <w:spacing w:after="80" w:line="280"/>
      </w:pPr>
      <w:r>
        <w:rPr>
          <w:rFonts w:ascii="Arial" w:cs="Arial" w:eastAsia="Arial" w:hAnsi="Arial"/>
          <w:color w:val="2D3748"/>
          <w:sz w:val="24"/>
          <w:szCs w:val="24"/>
        </w:rPr>
        <w:t xml:space="preserve">Reporting workload now ran against the secondary, OLTP performance restored</w:t>
      </w:r>
    </w:p>
    <w:p>
      <w:pPr>
        <w:pStyle w:val="ListParagraph"/>
        <w:numPr>
          <w:ilvl w:val="0"/>
          <w:numId w:val="2"/>
        </w:numPr>
        <w:spacing w:after="80" w:line="280"/>
      </w:pPr>
      <w:r>
        <w:rPr>
          <w:rFonts w:ascii="Arial" w:cs="Arial" w:eastAsia="Arial" w:hAnsi="Arial"/>
          <w:color w:val="2D3748"/>
          <w:sz w:val="24"/>
          <w:szCs w:val="24"/>
        </w:rPr>
        <w:t xml:space="preserve">Total cost: zero — used existing infrastructure better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Senior DBAs know the existing architecture better than they know the catalog of new features. Sometimes the answer is 'we already have this — let me show you how to use it correctly.' This is one of the strongest interview talking points: cost-saving solutions that demonstrate deep technology understanding.</w:t>
            </w:r>
          </w:p>
        </w:tc>
      </w:tr>
    </w:tbl>
    <w:p>
      <w:r>
        <w:br w:type="page"/>
      </w:r>
    </w:p>
    <w:p>
      <w:pPr>
        <w:pStyle w:val="Heading1"/>
        <w:spacing w:after="180" w:before="360"/>
      </w:pPr>
      <w:r>
        <w:rPr>
          <w:rFonts w:ascii="Arial" w:cs="Arial" w:eastAsia="Arial" w:hAnsi="Arial"/>
          <w:b/>
          <w:bCs/>
          <w:color w:val="1F3A5F"/>
          <w:sz w:val="36"/>
          <w:szCs w:val="36"/>
        </w:rPr>
        <w:t xml:space="preserve">Part 10 — Interview Q&amp;A Practice</w:t>
      </w:r>
    </w:p>
    <w:p>
      <w:pPr>
        <w:spacing w:after="120" w:before="0" w:line="300"/>
        <w:jc w:val="left"/>
      </w:pPr>
      <w:r>
        <w:rPr>
          <w:rFonts w:ascii="Arial" w:cs="Arial" w:eastAsia="Arial" w:hAnsi="Arial"/>
          <w:b w:val="false"/>
          <w:bCs w:val="false"/>
          <w:i w:val="false"/>
          <w:iCs w:val="false"/>
          <w:color w:val="2D3748"/>
          <w:sz w:val="24"/>
          <w:szCs w:val="24"/>
        </w:rPr>
        <w:t xml:space="preserve">30+ questions organized by difficulty. Cover the answer, speak yours aloud, then compare. Repeat in 2-3 days for retention.</w:t>
      </w:r>
    </w:p>
    <w:p>
      <w:r>
        <w:t xml:space="preserve"/>
      </w:r>
    </w:p>
    <w:p>
      <w:pPr>
        <w:pStyle w:val="Heading2"/>
        <w:spacing w:after="140" w:before="280"/>
      </w:pPr>
      <w:r>
        <w:rPr>
          <w:rFonts w:ascii="Arial" w:cs="Arial" w:eastAsia="Arial" w:hAnsi="Arial"/>
          <w:b/>
          <w:bCs/>
          <w:color w:val="2C7873"/>
          <w:sz w:val="28"/>
          <w:szCs w:val="28"/>
        </w:rPr>
        <w:t xml:space="preserve">Section A — Foundational Q&amp;A (must-know)</w:t>
      </w:r>
    </w:p>
    <w:p>
      <w:pPr>
        <w:pStyle w:val="Heading3"/>
        <w:spacing w:after="100" w:before="200"/>
      </w:pPr>
      <w:r>
        <w:rPr>
          <w:rFonts w:ascii="Arial" w:cs="Arial" w:eastAsia="Arial" w:hAnsi="Arial"/>
          <w:b/>
          <w:bCs/>
          <w:color w:val="4A5568"/>
          <w:sz w:val="26"/>
          <w:szCs w:val="26"/>
        </w:rPr>
        <w:t xml:space="preserve">Q1 — What's the difference between HA and 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Walk me through the difference between high availability and disaster recovery.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HA is about keeping the system running through routine failures within a single site — server crashes, hardware failures, OS reboots. Scope is one datacenter. Mechanism is automatic failover, typically RPO=0 with RTO measured in seconds. DR is about restoring the system after a site-level catastrophe — datacenter fire, regional outage, ransomware. Scope is across sites. Mechanism is often manual failover with off-site copies. RPO and RTO are usually higher than HA. The key insight: production systems usually need BOTH layered together. HA inside each site for daily reliability, DR across sites for catastrophic protection.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Avoid saying HA and DR are 'similar' or 'overlap.' They serve fundamentally different purposes.</w:t>
            </w:r>
          </w:p>
        </w:tc>
      </w:tr>
    </w:tbl>
    <w:p>
      <w:r>
        <w:t xml:space="preserve"/>
      </w:r>
    </w:p>
    <w:p>
      <w:pPr>
        <w:pStyle w:val="Heading3"/>
        <w:spacing w:after="100" w:before="200"/>
      </w:pPr>
      <w:r>
        <w:rPr>
          <w:rFonts w:ascii="Arial" w:cs="Arial" w:eastAsia="Arial" w:hAnsi="Arial"/>
          <w:b/>
          <w:bCs/>
          <w:color w:val="4A5568"/>
          <w:sz w:val="26"/>
          <w:szCs w:val="26"/>
        </w:rPr>
        <w:t xml:space="preserve">Q2 — Define RPO and 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What do RPO and RTO mean, and why do they matter?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RPO is Recovery Point Objective — how much data we can afford to lose, measured in time. RPO=0 means zero data loss tolerance, requiring synchronous replication. RPO=5 minutes means up to 5 minutes of recent transactions can be lost. RTO is Recovery Time Objective — how long the system can be down. RTO=30 seconds means we need fast automatic failover; RTO=4 hours means manual procedure is acceptable. They matter because every HA/DR architecture decision traces back to them. Without knowing the business's RPO and RTO, any architecture recommendation is guesswork.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Always present these as business-driven, not technology-driven. The DBA's job is to translate business requirements into architecture.</w:t>
            </w:r>
          </w:p>
        </w:tc>
      </w:tr>
    </w:tbl>
    <w:p>
      <w:r>
        <w:t xml:space="preserve"/>
      </w:r>
    </w:p>
    <w:p>
      <w:pPr>
        <w:pStyle w:val="Heading3"/>
        <w:spacing w:after="100" w:before="200"/>
      </w:pPr>
      <w:r>
        <w:rPr>
          <w:rFonts w:ascii="Arial" w:cs="Arial" w:eastAsia="Arial" w:hAnsi="Arial"/>
          <w:b/>
          <w:bCs/>
          <w:color w:val="4A5568"/>
          <w:sz w:val="26"/>
          <w:szCs w:val="26"/>
        </w:rPr>
        <w:t xml:space="preserve">Q3 — Why does synchronous replication add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Why does synchronous replication add latency to transactions?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Because the primary must wait for the secondary to confirm the log record is hardened to disk before committing the transaction. That round-trip includes network travel, secondary's I/O time, and acknowledgment back. The latency IS the consistency guarantee — it's how we know the secondary has the data, which is how we guarantee zero data loss on failover. There's no way to have both zero data loss AND zero latency over non-zero distance — physics doesn't allow it. That's why synchronous replication is practical only within ~100 km; beyond that, latency becomes unworkable for OLTP workloads.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Use 'physics doesn't allow it' confidently. It's literally true (speed of light) and signals technical depth.</w:t>
            </w:r>
          </w:p>
        </w:tc>
      </w:tr>
    </w:tbl>
    <w:p>
      <w:r>
        <w:t xml:space="preserve"/>
      </w:r>
    </w:p>
    <w:p>
      <w:pPr>
        <w:pStyle w:val="Heading3"/>
        <w:spacing w:after="100" w:before="200"/>
      </w:pPr>
      <w:r>
        <w:rPr>
          <w:rFonts w:ascii="Arial" w:cs="Arial" w:eastAsia="Arial" w:hAnsi="Arial"/>
          <w:b/>
          <w:bCs/>
          <w:color w:val="4A5568"/>
          <w:sz w:val="26"/>
          <w:szCs w:val="26"/>
        </w:rPr>
        <w:t xml:space="preserve">Q4 — Sync vs async commit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When would you choose async commit over sync commit in an Always On AG?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Async commit when distance/latency makes sync impractical (cross-region replicas), when the secondary is a less-powerful node that would slow primary if it had to wait, or when the primary's commit latency is critical and we accept some data loss risk on hard failure. Use sync commit when zero data loss is required, distance is short (&lt;100km), and the secondary has comparable or better hardware. The classic pattern is mixed: sync local secondary for HA (zero data loss within site), async geo-secondary for DR (data loss tolerated for distance/cost).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Mention the mixed pattern — it shows mature thinking. 'Sync for HA, async for DR' is a senior-level phrase.</w:t>
            </w:r>
          </w:p>
        </w:tc>
      </w:tr>
    </w:tbl>
    <w:p>
      <w:r>
        <w:t xml:space="preserve"/>
      </w:r>
    </w:p>
    <w:p>
      <w:r>
        <w:br w:type="page"/>
      </w:r>
    </w:p>
    <w:p>
      <w:pPr>
        <w:pStyle w:val="Heading3"/>
        <w:spacing w:after="100" w:before="200"/>
      </w:pPr>
      <w:r>
        <w:rPr>
          <w:rFonts w:ascii="Arial" w:cs="Arial" w:eastAsia="Arial" w:hAnsi="Arial"/>
          <w:b/>
          <w:bCs/>
          <w:color w:val="4A5568"/>
          <w:sz w:val="26"/>
          <w:szCs w:val="26"/>
        </w:rPr>
        <w:t xml:space="preserve">Q5 — What is quorum and why does it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Explain quorum in WSFC clusters. Why is it important?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Quorum is the cluster's voting mechanism that prevents 'split-brain' — two halves of a partitioned cluster both thinking they're authoritative. Each node gets a vote; some configurations add witness votes (file share, disk, or cloud). The cluster operates only when a majority of votes are reachable. If you lose majority, the cluster goes offline rather than risk having two primaries operating simultaneously. Quorum is critical because two primaries accepting writes simultaneously creates data divergence that's nearly impossible to reconcile after the fact.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If asked for a specific scenario, mention 2-node clusters: with no witness, they ALWAYS lose quorum if they can't see each other. 2-node clusters MUST have a witness.</w:t>
            </w:r>
          </w:p>
        </w:tc>
      </w:tr>
    </w:tbl>
    <w:p>
      <w:r>
        <w:t xml:space="preserve"/>
      </w:r>
    </w:p>
    <w:p>
      <w:pPr>
        <w:pStyle w:val="Heading3"/>
        <w:spacing w:after="100" w:before="200"/>
      </w:pPr>
      <w:r>
        <w:rPr>
          <w:rFonts w:ascii="Arial" w:cs="Arial" w:eastAsia="Arial" w:hAnsi="Arial"/>
          <w:b/>
          <w:bCs/>
          <w:color w:val="4A5568"/>
          <w:sz w:val="26"/>
          <w:szCs w:val="26"/>
        </w:rPr>
        <w:t xml:space="preserve">Q6 — Listener and read-only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What does an AG listener do, and how does read-only routing work?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The listener is a virtual network name with an IP that always points to the current primary replica. Applications connect to the listener instead of individual server names — this means the application doesn't need to know which physical node is primary. Failover is transparent to apps. Read-only routing extends this: when a client connects to the listener with ApplicationIntent=ReadOnly, the primary checks its routing list and redirects the connection to a readable secondary. Net result: read traffic spreads across secondaries automatically without app code changes — just one connection string parameter.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If they ask for the connection string parameter syntax, it's: ApplicationIntent=ReadOnly. Mention you've configured this in production.</w:t>
            </w:r>
          </w:p>
        </w:tc>
      </w:tr>
    </w:tbl>
    <w:p>
      <w:r>
        <w:t xml:space="preserve"/>
      </w:r>
    </w:p>
    <w:p>
      <w:pPr>
        <w:pStyle w:val="Heading3"/>
        <w:spacing w:after="100" w:before="200"/>
      </w:pPr>
      <w:r>
        <w:rPr>
          <w:rFonts w:ascii="Arial" w:cs="Arial" w:eastAsia="Arial" w:hAnsi="Arial"/>
          <w:b/>
          <w:bCs/>
          <w:color w:val="4A5568"/>
          <w:sz w:val="26"/>
          <w:szCs w:val="26"/>
        </w:rPr>
        <w:t xml:space="preserve">Q7 — Distributed AG vs regular 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What's a Distributed Availability Group, and when would you use one?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A Distributed AG is an 'AG of AGs' — replication BETWEEN two existing Availability Groups that live on different clusters, regions, or even cloud providers. Use it for cross-cluster DR, cross-region scenarios, hybrid setups (on-prem to Azure SQL MI via MI Link), or migrations where you're rolling databases from old cluster to new with controlled cutover. DAGs are always asynchronous because cross-cluster latency makes sync impractical. The architecture wraps two AGs that each have their own primaries and secondaries; the DAG orchestrates replication between the two AG primaries.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Mention MI Link is a productized DAG with SQL MI as one participant — that's senior-level Microsoft product knowledge.</w:t>
            </w:r>
          </w:p>
        </w:tc>
      </w:tr>
    </w:tbl>
    <w:p>
      <w:r>
        <w:t xml:space="preserve"/>
      </w:r>
    </w:p>
    <w:p>
      <w:r>
        <w:br w:type="page"/>
      </w:r>
    </w:p>
    <w:p>
      <w:pPr>
        <w:pStyle w:val="Heading2"/>
        <w:spacing w:after="140" w:before="280"/>
      </w:pPr>
      <w:r>
        <w:rPr>
          <w:rFonts w:ascii="Arial" w:cs="Arial" w:eastAsia="Arial" w:hAnsi="Arial"/>
          <w:b/>
          <w:bCs/>
          <w:color w:val="2C7873"/>
          <w:sz w:val="28"/>
          <w:szCs w:val="28"/>
        </w:rPr>
        <w:t xml:space="preserve">Section B — Azure-Specific Q&amp;A</w:t>
      </w:r>
    </w:p>
    <w:p>
      <w:pPr>
        <w:pStyle w:val="Heading3"/>
        <w:spacing w:after="100" w:before="200"/>
      </w:pPr>
      <w:r>
        <w:rPr>
          <w:rFonts w:ascii="Arial" w:cs="Arial" w:eastAsia="Arial" w:hAnsi="Arial"/>
          <w:b/>
          <w:bCs/>
          <w:color w:val="4A5568"/>
          <w:sz w:val="26"/>
          <w:szCs w:val="26"/>
        </w:rPr>
        <w:t xml:space="preserve">Q8 — Azure SQL DB vs MI vs SQL on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Compare the three Azure SQL options.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Azure SQL Database is single-database PaaS — simple, no instance features, no SQL Agent, no cross-database queries. Best for new applications. Azure SQL Managed Instance is full SQL Server engine in PaaS — instance-level features including Agent, linked servers, Service Broker, CLR, cross-database transactions. Best for lift-and-shift migrations from on-prem. SQL Server on Azure VM is IaaS — you install SQL on a VM, manage everything yourself. Best when you need full control or features not yet in PaaS. Recommendation flow: SQL DB for cloud-native simple needs; MI for migrations and complex feature requirements; VM only when PaaS doesn't meet a specific need.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If they ask about pricing: SQL DB cheapest, MI middle, VM varies based on size. Mention free tier exists for both DB and MI.</w:t>
            </w:r>
          </w:p>
        </w:tc>
      </w:tr>
    </w:tbl>
    <w:p>
      <w:r>
        <w:t xml:space="preserve"/>
      </w:r>
    </w:p>
    <w:p>
      <w:pPr>
        <w:pStyle w:val="Heading3"/>
        <w:spacing w:after="100" w:before="200"/>
      </w:pPr>
      <w:r>
        <w:rPr>
          <w:rFonts w:ascii="Arial" w:cs="Arial" w:eastAsia="Arial" w:hAnsi="Arial"/>
          <w:b/>
          <w:bCs/>
          <w:color w:val="4A5568"/>
          <w:sz w:val="26"/>
          <w:szCs w:val="26"/>
        </w:rPr>
        <w:t xml:space="preserve">Q9 — Built-in HA in Azure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What HA do you get out of the box with Azure SQL Managed Instance?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It depends on the tier. General Purpose tier: SQL engine on a single node with remote storage (Azure Premium Storage). Failover moves the engine to another node and reattaches storage. RPO=0, RTO under 60 seconds. Business Critical tier: 4-node Always On AG with synchronous replication, locally-attached SSDs, RPO=0, RTO under 30 seconds, plus a built-in readable secondary. The same Always On AG technology you know from on-prem is what Microsoft uses internally for Business Critical — just managed for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Microsoft uses YOUR knowledge of on-prem AG to manage their PaaS service — flip that during interviews to demonstrate cloud knowledge.</w:t>
            </w:r>
          </w:p>
        </w:tc>
      </w:tr>
    </w:tbl>
    <w:p>
      <w:r>
        <w:t xml:space="preserve"/>
      </w:r>
    </w:p>
    <w:p>
      <w:pPr>
        <w:pStyle w:val="Heading3"/>
        <w:spacing w:after="100" w:before="200"/>
      </w:pPr>
      <w:r>
        <w:rPr>
          <w:rFonts w:ascii="Arial" w:cs="Arial" w:eastAsia="Arial" w:hAnsi="Arial"/>
          <w:b/>
          <w:bCs/>
          <w:color w:val="4A5568"/>
          <w:sz w:val="26"/>
          <w:szCs w:val="26"/>
        </w:rPr>
        <w:t xml:space="preserve">Q10 — Failover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How would you set up cross-region DR for Azure SQL MI?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Failover Group with a secondary MI in a different region. Configure auto-failover policy with a 1-hour grace period — gives Microsoft time to attempt automated recovery before triggering DR failover. Connection string uses the failover group listener instead of the instance name, so apps don't need to know which region is currently primary. Bonus: read-only listener points at the secondary, giving free read scale-out — reporting workloads run against the secondary in another region without affecting the primary.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The 'free read scale-out' angle is a great architecture-aware answer. It shows you think about cost-optimization, not just functionality.</w:t>
            </w:r>
          </w:p>
        </w:tc>
      </w:tr>
    </w:tbl>
    <w:p>
      <w:r>
        <w:t xml:space="preserve"/>
      </w:r>
    </w:p>
    <w:p>
      <w:r>
        <w:br w:type="page"/>
      </w:r>
    </w:p>
    <w:p>
      <w:pPr>
        <w:pStyle w:val="Heading3"/>
        <w:spacing w:after="100" w:before="200"/>
      </w:pPr>
      <w:r>
        <w:rPr>
          <w:rFonts w:ascii="Arial" w:cs="Arial" w:eastAsia="Arial" w:hAnsi="Arial"/>
          <w:b/>
          <w:bCs/>
          <w:color w:val="4A5568"/>
          <w:sz w:val="26"/>
          <w:szCs w:val="26"/>
        </w:rPr>
        <w:t xml:space="preserve">Q11 — The AlwaysUpToDate gotcha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What's a gotcha you've encountered with Azure SQL MI?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The Update Policy setting on SQL MI is irreversible once you upgrade to AlwaysUpToDate. If you later need MI Link to on-prem SQL Server 2022, you can't — the database format is incompatible (SQL 2022 uses format 974, AlwaysUpToDate uses 998+). I learned this the hard way during a hybrid HA/DR PoC: completed three days of cert exchange and endpoint configuration, then validation failed at the wizard's last step. Now I always verify the update policy is version-aligned BEFORE any MI Link planning, and I explicitly select 'SQL Server 2022' during provisioning rather than accepting defaults — Microsoft changed the default in March 2026 from SQL Server 2022 to SQL Server 2025, so accepting defaults now creates the same trap.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This is interview gold. It shows hands-on experience, ability to discover undocumented architectural constraints, and operational discipline (creating a pre-flight check).</w:t>
            </w:r>
          </w:p>
        </w:tc>
      </w:tr>
    </w:tbl>
    <w:p>
      <w:r>
        <w:t xml:space="preserve"/>
      </w:r>
    </w:p>
    <w:p>
      <w:pPr>
        <w:pStyle w:val="Heading3"/>
        <w:spacing w:after="100" w:before="200"/>
      </w:pPr>
      <w:r>
        <w:rPr>
          <w:rFonts w:ascii="Arial" w:cs="Arial" w:eastAsia="Arial" w:hAnsi="Arial"/>
          <w:b/>
          <w:bCs/>
          <w:color w:val="4A5568"/>
          <w:sz w:val="26"/>
          <w:szCs w:val="26"/>
        </w:rPr>
        <w:t xml:space="preserve">Q12 — MI Link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How does Managed Instance Link actually work?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It's a Distributed Availability Group with Azure SQL MI as one participating AG. On-prem, you have your normal AG with sync and async replicas. The DAG layer adds the SQL MI as another replica, but managed by Azure. Log records flow from the on-prem primary through the DAG to SQL MI over a cert-based encrypted endpoint on port 5022. Initial seeding is automatic. The key feature: it's bidirectional in SQL 2022, so you can fail over to SQL MI as the new primary, and the on-prem AG becomes the secondary. That makes it a true online migration tool — you can rehearse the cutover, do it, and roll back if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If they ask about prerequisites, mention: SQL Server 2022, certs configured, mirroring endpoint with cert auth, and CRITICAL: SQL MI on matching update policy (SQL Server 2022, not AlwaysUpToDate).</w:t>
            </w:r>
          </w:p>
        </w:tc>
      </w:tr>
    </w:tbl>
    <w:p>
      <w:r>
        <w:t xml:space="preserve"/>
      </w:r>
    </w:p>
    <w:p>
      <w:pPr>
        <w:pStyle w:val="Heading3"/>
        <w:spacing w:after="100" w:before="200"/>
      </w:pPr>
      <w:r>
        <w:rPr>
          <w:rFonts w:ascii="Arial" w:cs="Arial" w:eastAsia="Arial" w:hAnsi="Arial"/>
          <w:b/>
          <w:bCs/>
          <w:color w:val="4A5568"/>
          <w:sz w:val="26"/>
          <w:szCs w:val="26"/>
        </w:rPr>
        <w:t xml:space="preserve">Q13 — Azure backups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How does backup work in Azure SQL MI?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Backups are automatic — Microsoft runs full weekly, differential every 12-24 hours, log every 5-10 minutes. You don't schedule them, manage retention via SQL Agent, or worry about failed backup jobs. You configure RETENTION: Point-in-Time Restore from 1-35 days, default 7. Long-Term Retention up to 10 years with weekly/monthly/yearly granularity. All backups stored in geo-redundant storage by default. Restore via Azure Portal, T-SQL, or REST API. For compliance (banking, healthcare needing 7-year retention), configure LTR with yearly backups kept 7 years.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The 'you configure retention, not schedule' framing is correct and demonstrates you understand PaaS abstractions.</w:t>
            </w:r>
          </w:p>
        </w:tc>
      </w:tr>
    </w:tbl>
    <w:p>
      <w:r>
        <w:t xml:space="preserve"/>
      </w:r>
    </w:p>
    <w:p>
      <w:r>
        <w:br w:type="page"/>
      </w:r>
    </w:p>
    <w:p>
      <w:pPr>
        <w:pStyle w:val="Heading2"/>
        <w:spacing w:after="140" w:before="280"/>
      </w:pPr>
      <w:r>
        <w:rPr>
          <w:rFonts w:ascii="Arial" w:cs="Arial" w:eastAsia="Arial" w:hAnsi="Arial"/>
          <w:b/>
          <w:bCs/>
          <w:color w:val="2C7873"/>
          <w:sz w:val="28"/>
          <w:szCs w:val="28"/>
        </w:rPr>
        <w:t xml:space="preserve">Section C — Decision and Architecture Q&amp;A</w:t>
      </w:r>
    </w:p>
    <w:p>
      <w:pPr>
        <w:pStyle w:val="Heading3"/>
        <w:spacing w:after="100" w:before="200"/>
      </w:pPr>
      <w:r>
        <w:rPr>
          <w:rFonts w:ascii="Arial" w:cs="Arial" w:eastAsia="Arial" w:hAnsi="Arial"/>
          <w:b/>
          <w:bCs/>
          <w:color w:val="4A5568"/>
          <w:sz w:val="26"/>
          <w:szCs w:val="26"/>
        </w:rPr>
        <w:t xml:space="preserve">Q14 — Designing HA/DR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How would you design HA/DR for an application X?</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I'd start by asking the business owners three questions. First, what's their RPO — how much data loss is acceptable? Second, what's their RTO — how long can the system be down? Third, what's their budget? With those three answers, I can recommend a specific architecture. For example, RPO=0 / RTO=30 seconds / unlimited budget points to sync AG with zone redundancy, plus async geo-secondary for region-level DR. RPO=1 hour / RTO=4 hours / cost-conscious points to log shipping with automated failover scripts. Without those three numbers, any recommendation is guesswork.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Always start with 'three questions.' This shows you architect from business need, not from technology preference.</w:t>
            </w:r>
          </w:p>
        </w:tc>
      </w:tr>
    </w:tbl>
    <w:p>
      <w:r>
        <w:t xml:space="preserve"/>
      </w:r>
    </w:p>
    <w:p>
      <w:pPr>
        <w:pStyle w:val="Heading3"/>
        <w:spacing w:after="100" w:before="200"/>
      </w:pPr>
      <w:r>
        <w:rPr>
          <w:rFonts w:ascii="Arial" w:cs="Arial" w:eastAsia="Arial" w:hAnsi="Arial"/>
          <w:b/>
          <w:bCs/>
          <w:color w:val="4A5568"/>
          <w:sz w:val="26"/>
          <w:szCs w:val="26"/>
        </w:rPr>
        <w:t xml:space="preserve">Q15 — Layered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Walk me through how you'd architect HA/DR layers for a critical system.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I think in five layers. Layer 1: hardware redundancy — RAID, redundant NICs, dual power. Layer 2: local HA — sync AG with local secondary for automatic failover within the datacenter. Layer 3: datacenter HA — zone-redundant or sync replica in a second nearby DC for protection against datacenter loss. Layer 4: regional DR — async replica in a far region for region-level catastrophe protection. Layer 5: backup recovery — immutable backups with point-in-time restore for logical errors and ransomware. Each layer addresses a different failure mode, and they compound. The cost is additive but the protection is multiplicative.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'Cost additive, protection multiplicative' is a strong line — it argues for defense in depth without sounding theoretical.</w:t>
            </w:r>
          </w:p>
        </w:tc>
      </w:tr>
    </w:tbl>
    <w:p>
      <w:r>
        <w:t xml:space="preserve"/>
      </w:r>
    </w:p>
    <w:p>
      <w:pPr>
        <w:pStyle w:val="Heading3"/>
        <w:spacing w:after="100" w:before="200"/>
      </w:pPr>
      <w:r>
        <w:rPr>
          <w:rFonts w:ascii="Arial" w:cs="Arial" w:eastAsia="Arial" w:hAnsi="Arial"/>
          <w:b/>
          <w:bCs/>
          <w:color w:val="4A5568"/>
          <w:sz w:val="26"/>
          <w:szCs w:val="26"/>
        </w:rPr>
        <w:t xml:space="preserve">Q16 — Hybrid pattern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When should I choose MI Link vs a Hybrid AG to Azure VM vs DMS?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MI Link when: you're on SQL Server 2022+, want bidirectional replication, and want to avoid managing a SQL on VM in cloud. Hybrid AG to Azure VM when: you need full control, you're on older SQL versions, or you want to extend an existing on-prem WSFC into Azure. DMS when: you're doing one-time migration with multiple databases needing schema validation, especially with downtime constraints. Quick decision: ongoing replication needed and on SQL 2022 → MI Link. Ongoing replication needed but legacy version → Hybrid AG to VM. One-time multi-DB → DMS.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The decision tree shows you understand each tool's role. Avoid 'just use MI Link for everything.'</w:t>
            </w:r>
          </w:p>
        </w:tc>
      </w:tr>
    </w:tbl>
    <w:p>
      <w:r>
        <w:t xml:space="preserve"/>
      </w:r>
    </w:p>
    <w:p>
      <w:r>
        <w:br w:type="page"/>
      </w:r>
    </w:p>
    <w:p>
      <w:pPr>
        <w:pStyle w:val="Heading2"/>
        <w:spacing w:after="140" w:before="280"/>
      </w:pPr>
      <w:r>
        <w:rPr>
          <w:rFonts w:ascii="Arial" w:cs="Arial" w:eastAsia="Arial" w:hAnsi="Arial"/>
          <w:b/>
          <w:bCs/>
          <w:color w:val="2C7873"/>
          <w:sz w:val="28"/>
          <w:szCs w:val="28"/>
        </w:rPr>
        <w:t xml:space="preserve">Section D — Operational and Troubleshooting Q&amp;A</w:t>
      </w:r>
    </w:p>
    <w:p>
      <w:pPr>
        <w:pStyle w:val="Heading3"/>
        <w:spacing w:after="100" w:before="200"/>
      </w:pPr>
      <w:r>
        <w:rPr>
          <w:rFonts w:ascii="Arial" w:cs="Arial" w:eastAsia="Arial" w:hAnsi="Arial"/>
          <w:b/>
          <w:bCs/>
          <w:color w:val="4A5568"/>
          <w:sz w:val="26"/>
          <w:szCs w:val="26"/>
        </w:rPr>
        <w:t xml:space="preserve">Q17 — Troubleshooting 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Walk me through troubleshooting an AG that suddenly went into 'not synchronizing' state.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First, check sys.dm_hadr_database_replica_states for the affected database — what's the synchronization_state and synchronization_health? If state is NOT_SYNCHRONIZING with NOT_HEALTHY, look at connection_state — typically replica disconnected. Then I'd check the network — telnet to endpoint port (5022 default) from primary to secondary. If that fails, network issue. If it works, check SQL error logs on both replicas for endpoint errors. Common root causes: expired endpoint cert, restarted SQL service, firewall change, or antivirus blocking traffic. Once root cause is identified, fix the underlying issue, and the replica usually auto-resumes. If not, manually resume with ALTER DATABASE ... SET HADR RESUME.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Always start with the DMV — that's where data lives. 'Connection state' before assuming network or other complex causes.</w:t>
            </w:r>
          </w:p>
        </w:tc>
      </w:tr>
    </w:tbl>
    <w:p>
      <w:r>
        <w:t xml:space="preserve"/>
      </w:r>
    </w:p>
    <w:p>
      <w:pPr>
        <w:pStyle w:val="Heading3"/>
        <w:spacing w:after="100" w:before="200"/>
      </w:pPr>
      <w:r>
        <w:rPr>
          <w:rFonts w:ascii="Arial" w:cs="Arial" w:eastAsia="Arial" w:hAnsi="Arial"/>
          <w:b/>
          <w:bCs/>
          <w:color w:val="4A5568"/>
          <w:sz w:val="26"/>
          <w:szCs w:val="26"/>
        </w:rPr>
        <w:t xml:space="preserve">Q18 — Backup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How do you prove your backups work?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By restoring them. A backup that hasn't been test-restored is hope, not strategy. I run automated monthly restore drills against a test environment, plus annual full-scale DR exercises. The drills validate four things: (1) the backup file is readable, (2) restore completes successfully, (3) data is queryable post-restore, (4) row counts match expected baselines. Without this, you don't actually have backups — you have backup files of unknown quality. I've seen 'green' backups for 18 months turn out to all be corrupt during a real DR.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The 'hope vs strategy' framing makes it memorable. The '18-month corrupt backups' example is a real-world horror story that reinforces the point.</w:t>
            </w:r>
          </w:p>
        </w:tc>
      </w:tr>
    </w:tbl>
    <w:p>
      <w:r>
        <w:t xml:space="preserve"/>
      </w:r>
    </w:p>
    <w:p>
      <w:pPr>
        <w:pStyle w:val="Heading3"/>
        <w:spacing w:after="100" w:before="200"/>
      </w:pPr>
      <w:r>
        <w:rPr>
          <w:rFonts w:ascii="Arial" w:cs="Arial" w:eastAsia="Arial" w:hAnsi="Arial"/>
          <w:b/>
          <w:bCs/>
          <w:color w:val="4A5568"/>
          <w:sz w:val="26"/>
          <w:szCs w:val="26"/>
        </w:rPr>
        <w:t xml:space="preserve">Q19 — DR testing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How often should we test DR?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Layered cadence. Tabletop walk-throughs quarterly to keep familiarity — DBA team walks through the runbook on paper. Component tests monthly to validate individual pieces — fail over one DB, restore one backup. Partial DR exercises twice a year — fail over to DR for non-critical period. Full DR exercise annually — actually fail over production for a planned 4-hour business-low-volume window. The annual exercise is the only one that catches integration gaps. Most organizations skip it because it requires a maintenance window — which is exactly why most organizations fail their first real DR.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The 'organizations that skip annual DR fail their first real DR' is a strong observation — it explains WHY testing matters, not just THAT it matters.</w:t>
            </w:r>
          </w:p>
        </w:tc>
      </w:tr>
    </w:tbl>
    <w:p>
      <w:r>
        <w:t xml:space="preserve"/>
      </w:r>
    </w:p>
    <w:p>
      <w:r>
        <w:br w:type="page"/>
      </w:r>
    </w:p>
    <w:p>
      <w:pPr>
        <w:pStyle w:val="Heading3"/>
        <w:spacing w:after="100" w:before="200"/>
      </w:pPr>
      <w:r>
        <w:rPr>
          <w:rFonts w:ascii="Arial" w:cs="Arial" w:eastAsia="Arial" w:hAnsi="Arial"/>
          <w:b/>
          <w:bCs/>
          <w:color w:val="4A5568"/>
          <w:sz w:val="26"/>
          <w:szCs w:val="26"/>
        </w:rPr>
        <w:t xml:space="preserve">Q20 — Ransomware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What's your ransomware response plan for SQL?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Five steps. First, ISOLATE the affected systems — stop SQL Server or pull from network to prevent further encryption. Second, IDENTIFY the infection time from logs and audit traces. Third, RESTORE from immutable backup taken BEFORE the infection — that's why immutability is non-negotiable in modern backup strategy. Fourth, VALIDATE restored data hasn't been encrypted (run integrity checks). Fifth, POST-MORTEM: how did the attacker get in, and what controls would have stopped them earlier? Lessons feed back into hardening, monitoring, and controls. The key is having immutable backups in place BEFORE the attack — you can't add them after.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Mention the 6-week dwell time of sophisticated attackers — they wait inside the network specifically to corrupt backups before triggering ransomware. This shows current threat awareness.</w:t>
            </w:r>
          </w:p>
        </w:tc>
      </w:tr>
    </w:tbl>
    <w:p>
      <w:r>
        <w:t xml:space="preserve"/>
      </w:r>
    </w:p>
    <w:p>
      <w:pPr>
        <w:pStyle w:val="Heading3"/>
        <w:spacing w:after="100" w:before="200"/>
      </w:pPr>
      <w:r>
        <w:rPr>
          <w:rFonts w:ascii="Arial" w:cs="Arial" w:eastAsia="Arial" w:hAnsi="Arial"/>
          <w:b/>
          <w:bCs/>
          <w:color w:val="4A5568"/>
          <w:sz w:val="26"/>
          <w:szCs w:val="26"/>
        </w:rPr>
        <w:t xml:space="preserve">Q21 — Quorum vulnerability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What's wrong with a 2-node SQL AG without a witness?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It will lose quorum on any partition between the two nodes. Each node gets one vote; with 2 votes total and no witness, neither side has majority during a partition. The cluster goes offline rather than risk split-brain. I've seen this happen during routine network maintenance: cables disconnected briefly, both nodes lost contact, cluster offline for hours until the network was restored. A simple File Share Witness on a third site would have prevented it. Modern best practice: never run a 2-node cluster without a witness. Use Azure Cloud Witness — it's free, highly available, and easy to configure.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Reference your real lab work — 'I built UshaAg22MI specifically to remediate this pattern in a brownfield AG.' Senior interviewers love production stories.</w:t>
            </w:r>
          </w:p>
        </w:tc>
      </w:tr>
    </w:tbl>
    <w:p>
      <w:r>
        <w:t xml:space="preserve"/>
      </w:r>
    </w:p>
    <w:p>
      <w:pPr>
        <w:pStyle w:val="Heading3"/>
        <w:spacing w:after="100" w:before="200"/>
      </w:pPr>
      <w:r>
        <w:rPr>
          <w:rFonts w:ascii="Arial" w:cs="Arial" w:eastAsia="Arial" w:hAnsi="Arial"/>
          <w:b/>
          <w:bCs/>
          <w:color w:val="4A5568"/>
          <w:sz w:val="26"/>
          <w:szCs w:val="26"/>
        </w:rPr>
        <w:t xml:space="preserve">Q22 — Runbook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Why do runbooks matter for HA/DR?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Because failover under stress is the worst time to be improvising. I've seen a 30-minute failover stretch to 14 hours because the on-call DBA didn't know which node was primary, didn't have failover commands handy, and made up steps as they went. A good runbook has: clear ownership, trigger conditions, pre-flight checks, copy-paste commands, decision points, post-completion validation, rollback procedure, and contact list. After that 14-hour incident, we created printable runbooks, drilled the team on them, and the next outage was under 4 minutes. Senior DBA discipline = runbooks tested in drills.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The 14-hour-to-4-minute story is great — concrete, dramatic, and demonstrates the value of discipline.</w:t>
            </w:r>
          </w:p>
        </w:tc>
      </w:tr>
    </w:tbl>
    <w:p>
      <w:r>
        <w:t xml:space="preserve"/>
      </w:r>
    </w:p>
    <w:p>
      <w:r>
        <w:br w:type="page"/>
      </w:r>
    </w:p>
    <w:p>
      <w:pPr>
        <w:pStyle w:val="Heading2"/>
        <w:spacing w:after="140" w:before="280"/>
      </w:pPr>
      <w:r>
        <w:rPr>
          <w:rFonts w:ascii="Arial" w:cs="Arial" w:eastAsia="Arial" w:hAnsi="Arial"/>
          <w:b/>
          <w:bCs/>
          <w:color w:val="2C7873"/>
          <w:sz w:val="28"/>
          <w:szCs w:val="28"/>
        </w:rPr>
        <w:t xml:space="preserve">Section E — Behavioral and STAR Q&amp;A</w:t>
      </w:r>
    </w:p>
    <w:p>
      <w:pPr>
        <w:pStyle w:val="Heading3"/>
        <w:spacing w:after="100" w:before="200"/>
      </w:pPr>
      <w:r>
        <w:rPr>
          <w:rFonts w:ascii="Arial" w:cs="Arial" w:eastAsia="Arial" w:hAnsi="Arial"/>
          <w:b/>
          <w:bCs/>
          <w:color w:val="4A5568"/>
          <w:sz w:val="26"/>
          <w:szCs w:val="26"/>
        </w:rPr>
        <w:t xml:space="preserve">Q23 — Most challenging HA/DR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Tell me about your most challenging HA/DR project.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Recently I was tasked with setting up Managed Instance Link between on-prem SQL Server 2022 and Azure SQL MI for a hybrid HA/DR architecture. I built the on-prem foundation: extended an existing 2-node AG to 3 replicas, added a witness, configured cert-based dual-auth mirroring endpoint, and created a Distributed AG. At the final wizard validation, hit a hard error: 'database format alignment.' Investigation revealed the SQL MI had been provisioned with AlwaysUpToDate update policy — irreversible per Microsoft. I documented the architectural blocker, identified two paths forward (new MI vs pivot to backup/restore), and created a pre-flight diagnostic script that detects this scenario in 5 seconds. The challenging part wasn't the technology — it was distinguishing 'this is broken' from 'this is architecturally impossible without re-provisioning' under deadline pressure.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STAR-method: Situation (hybrid setup), Task (set up MI Link), Action (cert work + investigation when blocked), Result (saved future hours via diagnostic script). Use this structure consistently.</w:t>
            </w:r>
          </w:p>
        </w:tc>
      </w:tr>
    </w:tbl>
    <w:p>
      <w:r>
        <w:t xml:space="preserve"/>
      </w:r>
    </w:p>
    <w:p>
      <w:pPr>
        <w:pStyle w:val="Heading3"/>
        <w:spacing w:after="100" w:before="200"/>
      </w:pPr>
      <w:r>
        <w:rPr>
          <w:rFonts w:ascii="Arial" w:cs="Arial" w:eastAsia="Arial" w:hAnsi="Arial"/>
          <w:b/>
          <w:bCs/>
          <w:color w:val="4A5568"/>
          <w:sz w:val="26"/>
          <w:szCs w:val="26"/>
        </w:rPr>
        <w:t xml:space="preserve">Q24 — Disagreement with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Tell me about a time you disagreed with a colleague on an HA/DR design.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A colleague proposed using only async replication for our entire production system to 'reduce latency.' I disagreed: async replication means risk of data loss on failover, which conflicted with our RPO=0 requirement for the financial transaction database. I made the case using business-driven framing: 'The latency cost of sync is measurable in milliseconds — let's measure it. The cost of unrecognized data loss is measurable in regulatory fines and customer compensation — let's also measure that.' We benchmarked: sync latency was 8ms vs 2ms async, customers wouldn't notice. Risk of data loss on async failover was non-zero, regulatory implications were significant. The team agreed, we kept sync for the financial DB and used async for the reporting DB where RPO was relaxed. Resolution came from data, not opinion.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Disagreement stories work when you show: respectful debate, data-driven resolution, and a fair outcome. Don't make the colleague the villain.</w:t>
            </w:r>
          </w:p>
        </w:tc>
      </w:tr>
    </w:tbl>
    <w:p>
      <w:r>
        <w:t xml:space="preserve"/>
      </w:r>
    </w:p>
    <w:p>
      <w:pPr>
        <w:pStyle w:val="Heading3"/>
        <w:spacing w:after="100" w:before="200"/>
      </w:pPr>
      <w:r>
        <w:rPr>
          <w:rFonts w:ascii="Arial" w:cs="Arial" w:eastAsia="Arial" w:hAnsi="Arial"/>
          <w:b/>
          <w:bCs/>
          <w:color w:val="4A5568"/>
          <w:sz w:val="26"/>
          <w:szCs w:val="26"/>
        </w:rPr>
        <w:t xml:space="preserve">Q25 — Lesson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QUESTION</w:t>
            </w:r>
          </w:p>
          <w:p>
            <w:pPr>
              <w:spacing w:line="280"/>
            </w:pPr>
            <w:r>
              <w:rPr>
                <w:rFonts w:ascii="Arial" w:cs="Arial" w:eastAsia="Arial" w:hAnsi="Arial"/>
                <w:color w:val="2D3748"/>
                <w:sz w:val="24"/>
                <w:szCs w:val="24"/>
              </w:rPr>
              <w:t xml:space="preserve">What's a lesson you learned the hard way in HA/DR?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Backup verification matters more than backup completion. A nightly backup job ran successfully for 18 months — green checkmarks every day. During a quarterly DR test, we tried to restore. Corrupt. Tried previous night. Corrupt. Tried 30 days back. Same. Antivirus had been scanning the backup directory, corrupting files mid-write. We discovered we had no recoverable backups for over a month. The lesson: 'successful backup' means 'the job didn't error.' It does NOT mean 'the file is restorable.' Now I require RESTORE VERIFYONLY after every backup, monthly automated test restore to a sandbox, and backup directory exclusion in antivirus is mandatory — non-negotiable.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End lesson stories with concrete improvements. 'Now I require X, Y, and Z' shows you've internalized the lesson.</w:t>
            </w:r>
          </w:p>
        </w:tc>
      </w:tr>
    </w:tbl>
    <w:p>
      <w:r>
        <w:t xml:space="preserve"/>
      </w:r>
    </w:p>
    <w:p>
      <w:r>
        <w:br w:type="page"/>
      </w:r>
    </w:p>
    <w:p>
      <w:pPr>
        <w:pStyle w:val="Heading2"/>
        <w:spacing w:after="140" w:before="280"/>
      </w:pPr>
      <w:r>
        <w:rPr>
          <w:rFonts w:ascii="Arial" w:cs="Arial" w:eastAsia="Arial" w:hAnsi="Arial"/>
          <w:b/>
          <w:bCs/>
          <w:color w:val="2C7873"/>
          <w:sz w:val="28"/>
          <w:szCs w:val="28"/>
        </w:rPr>
        <w:t xml:space="preserve">Section F — Quick-Fire Q&amp;A</w:t>
      </w:r>
    </w:p>
    <w:p>
      <w:pPr>
        <w:pStyle w:val="Heading3"/>
        <w:spacing w:after="100" w:before="200"/>
      </w:pPr>
      <w:r>
        <w:rPr>
          <w:rFonts w:ascii="Arial" w:cs="Arial" w:eastAsia="Arial" w:hAnsi="Arial"/>
          <w:b/>
          <w:bCs/>
          <w:color w:val="4A5568"/>
          <w:sz w:val="26"/>
          <w:szCs w:val="26"/>
        </w:rPr>
        <w:t xml:space="preserve">Q26 — What's a witness?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An external arbiter that provides a tie-breaking vote for cluster quorum. Can be a file share (FSW), shared disk (DSW), or Azure Cloud Witness. Required for even-node clusters to avoid split-brain.</w:t>
            </w:r>
          </w:p>
        </w:tc>
      </w:tr>
    </w:tbl>
    <w:p>
      <w:r>
        <w:t xml:space="preserve"/>
      </w:r>
    </w:p>
    <w:p>
      <w:pPr>
        <w:pStyle w:val="Heading3"/>
        <w:spacing w:after="100" w:before="200"/>
      </w:pPr>
      <w:r>
        <w:rPr>
          <w:rFonts w:ascii="Arial" w:cs="Arial" w:eastAsia="Arial" w:hAnsi="Arial"/>
          <w:b/>
          <w:bCs/>
          <w:color w:val="4A5568"/>
          <w:sz w:val="26"/>
          <w:szCs w:val="26"/>
        </w:rPr>
        <w:t xml:space="preserve">Q27 — What's the maximum AG replicas?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8 secondaries plus 1 primary, total 9 replicas. Of those secondaries, up to 3 can be configured for synchronous-commit (with auto-failover supported on 2 of them). Up to 8 can be readable.</w:t>
            </w:r>
          </w:p>
        </w:tc>
      </w:tr>
    </w:tbl>
    <w:p>
      <w:r>
        <w:t xml:space="preserve"/>
      </w:r>
    </w:p>
    <w:p>
      <w:pPr>
        <w:pStyle w:val="Heading3"/>
        <w:spacing w:after="100" w:before="200"/>
      </w:pPr>
      <w:r>
        <w:rPr>
          <w:rFonts w:ascii="Arial" w:cs="Arial" w:eastAsia="Arial" w:hAnsi="Arial"/>
          <w:b/>
          <w:bCs/>
          <w:color w:val="4A5568"/>
          <w:sz w:val="26"/>
          <w:szCs w:val="26"/>
        </w:rPr>
        <w:t xml:space="preserve">Q28 — Difference between failover and failback?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Failover = promoting a secondary to be the new primary. Failback = returning to the original primary after the issue is resolved. Failback is optional — sometimes you just stay on the new primary.</w:t>
            </w:r>
          </w:p>
        </w:tc>
      </w:tr>
    </w:tbl>
    <w:p>
      <w:r>
        <w:t xml:space="preserve"/>
      </w:r>
    </w:p>
    <w:p>
      <w:pPr>
        <w:pStyle w:val="Heading3"/>
        <w:spacing w:after="100" w:before="200"/>
      </w:pPr>
      <w:r>
        <w:rPr>
          <w:rFonts w:ascii="Arial" w:cs="Arial" w:eastAsia="Arial" w:hAnsi="Arial"/>
          <w:b/>
          <w:bCs/>
          <w:color w:val="4A5568"/>
          <w:sz w:val="26"/>
          <w:szCs w:val="26"/>
        </w:rPr>
        <w:t xml:space="preserve">Q29 — What's a Cloud Witness?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Azure Storage Account used as a quorum witness. No VM required, just a storage account. Best practice for modern hybrid clusters because it lives outside both on-prem and cloud regions, providing true geographic separation for the witness vote.</w:t>
            </w:r>
          </w:p>
        </w:tc>
      </w:tr>
    </w:tbl>
    <w:p>
      <w:r>
        <w:t xml:space="preserve"/>
      </w:r>
    </w:p>
    <w:p>
      <w:pPr>
        <w:pStyle w:val="Heading3"/>
        <w:spacing w:after="100" w:before="200"/>
      </w:pPr>
      <w:r>
        <w:rPr>
          <w:rFonts w:ascii="Arial" w:cs="Arial" w:eastAsia="Arial" w:hAnsi="Arial"/>
          <w:b/>
          <w:bCs/>
          <w:color w:val="4A5568"/>
          <w:sz w:val="26"/>
          <w:szCs w:val="26"/>
        </w:rPr>
        <w:t xml:space="preserve">Q30 — Why is split-brain 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ANSWER</w:t>
            </w:r>
          </w:p>
          <w:p>
            <w:pPr>
              <w:spacing w:line="280"/>
            </w:pPr>
            <w:r>
              <w:rPr>
                <w:rFonts w:ascii="Arial" w:cs="Arial" w:eastAsia="Arial" w:hAnsi="Arial"/>
                <w:color w:val="2D3748"/>
                <w:sz w:val="24"/>
                <w:szCs w:val="24"/>
              </w:rPr>
              <w:t xml:space="preserve">Two replicas both think they're the primary, both accept writes simultaneously. Data diverges. Reconciling divergent data after the fact is nearly impossible — you have committed transactions on each side that the other doesn't have. It's better for the cluster to go offline than allow split-brain.</w:t>
            </w:r>
          </w:p>
        </w:tc>
      </w:tr>
    </w:tbl>
    <w:p>
      <w:r>
        <w:br w:type="page"/>
      </w:r>
    </w:p>
    <w:p>
      <w:pPr>
        <w:pStyle w:val="Heading1"/>
        <w:spacing w:after="180" w:before="360"/>
      </w:pPr>
      <w:r>
        <w:rPr>
          <w:rFonts w:ascii="Arial" w:cs="Arial" w:eastAsia="Arial" w:hAnsi="Arial"/>
          <w:b/>
          <w:bCs/>
          <w:color w:val="1F3A5F"/>
          <w:sz w:val="36"/>
          <w:szCs w:val="36"/>
        </w:rPr>
        <w:t xml:space="preserve">Closing Thoughts</w:t>
      </w:r>
    </w:p>
    <w:p>
      <w:pPr>
        <w:spacing w:after="120" w:before="0" w:line="300"/>
        <w:jc w:val="left"/>
      </w:pPr>
      <w:r>
        <w:rPr>
          <w:rFonts w:ascii="Arial" w:cs="Arial" w:eastAsia="Arial" w:hAnsi="Arial"/>
          <w:b w:val="false"/>
          <w:bCs w:val="false"/>
          <w:i w:val="false"/>
          <w:iCs w:val="false"/>
          <w:color w:val="2D3748"/>
          <w:sz w:val="24"/>
          <w:szCs w:val="24"/>
        </w:rPr>
        <w:t xml:space="preserve">You've now practiced 30+ HA/DR interview questions and 8 detailed scenarios. That's more than most candidates ever prepare. Combined with the theory volume's concepts and frameworks, you have a complete preparation system.</w:t>
      </w:r>
    </w:p>
    <w:p>
      <w:r>
        <w:t xml:space="preserve"/>
      </w:r>
    </w:p>
    <w:p>
      <w:pPr>
        <w:pStyle w:val="Heading2"/>
        <w:spacing w:after="140" w:before="280"/>
      </w:pPr>
      <w:r>
        <w:rPr>
          <w:rFonts w:ascii="Arial" w:cs="Arial" w:eastAsia="Arial" w:hAnsi="Arial"/>
          <w:b/>
          <w:bCs/>
          <w:color w:val="2C7873"/>
          <w:sz w:val="28"/>
          <w:szCs w:val="28"/>
        </w:rPr>
        <w:t xml:space="preserve">Final tactics for interview day</w:t>
      </w:r>
    </w:p>
    <w:p>
      <w:pPr>
        <w:pStyle w:val="ListParagraph"/>
        <w:numPr>
          <w:ilvl w:val="0"/>
          <w:numId w:val="2"/>
        </w:numPr>
        <w:spacing w:after="80" w:line="280"/>
      </w:pPr>
      <w:r>
        <w:rPr>
          <w:rFonts w:ascii="Arial" w:cs="Arial" w:eastAsia="Arial" w:hAnsi="Arial"/>
          <w:color w:val="2D3748"/>
          <w:sz w:val="24"/>
          <w:szCs w:val="24"/>
        </w:rPr>
        <w:t xml:space="preserve">LISTEN before speaking. Don't rush to answer.</w:t>
      </w:r>
    </w:p>
    <w:p>
      <w:pPr>
        <w:pStyle w:val="ListParagraph"/>
        <w:numPr>
          <w:ilvl w:val="0"/>
          <w:numId w:val="2"/>
        </w:numPr>
        <w:spacing w:after="80" w:line="280"/>
      </w:pPr>
      <w:r>
        <w:rPr>
          <w:rFonts w:ascii="Arial" w:cs="Arial" w:eastAsia="Arial" w:hAnsi="Arial"/>
          <w:color w:val="2D3748"/>
          <w:sz w:val="24"/>
          <w:szCs w:val="24"/>
        </w:rPr>
        <w:t xml:space="preserve">Ask clarifying questions if the scenario is ambiguous (RPO, RTO, budget).</w:t>
      </w:r>
    </w:p>
    <w:p>
      <w:pPr>
        <w:pStyle w:val="ListParagraph"/>
        <w:numPr>
          <w:ilvl w:val="0"/>
          <w:numId w:val="2"/>
        </w:numPr>
        <w:spacing w:after="80" w:line="280"/>
      </w:pPr>
      <w:r>
        <w:rPr>
          <w:rFonts w:ascii="Arial" w:cs="Arial" w:eastAsia="Arial" w:hAnsi="Arial"/>
          <w:color w:val="2D3748"/>
          <w:sz w:val="24"/>
          <w:szCs w:val="24"/>
        </w:rPr>
        <w:t xml:space="preserve">STRUCTURE your answers: 'Three things — first... second... third...'</w:t>
      </w:r>
    </w:p>
    <w:p>
      <w:pPr>
        <w:pStyle w:val="ListParagraph"/>
        <w:numPr>
          <w:ilvl w:val="0"/>
          <w:numId w:val="2"/>
        </w:numPr>
        <w:spacing w:after="80" w:line="280"/>
      </w:pPr>
      <w:r>
        <w:rPr>
          <w:rFonts w:ascii="Arial" w:cs="Arial" w:eastAsia="Arial" w:hAnsi="Arial"/>
          <w:color w:val="2D3748"/>
          <w:sz w:val="24"/>
          <w:szCs w:val="24"/>
        </w:rPr>
        <w:t xml:space="preserve">Use REAL examples from your work where possible. They're more memorable.</w:t>
      </w:r>
    </w:p>
    <w:p>
      <w:pPr>
        <w:pStyle w:val="ListParagraph"/>
        <w:numPr>
          <w:ilvl w:val="0"/>
          <w:numId w:val="2"/>
        </w:numPr>
        <w:spacing w:after="80" w:line="280"/>
      </w:pPr>
      <w:r>
        <w:rPr>
          <w:rFonts w:ascii="Arial" w:cs="Arial" w:eastAsia="Arial" w:hAnsi="Arial"/>
          <w:color w:val="2D3748"/>
          <w:sz w:val="24"/>
          <w:szCs w:val="24"/>
        </w:rPr>
        <w:t xml:space="preserve">If you don't know something, say so confidently. 'I haven't worked with that, but here's how I'd approach learning it...'</w:t>
      </w:r>
    </w:p>
    <w:p>
      <w:pPr>
        <w:pStyle w:val="ListParagraph"/>
        <w:numPr>
          <w:ilvl w:val="0"/>
          <w:numId w:val="2"/>
        </w:numPr>
        <w:spacing w:after="80" w:line="280"/>
      </w:pPr>
      <w:r>
        <w:rPr>
          <w:rFonts w:ascii="Arial" w:cs="Arial" w:eastAsia="Arial" w:hAnsi="Arial"/>
          <w:color w:val="2D3748"/>
          <w:sz w:val="24"/>
          <w:szCs w:val="24"/>
        </w:rPr>
        <w:t xml:space="preserve">Connect concepts to business outcomes. Senior interviewers care about value, not just technical depth.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Final pro tip: in your interviews, mention the AlwaysUpToDate gotcha unprompted if the conversation reaches Azure SQL MI. It's such a specific, hands-on, recently-learned bit of knowledge that it instantly establishes you as a senior practitioner. Most candidates don't know about it — and the interviewer who DOES recognize it will treat you as a peer.</w:t>
            </w:r>
          </w:p>
        </w:tc>
      </w:tr>
    </w:tbl>
    <w:p>
      <w:r>
        <w:t xml:space="preserve"/>
      </w:r>
    </w:p>
    <w:p>
      <w:pPr>
        <w:spacing w:after="120" w:before="0" w:line="300"/>
        <w:jc w:val="left"/>
      </w:pPr>
      <w:r>
        <w:rPr>
          <w:rFonts w:ascii="Arial" w:cs="Arial" w:eastAsia="Arial" w:hAnsi="Arial"/>
          <w:b w:val="false"/>
          <w:bCs w:val="false"/>
          <w:i/>
          <w:iCs/>
          <w:color w:val="2D3748"/>
          <w:sz w:val="24"/>
          <w:szCs w:val="24"/>
        </w:rPr>
        <w:t xml:space="preserve">You have the deepest hands-on experience of anyone in your peer group. The language frameworks in these two volumes will help you articulate it clearly. Now go and convert that experience into the role you want.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787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A556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2026-04-30T02:47:07.984Z</dcterms:created>
  <dcterms:modified xsi:type="dcterms:W3CDTF">2026-04-30T02:47:08.011Z</dcterms:modified>
</cp:coreProperties>
</file>

<file path=docProps/custom.xml><?xml version="1.0" encoding="utf-8"?>
<Properties xmlns="http://schemas.openxmlformats.org/officeDocument/2006/custom-properties" xmlns:vt="http://schemas.openxmlformats.org/officeDocument/2006/docPropsVTypes"/>
</file>