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/>
        <w:jc w:val="center"/>
      </w:pPr>
      <w:r>
        <w:rPr>
          <w:b/>
          <w:bCs/>
          <w:color w:val="2E75B6"/>
          <w:sz w:val="36"/>
          <w:szCs w:val="36"/>
        </w:rPr>
        <w:t xml:space="preserve">Azure Portfolio — Master POC Tracker</w:t>
      </w:r>
    </w:p>
    <w:p>
      <w:pPr>
        <w:spacing w:after="120"/>
        <w:jc w:val="center"/>
      </w:pPr>
      <w:r>
        <w:rPr>
          <w:sz w:val="22"/>
          <w:szCs w:val="22"/>
        </w:rPr>
        <w:t xml:space="preserve">Usha Kale  |  Senior Cloud DBA / Azure Data Engineer</w:t>
      </w:r>
    </w:p>
    <w:p>
      <w:pPr>
        <w:spacing w:after="120"/>
        <w:jc w:val="center"/>
      </w:pPr>
      <w:r>
        <w:rPr>
          <w:sz w:val="22"/>
          <w:szCs w:val="22"/>
        </w:rPr>
        <w:t xml:space="preserve">Target Certifications: DP-203 (Data Engineer) | DP-300 (Database Administrator) | AZ-305 (Solutions Architect — held)</w:t>
      </w:r>
    </w:p>
    <w:p>
      <w:pPr>
        <w:spacing w:after="200"/>
        <w:jc w:val="center"/>
      </w:pPr>
      <w:r>
        <w:rPr>
          <w:b/>
          <w:bCs/>
          <w:color w:val="107C10"/>
          <w:sz w:val="24"/>
          <w:szCs w:val="24"/>
        </w:rPr>
        <w:t xml:space="preserve">Version 4.0 — Updated April 21, 2026 (Architecture track added)</w:t>
      </w:r>
    </w:p>
    <w:p>
      <w:pPr>
        <w:shd w:fill="DFF6DD" w:val="clear"/>
        <w:spacing w:after="120" w:before="120"/>
      </w:pPr>
      <w:r>
        <w:rPr>
          <w:b/>
          <w:bCs/>
          <w:color w:val="107C10"/>
        </w:rPr>
        <w:t xml:space="preserve">v4 UPDATE: </w:t>
      </w:r>
      <w:r>
        <w:rPr>
          <w:color w:val="202020"/>
        </w:rPr>
        <w:t xml:space="preserve">Version 4 introduces Section 5 — Architecture POC Tracker with 12 architecture-focused POCs covering network design, DR architecture, identity, data governance, FinOps, security architecture, event-driven patterns, IaC/DevOps, and solution documentation. This fills the critical gap between feature-level POCs and architect-level solution design required for Senior Cloud DBA / Data Engineer / Architect roles at banking firms.</w:t>
      </w:r>
    </w:p>
    <w:p>
      <w:pPr>
        <w:pStyle w:val="Heading2"/>
        <w:spacing w:after="160" w:before="280"/>
      </w:pPr>
      <w: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Symbol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POC completed and validated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🔄 Partial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 progress / partially complete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Next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Highest priority — do next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Planned but not started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📐 Arch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Architecture-level POC (solution design, not feature config)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Section 1 — DBA POC Tracker (DP-300)</w:t>
      </w:r>
    </w:p>
    <w:p>
      <w:pPr>
        <w:spacing w:after="120"/>
        <w:jc w:val="left"/>
      </w:pPr>
      <w:r>
        <w:t xml:space="preserve">30 POCs covering all 5 DP-300 domains: Migration, Security, Monitoring, Automation, HA/DR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000"/>
        <w:gridCol w:w="600"/>
        <w:gridCol w:w="2000"/>
        <w:gridCol w:w="7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POC /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VHD Lift &amp; Shift (Node5 → Azure VM)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Node5, Azure VM, AzCopy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DMS Online Migration → SQL MI (14 DBs)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Node5, DMS, SQL MI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SSISDB on SQL MI + PKG_04/PKG_07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ADF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Monitor + Log Analytics + 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 Analytics, ADF, SQL MI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Migrate — Appliance + Node Discovery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Node5, Azure Migrate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LRS Migration to SQL MI (Appendix Q)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Node1, SQL MI, Blob Storage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Backup/Restore to Azure VM (BACKUP TO URL)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Node1, Azure VM, Blob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Next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 Shipping to Azure VM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Node1, Azure VM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Hybrid AG with Azure Replica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Node1/Node2, Azure VM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 Link (Read-Only Replica)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Node1 SQL 2019, SQL MI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TDE Migration to Azure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Node1, SQL MI, Key Vault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Next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Entra ID Authentication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DB, SQL MI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Dynamic Data Masking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Always Encrypted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Row-Level 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Defender for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 Auditing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Failover Groups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DB, SQL MI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Geo-Replication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Point-in-Time Restore (PITR)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Long-Term Backup Retention (LTR)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Query Store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Extended 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Intelligent Insights / Auto-Tuning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Maintenance + DMV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Elastic Jobs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SQL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ARM/Bicep Automated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subscription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PowerShell DBA Toolkit (30+ scripts)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resources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🔄 Partial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SSMA Database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Assessment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Node5, SSMA tool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Arc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Node1-Node6, Arc 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</w:tbl>
    <w:p>
      <w:pPr>
        <w:pStyle w:val="Heading3"/>
        <w:spacing w:after="120" w:before="220"/>
      </w:pPr>
      <w:r>
        <w:t xml:space="preserve">DBA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44%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HA/DR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Section 2 — Data Engineering POC Tracker (DP-203)</w:t>
      </w:r>
    </w:p>
    <w:p>
      <w:pPr>
        <w:spacing w:after="120"/>
        <w:jc w:val="left"/>
      </w:pPr>
      <w:r>
        <w:t xml:space="preserve">20 POCs covering ADF, Databricks, Synapse, Streaming, Fabric, and DevOps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000"/>
        <w:gridCol w:w="600"/>
        <w:gridCol w:w="2000"/>
        <w:gridCol w:w="7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POC /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 + ADLS Gen2 + SSIS + Medallion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ADF, ADLS, SHIR, Node5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 Master/Branch Loan Pipeline + KV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ADF, Azure SQL, Key Vault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ForEach Branches — SF/SanRamon/Oakland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ADF, ADLS, Azure 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BronzeToSilver Mapping Data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ADF, ADLS Gen2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SilverToGold Mapping Data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ADF, ADLS Gen2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 PySpark + Delta + MERGE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Databricks, ADLS Gen2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 → Databricks Notebook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ADF, Databricks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CI/CD for ADF Pipelines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GitHub, ADF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Synapse — Serverless SQL 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Synapse, ADLS Gen2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Next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 — Dedicated SQL Pool + COPY INTO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 workspace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 — Apache Spark 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 workspace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 Hub → ADF → ADLS (Streaming)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 Hub, ADF, ADLS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Structured Streaming in Databricks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Databricks, Event Hub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Delta Lake — Time Travel + Schema Evo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Databricks, ADLS Gen2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 Vault Secret Scope (Databricks)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 Vault, Databricks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Fabric — Mirroring/Lakehouse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Fabric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Fabric workspace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 BI Connected to Delta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 BI, Databricks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 Schedule Trigger on Master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Actions CI/CD for ADF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Actions, ADF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Quality Validation in ADF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ADF, Azure 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</w:tbl>
    <w:p>
      <w:pPr>
        <w:pStyle w:val="Heading3"/>
        <w:spacing w:after="120" w:before="220"/>
      </w:pPr>
      <w:r>
        <w:t xml:space="preserve">Data Engineering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ADF/ADLS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Databricks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Synapse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Fabric/Reporting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DevOps/Other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Section 3 — PowerShell DBA Toolkit Library</w:t>
      </w:r>
    </w:p>
    <w:p>
      <w:pPr>
        <w:spacing w:after="120"/>
        <w:jc w:val="left"/>
      </w:pPr>
      <w:r>
        <w:t xml:space="preserve">32 production-grade scripts covering all DBA automation areas — build alongside each POC session</w:t>
      </w:r>
    </w:p>
    <w:p>
      <w:pPr>
        <w:shd w:fill="FFF4CE" w:val="clear"/>
        <w:spacing w:after="120" w:before="120"/>
      </w:pPr>
      <w:r>
        <w:rPr>
          <w:b/>
          <w:bCs/>
          <w:color w:val="A06000"/>
        </w:rPr>
        <w:t xml:space="preserve">NOTE: </w:t>
      </w:r>
      <w:r>
        <w:rPr>
          <w:color w:val="404040"/>
        </w:rPr>
        <w:t xml:space="preserve">Full script list preserved from v3. Status: 1 of 32 complete (Invoke-LRSMigration.ps1 done via Appendix Q). See GitHub repo for current scripts.</w:t>
      </w:r>
    </w:p>
    <w:p>
      <w:pPr>
        <w:pStyle w:val="Heading1"/>
        <w:pageBreakBefore/>
        <w:spacing w:after="200" w:before="360"/>
      </w:pPr>
      <w:r>
        <w:t xml:space="preserve">Section 4 — Priority Queue (Next Sessions)</w:t>
      </w:r>
    </w:p>
    <w:p>
      <w:pPr>
        <w:spacing w:after="120"/>
        <w:jc w:val="left"/>
      </w:pPr>
      <w:r>
        <w:t xml:space="preserve">Reordered April 21, 2026 after LRS POC completion. Separated into Feature POCs and Architecture POCs.</w:t>
      </w:r>
    </w:p>
    <w:p>
      <w:pPr>
        <w:pStyle w:val="Heading3"/>
        <w:spacing w:after="120" w:before="220"/>
      </w:pPr>
      <w:r>
        <w:t xml:space="preserve">Feature POCs Priority Queue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200"/>
        <w:gridCol w:w="1500"/>
        <w:gridCol w:w="12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 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Credits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TDE Certificate Migration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1-1.5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High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Dynamic Data Masking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High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 ID Authentication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High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PITR + LTR (paired)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High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Failover Groups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1-1.5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High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Geo-Replication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1-1.5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🥈 Med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Synapse — Serverless SQL Pool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🥈 Med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 Shipping to Azure VM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Low-Med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🥈 Med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 Link (Read-Only Replica)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2-2.5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🥈 Med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Elastic 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1-1.5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🥉 Low</w:t>
            </w:r>
          </w:p>
        </w:tc>
      </w:tr>
    </w:tbl>
    <w:p>
      <w:pPr>
        <w:pStyle w:val="Heading3"/>
        <w:spacing w:after="120" w:before="220"/>
      </w:pPr>
      <w:r>
        <w:t xml:space="preserve">Documentation Backfill Queue</w:t>
      </w:r>
    </w:p>
    <w:p>
      <w:pPr>
        <w:spacing w:after="120"/>
        <w:jc w:val="left"/>
      </w:pPr>
      <w:r>
        <w:t xml:space="preserve">Completed POCs with missing or incomplete documentation — fix to match Appendix Q gold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2500"/>
        <w:gridCol w:w="1260"/>
        <w:gridCol w:w="1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POC (completed)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Appendix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DMS Online Migration (14 DBs)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Placeholder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🔥 Critical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SSISDB on SQL MI + PKG_04/07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appendix exists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1.5-2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🔥 Critical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VHD Lift &amp; Shift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screenshots, few learnings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Medium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Monitor + Log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screenshots, no session log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Medium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Migrate Appliance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screenshots, no MS Learn refs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Medium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ADF + ADLS Medallion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Screenshots scattered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Master/Branch Loan Pipeline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Incomplete walkthrough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Low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Section 5 — Architecture POC Tracker (AZ-305 / Senior Roles) — NEW in v4</w:t>
      </w:r>
    </w:p>
    <w:p>
      <w:pPr>
        <w:spacing w:after="120"/>
        <w:jc w:val="left"/>
      </w:pPr>
      <w:r>
        <w:t xml:space="preserve">12 architecture POCs filling the critical gap between feature-level configuration and solution-level design. Required for Senior Cloud DBA, Data Engineer, and Architect roles at banking firms. Each produces either a working architecture implementation OR a documented reference architecture with diagrams.</w:t>
      </w:r>
    </w:p>
    <w:p>
      <w:pPr>
        <w:shd w:fill="FFF4CE" w:val="clear"/>
        <w:spacing w:after="120" w:before="120"/>
      </w:pPr>
      <w:r>
        <w:rPr>
          <w:b/>
          <w:bCs/>
          <w:color w:val="A06000"/>
        </w:rPr>
        <w:t xml:space="preserve">NOTE: </w:t>
      </w:r>
      <w:r>
        <w:rPr>
          <w:color w:val="404040"/>
        </w:rPr>
        <w:t xml:space="preserve">Distinction: Feature POCs (Section 1/2) prove 'I can configure X.' Architecture POCs prove 'I can design solutions using X.' Hiring at senior level requires both. AZ-305 exam is architecture-focused and pairs naturally with this track.</w:t>
      </w:r>
    </w:p>
    <w:p>
      <w:pPr>
        <w:pStyle w:val="Heading2"/>
        <w:spacing w:after="160" w:before="280"/>
      </w:pPr>
      <w:r>
        <w:t xml:space="preserve">Architecture POCs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000"/>
        <w:gridCol w:w="600"/>
        <w:gridCol w:w="800"/>
        <w:gridCol w:w="2400"/>
        <w:gridCol w:w="1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Architecture POC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Gap 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Effort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VNet Architecture + Private Endpoints for SQL 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VNet, SQL MI, Storage, Key Vault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Hub-and-Spoke Network Topology (documented)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 arch + diagrams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 Architecture — RTO/RPO + Failover Groups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MI, failover group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 Runbook + Testing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Runbook document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 Architecture — Entra ID + PIM + RBAC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 ID, SQL MI, ADF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Purview — Data Governance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Governance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Purview, SQL MI, ADLS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High (DP-203)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FinOps — Cost Architecture + RI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Cost Mgmt, all resources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 Trust + Security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Defender for Cloud, SQL MI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Event-Driven Architecture — Event Hub → ADF →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 Hub, ADF, SQL MI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High (DP-203)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Multi-Region Design (documented)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Multi-region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 arch + diagrams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IaC — Bicep for Full Stack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Bicep, all resources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⏳ 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Solution Architecture Document (Portfolio Master)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POCs + ref archs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🥇 CAPSTONE</w:t>
            </w:r>
          </w:p>
        </w:tc>
      </w:tr>
    </w:tbl>
    <w:p>
      <w:pPr>
        <w:pStyle w:val="Heading3"/>
        <w:spacing w:after="120" w:before="220"/>
      </w:pPr>
      <w:r>
        <w:t xml:space="preserve">Architecture Track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Gap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Network (A1, A2)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 (A3, A4)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 (A5)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Governance (A6)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FinOps (A7)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(A8)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Event-Driven (A9)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Multi-region (A10)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DevOps/IaC (A11)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Portfolio Docs (A12)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3"/>
        <w:spacing w:after="120" w:before="220"/>
      </w:pPr>
      <w:r>
        <w:t xml:space="preserve">Architecture POC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A1 — VNet Architecture + Private Endpoints (3 hrs):</w:t>
      </w:r>
      <w:r>
        <w:t xml:space="preserve"> Design and implement VNet with subnets for MI, ADF, Storage; configure private endpoints for SQL MI, Storage, Key Vault; validate DNS resolution; document network flow diagram. Banking standard.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A2 — Hub-and-Spoke Topology (2 hrs, doc):</w:t>
      </w:r>
      <w:r>
        <w:t xml:space="preserve"> Design reference architecture for multi-VNet banking environment with hub VNet for shared services (Firewall, DNS, ExpressRoute gateway) and spoke VNets for workloads. Document with Draw.io/Visio diagrams. Include ADR for choosing hub-spoke vs mesh.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A3 — DR Architecture with Failover Groups (4 hrs):</w:t>
      </w:r>
      <w:r>
        <w:t xml:space="preserve"> Define RTO (15 min) and RPO (5 sec) targets; implement SQL MI failover group; test manual failover; document observed metrics; create compliance-ready DR report. Strong banking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A4 — DR Runbook (2 hrs, doc):</w:t>
      </w:r>
      <w:r>
        <w:t xml:space="preserve"> Step-by-step runbook for regional disaster scenario. Includes pre-failover checklist, failover triggers, validation steps, rollback procedures, stakeholder communication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A5 — Identity Architecture (2.5 hrs):</w:t>
      </w:r>
      <w:r>
        <w:t xml:space="preserve"> Enable Entra ID admin on SQL MI; configure PIM for DBA role with just-in-time elevation; set up Managed Identity for ADF; document authentication flow diagram. Pairs with DBA POC #12 but adds architectural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A6 — Microsoft Purview (2 hrs):</w:t>
      </w:r>
      <w:r>
        <w:t xml:space="preserve"> Provision Purview account; scan SQL MI and ADLS; auto-classify sensitive columns (PII, PCI); generate lineage diagram for Medallion pipeline; document governance model. </w:t>
      </w:r>
      <w:r>
        <w:rPr>
          <w:b/>
          <w:bCs/>
        </w:rPr>
        <w:t xml:space="preserve">Highest DP-203 exam weight in architecture track.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A7 — FinOps Architecture (1.5 hrs):</w:t>
      </w:r>
      <w:r>
        <w:t xml:space="preserve"> Analyze costs across SQL MI / DB / VM / Storage; model Reserved Instance savings (1-year vs 3-year); build Cost Management dashboard; set up budget alerts; document RI strategy. Zero cost to do, high interview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A8 — Zero Trust + Security Baseline (2 hrs):</w:t>
      </w:r>
      <w:r>
        <w:t xml:space="preserve"> Enable Defender for Cloud on subscription; apply Azure Security Benchmark to SQL MI; review compliance dashboard (PCI DSS, NIST); remediate 3 findings; document security posture. Banking critical.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A9 — Event-Driven Architecture (3 hrs):</w:t>
      </w:r>
      <w:r>
        <w:t xml:space="preserve"> Provision Event Hub; configure ADF Event Hub connector; ingest simulated transaction events; route to Bronze in ADLS; demonstrate real-time processing pattern. </w:t>
      </w:r>
      <w:r>
        <w:rPr>
          <w:b/>
          <w:bCs/>
        </w:rPr>
        <w:t xml:space="preserve">DP-203 streaming topic, core for modern banking.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A10 — Multi-Region Design (2 hrs, doc):</w:t>
      </w:r>
      <w:r>
        <w:t xml:space="preserve"> Reference architecture for a globally distributed banking application. Traffic Manager, cross-region DB replication, data residency considerations per country. Draw.io diagrams + ADR.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A11 — IaC (2 hrs):</w:t>
      </w:r>
      <w:r>
        <w:t xml:space="preserve"> Write Bicep template that deploys complete SQL MI environment (VNet, MI, Storage, Key Vault, Log Analytics). Test in new RG. Document parameter files for dev/staging/prod. Pairs with DBA POC #27.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A12 — Portfolio Solution Architecture Document (4 hrs, CAPSTONE):</w:t>
      </w:r>
      <w:r>
        <w:t xml:space="preserve"> The master document. 4 reference architectures: (1) Hybrid lift-and-shift pattern, (2) Medallion data platform, (3) Banking DR architecture, (4) Event-driven real-time processing. Includes 4-6 Architecture Decision Records explaining technology choices. </w:t>
      </w:r>
      <w:r>
        <w:rPr>
          <w:b/>
          <w:bCs/>
        </w:rPr>
        <w:t xml:space="preserve">This is the document recruiters remember.</w:t>
      </w:r>
    </w:p>
    <w:p>
      <w:pPr>
        <w:pStyle w:val="Heading3"/>
        <w:spacing w:after="120" w:before="220"/>
      </w:pPr>
      <w:r>
        <w:t xml:space="preserve">Architecture Track Effort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2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Azure Cost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Quick Wins (A6, A7, A11)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5.5 hrs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~$2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 Architecture (A1, A3, A5, A8)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11.5 hrs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~$5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Advanced (A9)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hrs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~$3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Documentation-only (A2, A4, A10, A12)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hrs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Architecture Track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hrs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~$10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Combined Portfolio Summary</w:t>
      </w:r>
    </w:p>
    <w:p>
      <w:pPr>
        <w:pStyle w:val="Heading3"/>
        <w:spacing w:after="120" w:before="220"/>
      </w:pPr>
      <w:r>
        <w:t xml:space="preserve">Overall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10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Est. Time to Finish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1 — DBA (DP-300)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41-55 hrs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2 — Data Engineering (DP-203)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25-35 hrs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3 — PowerShell Toolkit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8-12 hrs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 5 — Architecture (NEW)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hrs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PORTFOLIO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~105-135 hrs</w:t>
            </w:r>
          </w:p>
        </w:tc>
      </w:tr>
    </w:tbl>
    <w:p>
      <w:pPr>
        <w:pStyle w:val="Heading3"/>
        <w:spacing w:after="120" w:before="220"/>
      </w:pPr>
      <w:r>
        <w:t xml:space="preserve">Documentation Gaps (not counted above)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Backfill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Appendix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DMS Online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hrs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SSISDB on SQL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1.5-2 hrs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Upgrade VHD appendix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hrs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Upgrade Azure Monitor appendix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hr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Upgrade Azure Migrate appendix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hr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Backfill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6.5-9 hrs</w:t>
            </w:r>
          </w:p>
        </w:tc>
      </w:tr>
    </w:tbl>
    <w:p>
      <w:pPr>
        <w:pStyle w:val="Heading3"/>
        <w:spacing w:after="120" w:before="220"/>
      </w:pPr>
      <w:r>
        <w:t xml:space="preserve">Strategic Recommendation</w:t>
      </w:r>
    </w:p>
    <w:p>
      <w:pPr>
        <w:spacing w:after="120"/>
        <w:jc w:val="left"/>
      </w:pPr>
      <w:r>
        <w:rPr>
          <w:b/>
          <w:bCs/>
        </w:rPr>
        <w:t xml:space="preserve">Next 2-3 weeks (priority sequence):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1:</w:t>
      </w:r>
      <w:r>
        <w:t xml:space="preserve"> Docs backfill (DMS + SSISDB) + 3 zero-credit DBA POCs (TDE + DDM + Entra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2:</w:t>
      </w:r>
      <w:r>
        <w:t xml:space="preserve"> A6 Purview + A11 IaC + A7 FinOps (3 architecture quick wins)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 3:</w:t>
      </w:r>
      <w:r>
        <w:t xml:space="preserve"> A12 Solution Architecture Document (CAPSTONE — ties portfolio together)</w:t>
      </w:r>
    </w:p>
    <w:p>
      <w:pPr>
        <w:spacing w:after="120"/>
        <w:jc w:val="left"/>
      </w:pPr>
      <w:r>
        <w:rPr>
          <w:b/>
          <w:bCs/>
        </w:rPr>
        <w:t xml:space="preserve">Total for 3 weeks: ~30 hours, ~$5 Azure cost.</w:t>
      </w:r>
      <w:r>
        <w:t xml:space="preserve"> Portfolio credibility jumps from 'experienced engineer' to 'architect-ready.'</w:t>
      </w:r>
    </w:p>
    <w:p>
      <w:pPr>
        <w:pStyle w:val="Heading3"/>
        <w:spacing w:after="120" w:before="220"/>
      </w:pPr>
      <w:r>
        <w:t xml:space="preserve">Priority for Today (if 8 hours available)</w:t>
      </w:r>
    </w:p>
    <w:p>
      <w:pPr>
        <w:shd w:fill="FFF4CE" w:val="clear"/>
        <w:spacing w:after="120" w:before="120"/>
      </w:pPr>
      <w:r>
        <w:rPr>
          <w:b/>
          <w:bCs/>
          <w:color w:val="A06000"/>
        </w:rPr>
        <w:t xml:space="preserve">NOTE: </w:t>
      </w:r>
      <w:r>
        <w:rPr>
          <w:color w:val="404040"/>
        </w:rPr>
        <w:t xml:space="preserve">Target for today's 1pm-8pm block: 70% new work + 30% docs. See conversation with Claude for detailed day plan options.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606060"/>
          <w:sz w:val="18"/>
          <w:szCs w:val="18"/>
        </w:rPr>
        <w:t xml:space="preserve">Document maintained by Usha Kale — push to: github.com/ushakaleclouddba-design/Azure-Data-Engineering-Portfolio</w:t>
      </w:r>
    </w:p>
    <w:p>
      <w:pPr>
        <w:jc w:val="center"/>
      </w:pPr>
      <w:r>
        <w:rPr>
          <w:i/>
          <w:iCs/>
          <w:color w:val="606060"/>
          <w:sz w:val="18"/>
          <w:szCs w:val="18"/>
        </w:rPr>
        <w:t xml:space="preserve">Last updated: April 21, 2026 — v4.0 adds Architecture POC tracker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Portfolio Master Tracker v4</dc:title>
  <dc:creator>Usha Kale</dc:creator>
  <cp:lastModifiedBy>Un-named</cp:lastModifiedBy>
  <cp:revision>1</cp:revision>
  <dcterms:created xsi:type="dcterms:W3CDTF">2026-04-21T22:08:49.545Z</dcterms:created>
  <dcterms:modified xsi:type="dcterms:W3CDTF">2026-04-21T22:08:49.548Z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