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SDA-Pro Comprehensive Project Report</w:t>
      </w:r>
    </w:p>
    <w:p>
      <w:pPr>
        <w:jc w:val="center"/>
      </w:pPr>
      <w:r>
        <w:rPr>
          <w:color w:val="2E74B5"/>
          <w:sz w:val="28"/>
        </w:rPr>
        <w:t>Security Incident Response &amp; Threat Mitigation Platform</w:t>
      </w:r>
    </w:p>
    <w:p>
      <w:pPr>
        <w:jc w:val="center"/>
      </w:pPr>
      <w:r>
        <w:t>Generated from implemented project evidence | 2026-06-01</w:t>
      </w:r>
    </w:p>
    <w:p/>
    <w:p>
      <w:pPr>
        <w:pStyle w:val="Heading1"/>
      </w:pPr>
      <w:r>
        <w:t>Executive Summary</w:t>
      </w:r>
    </w:p>
    <w:p>
      <w:r>
        <w:t>This report documents the implemented SDA-Pro university semester project: a demo-ready Security Incident Response and Threat Mitigation Platform. The system focuses on Software Design and Architecture evidence: design patterns, architecture styles, service boundaries, API contracts, asynchronous events, database schema, frontend screens, UML diagrams, and tests. External cybersecurity products are intentionally mocked so the demo can run locally without real API keys.</w:t>
      </w:r>
    </w:p>
    <w:p>
      <w:r>
        <w:t>Implementation note: the backend features are packaged into a Spring Boot composition root for reliable local demo execution, while the repository, contracts, diagrams, and documentation preserve clear SOA-style service boundaries. This is appropriate for a semester architecture demonstration, but it is not claimed to be a production microservices deployment.</w:t>
      </w:r>
    </w:p>
    <w:p>
      <w:pPr>
        <w:pStyle w:val="Heading1"/>
      </w:pPr>
      <w:r>
        <w:t>Final Tech Stack</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EF3F8"/>
            <w:vAlign w:val="center"/>
          </w:tcPr>
          <w:p>
            <w:pPr>
              <w:spacing w:after="0"/>
            </w:pPr>
            <w:r>
              <w:rPr>
                <w:b/>
                <w:color w:val="0B2545"/>
              </w:rPr>
              <w:t>Layer</w:t>
            </w:r>
          </w:p>
        </w:tc>
        <w:tc>
          <w:tcPr>
            <w:tcW w:type="dxa" w:w="3200"/>
            <w:shd w:fill="EEF3F8"/>
            <w:vAlign w:val="center"/>
          </w:tcPr>
          <w:p>
            <w:pPr>
              <w:spacing w:after="0"/>
            </w:pPr>
            <w:r>
              <w:rPr>
                <w:b/>
                <w:color w:val="0B2545"/>
              </w:rPr>
              <w:t>Technology</w:t>
            </w:r>
          </w:p>
        </w:tc>
        <w:tc>
          <w:tcPr>
            <w:tcW w:type="dxa" w:w="3900"/>
            <w:shd w:fill="EEF3F8"/>
            <w:vAlign w:val="center"/>
          </w:tcPr>
          <w:p>
            <w:pPr>
              <w:spacing w:after="0"/>
            </w:pPr>
            <w:r>
              <w:rPr>
                <w:b/>
                <w:color w:val="0B2545"/>
              </w:rPr>
              <w:t>Proof</w:t>
            </w:r>
          </w:p>
        </w:tc>
      </w:tr>
      <w:tr>
        <w:tc>
          <w:tcPr>
            <w:tcW w:type="dxa" w:w="1900"/>
            <w:vAlign w:val="center"/>
          </w:tcPr>
          <w:p>
            <w:pPr>
              <w:spacing w:after="0"/>
            </w:pPr>
            <w:r>
              <w:rPr>
                <w:sz w:val="18"/>
              </w:rPr>
              <w:t>Backend</w:t>
            </w:r>
          </w:p>
        </w:tc>
        <w:tc>
          <w:tcPr>
            <w:tcW w:type="dxa" w:w="3200"/>
            <w:vAlign w:val="center"/>
          </w:tcPr>
          <w:p>
            <w:pPr>
              <w:spacing w:after="0"/>
            </w:pPr>
            <w:r>
              <w:rPr>
                <w:sz w:val="18"/>
              </w:rPr>
              <w:t>Java 21, Spring Boot 3, Maven</w:t>
            </w:r>
          </w:p>
        </w:tc>
        <w:tc>
          <w:tcPr>
            <w:tcW w:type="dxa" w:w="3900"/>
            <w:vAlign w:val="center"/>
          </w:tcPr>
          <w:p>
            <w:pPr>
              <w:spacing w:after="0"/>
            </w:pPr>
            <w:r>
              <w:rPr>
                <w:sz w:val="18"/>
              </w:rPr>
              <w:t>services/alert-ingestion-service</w:t>
            </w:r>
          </w:p>
        </w:tc>
      </w:tr>
      <w:tr>
        <w:tc>
          <w:tcPr>
            <w:tcW w:type="dxa" w:w="1900"/>
            <w:vAlign w:val="center"/>
          </w:tcPr>
          <w:p>
            <w:pPr>
              <w:spacing w:after="0"/>
            </w:pPr>
            <w:r>
              <w:rPr>
                <w:sz w:val="18"/>
              </w:rPr>
              <w:t>Frontend</w:t>
            </w:r>
          </w:p>
        </w:tc>
        <w:tc>
          <w:tcPr>
            <w:tcW w:type="dxa" w:w="3200"/>
            <w:vAlign w:val="center"/>
          </w:tcPr>
          <w:p>
            <w:pPr>
              <w:spacing w:after="0"/>
            </w:pPr>
            <w:r>
              <w:rPr>
                <w:sz w:val="18"/>
              </w:rPr>
              <w:t>React, TypeScript, Vite</w:t>
            </w:r>
          </w:p>
        </w:tc>
        <w:tc>
          <w:tcPr>
            <w:tcW w:type="dxa" w:w="3900"/>
            <w:vAlign w:val="center"/>
          </w:tcPr>
          <w:p>
            <w:pPr>
              <w:spacing w:after="0"/>
            </w:pPr>
            <w:r>
              <w:rPr>
                <w:sz w:val="18"/>
              </w:rPr>
              <w:t>soc-dashboard</w:t>
            </w:r>
          </w:p>
        </w:tc>
      </w:tr>
      <w:tr>
        <w:tc>
          <w:tcPr>
            <w:tcW w:type="dxa" w:w="1900"/>
            <w:vAlign w:val="center"/>
          </w:tcPr>
          <w:p>
            <w:pPr>
              <w:spacing w:after="0"/>
            </w:pPr>
            <w:r>
              <w:rPr>
                <w:sz w:val="18"/>
              </w:rPr>
              <w:t>Database</w:t>
            </w:r>
          </w:p>
        </w:tc>
        <w:tc>
          <w:tcPr>
            <w:tcW w:type="dxa" w:w="3200"/>
            <w:vAlign w:val="center"/>
          </w:tcPr>
          <w:p>
            <w:pPr>
              <w:spacing w:after="0"/>
            </w:pPr>
            <w:r>
              <w:rPr>
                <w:sz w:val="18"/>
              </w:rPr>
              <w:t>PostgreSQL 16</w:t>
            </w:r>
          </w:p>
        </w:tc>
        <w:tc>
          <w:tcPr>
            <w:tcW w:type="dxa" w:w="3900"/>
            <w:vAlign w:val="center"/>
          </w:tcPr>
          <w:p>
            <w:pPr>
              <w:spacing w:after="0"/>
            </w:pPr>
            <w:r>
              <w:rPr>
                <w:sz w:val="18"/>
              </w:rPr>
              <w:t>docker-compose service postgres</w:t>
            </w:r>
          </w:p>
        </w:tc>
      </w:tr>
      <w:tr>
        <w:tc>
          <w:tcPr>
            <w:tcW w:type="dxa" w:w="1900"/>
            <w:vAlign w:val="center"/>
          </w:tcPr>
          <w:p>
            <w:pPr>
              <w:spacing w:after="0"/>
            </w:pPr>
            <w:r>
              <w:rPr>
                <w:sz w:val="18"/>
              </w:rPr>
              <w:t>Cache</w:t>
            </w:r>
          </w:p>
        </w:tc>
        <w:tc>
          <w:tcPr>
            <w:tcW w:type="dxa" w:w="3200"/>
            <w:vAlign w:val="center"/>
          </w:tcPr>
          <w:p>
            <w:pPr>
              <w:spacing w:after="0"/>
            </w:pPr>
            <w:r>
              <w:rPr>
                <w:sz w:val="18"/>
              </w:rPr>
              <w:t>Redis 7</w:t>
            </w:r>
          </w:p>
        </w:tc>
        <w:tc>
          <w:tcPr>
            <w:tcW w:type="dxa" w:w="3900"/>
            <w:vAlign w:val="center"/>
          </w:tcPr>
          <w:p>
            <w:pPr>
              <w:spacing w:after="0"/>
            </w:pPr>
            <w:r>
              <w:rPr>
                <w:sz w:val="18"/>
              </w:rPr>
              <w:t>Threat intelligence proxy cache</w:t>
            </w:r>
          </w:p>
        </w:tc>
      </w:tr>
      <w:tr>
        <w:tc>
          <w:tcPr>
            <w:tcW w:type="dxa" w:w="1900"/>
            <w:vAlign w:val="center"/>
          </w:tcPr>
          <w:p>
            <w:pPr>
              <w:spacing w:after="0"/>
            </w:pPr>
            <w:r>
              <w:rPr>
                <w:sz w:val="18"/>
              </w:rPr>
              <w:t>Message broker</w:t>
            </w:r>
          </w:p>
        </w:tc>
        <w:tc>
          <w:tcPr>
            <w:tcW w:type="dxa" w:w="3200"/>
            <w:vAlign w:val="center"/>
          </w:tcPr>
          <w:p>
            <w:pPr>
              <w:spacing w:after="0"/>
            </w:pPr>
            <w:r>
              <w:rPr>
                <w:sz w:val="18"/>
              </w:rPr>
              <w:t>RabbitMQ 3</w:t>
            </w:r>
          </w:p>
        </w:tc>
        <w:tc>
          <w:tcPr>
            <w:tcW w:type="dxa" w:w="3900"/>
            <w:vAlign w:val="center"/>
          </w:tcPr>
          <w:p>
            <w:pPr>
              <w:spacing w:after="0"/>
            </w:pPr>
            <w:r>
              <w:rPr>
                <w:sz w:val="18"/>
              </w:rPr>
              <w:t>Event publishing/subscribing</w:t>
            </w:r>
          </w:p>
        </w:tc>
      </w:tr>
      <w:tr>
        <w:tc>
          <w:tcPr>
            <w:tcW w:type="dxa" w:w="1900"/>
            <w:vAlign w:val="center"/>
          </w:tcPr>
          <w:p>
            <w:pPr>
              <w:spacing w:after="0"/>
            </w:pPr>
            <w:r>
              <w:rPr>
                <w:sz w:val="18"/>
              </w:rPr>
              <w:t>Realtime</w:t>
            </w:r>
          </w:p>
        </w:tc>
        <w:tc>
          <w:tcPr>
            <w:tcW w:type="dxa" w:w="3200"/>
            <w:vAlign w:val="center"/>
          </w:tcPr>
          <w:p>
            <w:pPr>
              <w:spacing w:after="0"/>
            </w:pPr>
            <w:r>
              <w:rPr>
                <w:sz w:val="18"/>
              </w:rPr>
              <w:t>Server-Sent Events dashboard stream</w:t>
            </w:r>
          </w:p>
        </w:tc>
        <w:tc>
          <w:tcPr>
            <w:tcW w:type="dxa" w:w="3900"/>
            <w:vAlign w:val="center"/>
          </w:tcPr>
          <w:p>
            <w:pPr>
              <w:spacing w:after="0"/>
            </w:pPr>
            <w:r>
              <w:rPr>
                <w:sz w:val="18"/>
              </w:rPr>
              <w:t>/dashboard/events</w:t>
            </w:r>
          </w:p>
        </w:tc>
      </w:tr>
      <w:tr>
        <w:tc>
          <w:tcPr>
            <w:tcW w:type="dxa" w:w="1900"/>
            <w:vAlign w:val="center"/>
          </w:tcPr>
          <w:p>
            <w:pPr>
              <w:spacing w:after="0"/>
            </w:pPr>
            <w:r>
              <w:rPr>
                <w:sz w:val="18"/>
              </w:rPr>
              <w:t>Docs/UML</w:t>
            </w:r>
          </w:p>
        </w:tc>
        <w:tc>
          <w:tcPr>
            <w:tcW w:type="dxa" w:w="3200"/>
            <w:vAlign w:val="center"/>
          </w:tcPr>
          <w:p>
            <w:pPr>
              <w:spacing w:after="0"/>
            </w:pPr>
            <w:r>
              <w:rPr>
                <w:sz w:val="18"/>
              </w:rPr>
              <w:t>PlantUML and ADR markdown</w:t>
            </w:r>
          </w:p>
        </w:tc>
        <w:tc>
          <w:tcPr>
            <w:tcW w:type="dxa" w:w="3900"/>
            <w:vAlign w:val="center"/>
          </w:tcPr>
          <w:p>
            <w:pPr>
              <w:spacing w:after="0"/>
            </w:pPr>
            <w:r>
              <w:rPr>
                <w:sz w:val="18"/>
              </w:rPr>
              <w:t>docs/uml diagrams, docs/adr</w:t>
            </w:r>
          </w:p>
        </w:tc>
      </w:tr>
      <w:tr>
        <w:tc>
          <w:tcPr>
            <w:tcW w:type="dxa" w:w="1900"/>
            <w:vAlign w:val="center"/>
          </w:tcPr>
          <w:p>
            <w:pPr>
              <w:spacing w:after="0"/>
            </w:pPr>
            <w:r>
              <w:rPr>
                <w:sz w:val="18"/>
              </w:rPr>
              <w:t>Deployment</w:t>
            </w:r>
          </w:p>
        </w:tc>
        <w:tc>
          <w:tcPr>
            <w:tcW w:type="dxa" w:w="3200"/>
            <w:vAlign w:val="center"/>
          </w:tcPr>
          <w:p>
            <w:pPr>
              <w:spacing w:after="0"/>
            </w:pPr>
            <w:r>
              <w:rPr>
                <w:sz w:val="18"/>
              </w:rPr>
              <w:t>Docker Compose</w:t>
            </w:r>
          </w:p>
        </w:tc>
        <w:tc>
          <w:tcPr>
            <w:tcW w:type="dxa" w:w="3900"/>
            <w:vAlign w:val="center"/>
          </w:tcPr>
          <w:p>
            <w:pPr>
              <w:spacing w:after="0"/>
            </w:pPr>
            <w:r>
              <w:rPr>
                <w:sz w:val="18"/>
              </w:rPr>
              <w:t>docker-compose.yml</w:t>
            </w:r>
          </w:p>
        </w:tc>
      </w:tr>
    </w:tbl>
    <w:p/>
    <w:p>
      <w:pPr>
        <w:pStyle w:val="Heading1"/>
      </w:pPr>
      <w:r>
        <w:t>System Architecture</w:t>
      </w:r>
    </w:p>
    <w:p>
      <w:r>
        <w:t>The project is organized as a local SOA demonstration. Alerts enter through ingestion APIs, are normalized, enriched, correlated into incidents, advanced through lifecycle states, responded to using strategy-selected actions, published as events, pushed to the dashboard, and written to audit storage.</w:t>
      </w:r>
    </w:p>
    <w:p>
      <w:pPr>
        <w:pStyle w:val="ListBullet"/>
      </w:pPr>
      <w:r>
        <w:t>Controllers expose required API endpoints and route requests into application services.</w:t>
      </w:r>
    </w:p>
    <w:p>
      <w:pPr>
        <w:pStyle w:val="ListBullet"/>
      </w:pPr>
      <w:r>
        <w:t>Application services coordinate normalization, enrichment, correlation, state transitions, response execution, notification, and audit.</w:t>
      </w:r>
    </w:p>
    <w:p>
      <w:pPr>
        <w:pStyle w:val="ListBullet"/>
      </w:pPr>
      <w:r>
        <w:t>Domain classes contain incident states, alert composites, response strategies, and event models.</w:t>
      </w:r>
    </w:p>
    <w:p>
      <w:pPr>
        <w:pStyle w:val="ListBullet"/>
      </w:pPr>
      <w:r>
        <w:t>Adapters and proxies isolate mock Splunk, Firewall, VirusTotal, MISP, Slack, PagerDuty, Email, and Active Directory behavior.</w:t>
      </w:r>
    </w:p>
    <w:p>
      <w:pPr>
        <w:pStyle w:val="ListBullet"/>
      </w:pPr>
      <w:r>
        <w:t>PostgreSQL stores durable records, Redis caches threat intelligence, RabbitMQ represents event-driven communication, and SSE updates the SOC dashboard.</w:t>
      </w:r>
    </w:p>
    <w:p>
      <w:pPr>
        <w:jc w:val="center"/>
      </w:pPr>
      <w:r>
        <w:drawing>
          <wp:inline xmlns:a="http://schemas.openxmlformats.org/drawingml/2006/main" xmlns:pic="http://schemas.openxmlformats.org/drawingml/2006/picture">
            <wp:extent cx="5760720" cy="3019106"/>
            <wp:docPr id="1" name="Picture 1"/>
            <wp:cNvGraphicFramePr>
              <a:graphicFrameLocks noChangeAspect="1"/>
            </wp:cNvGraphicFramePr>
            <a:graphic>
              <a:graphicData uri="http://schemas.openxmlformats.org/drawingml/2006/picture">
                <pic:pic>
                  <pic:nvPicPr>
                    <pic:cNvPr id="0" name="diagram-component.png"/>
                    <pic:cNvPicPr/>
                  </pic:nvPicPr>
                  <pic:blipFill>
                    <a:blip r:embed="rId10"/>
                    <a:stretch>
                      <a:fillRect/>
                    </a:stretch>
                  </pic:blipFill>
                  <pic:spPr>
                    <a:xfrm>
                      <a:off x="0" y="0"/>
                      <a:ext cx="5760720" cy="3019106"/>
                    </a:xfrm>
                    <a:prstGeom prst="rect"/>
                  </pic:spPr>
                </pic:pic>
              </a:graphicData>
            </a:graphic>
          </wp:inline>
        </w:drawing>
      </w:r>
    </w:p>
    <w:p>
      <w:pPr>
        <w:spacing w:after="160"/>
        <w:jc w:val="center"/>
      </w:pPr>
      <w:r>
        <w:rPr>
          <w:i/>
          <w:color w:val="5A6777"/>
          <w:sz w:val="18"/>
        </w:rPr>
        <w:t>Figure 1. PlantUML component diagram showing SOA boundaries.</w:t>
      </w:r>
    </w:p>
    <w:p>
      <w:pPr>
        <w:pStyle w:val="Heading1"/>
      </w:pPr>
      <w:r>
        <w:t>Folder Structure</w:t>
      </w:r>
    </w:p>
    <w:p>
      <w:pPr>
        <w:spacing w:before="60" w:after="180"/>
      </w:pPr>
      <w:r>
        <w:rPr>
          <w:rFonts w:ascii="Consolas" w:hAnsi="Consolas" w:eastAsia="Consolas"/>
          <w:color w:val="2D3748"/>
          <w:sz w:val="16"/>
        </w:rPr>
        <w:t>SDA Project/</w:t>
        <w:br/>
        <w:t xml:space="preserve">  docker-compose.yml</w:t>
        <w:br/>
        <w:t xml:space="preserve">  README.md</w:t>
        <w:br/>
        <w:t xml:space="preserve">  services/alert-ingestion-service/     Spring Boot backend composition root</w:t>
        <w:br/>
        <w:t xml:space="preserve">  soc-dashboard/                        React + TypeScript frontend</w:t>
        <w:br/>
        <w:t xml:space="preserve">  shared/contracts/                     API/event shared contracts</w:t>
        <w:br/>
        <w:t xml:space="preserve">  docs/adr/                             Architecture Decision Records</w:t>
        <w:br/>
        <w:t xml:space="preserve">  docs/api/                             OpenAPI and AsyncAPI contracts</w:t>
        <w:br/>
        <w:t xml:space="preserve">  docs/plantuml codes/                  PlantUML source diagrams</w:t>
        <w:br/>
        <w:t xml:space="preserve">  docs/uml diagrams/                    Rendered PNG diagrams</w:t>
        <w:br/>
        <w:t xml:space="preserve">  reports/assets/                       Screenshots, proof files, copied diagrams</w:t>
      </w:r>
    </w:p>
    <w:p>
      <w:pPr>
        <w:pStyle w:val="Heading1"/>
      </w:pPr>
      <w:r>
        <w:t>Database Schema</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2600"/>
            <w:shd w:fill="EEF3F8"/>
            <w:vAlign w:val="center"/>
          </w:tcPr>
          <w:p>
            <w:pPr>
              <w:spacing w:after="0"/>
            </w:pPr>
            <w:r>
              <w:rPr>
                <w:b/>
                <w:color w:val="0B2545"/>
              </w:rPr>
              <w:t>Table</w:t>
            </w:r>
          </w:p>
        </w:tc>
        <w:tc>
          <w:tcPr>
            <w:tcW w:type="dxa" w:w="6600"/>
            <w:shd w:fill="EEF3F8"/>
            <w:vAlign w:val="center"/>
          </w:tcPr>
          <w:p>
            <w:pPr>
              <w:spacing w:after="0"/>
            </w:pPr>
            <w:r>
              <w:rPr>
                <w:b/>
                <w:color w:val="0B2545"/>
              </w:rPr>
              <w:t>Purpose</w:t>
            </w:r>
          </w:p>
        </w:tc>
      </w:tr>
      <w:tr>
        <w:tc>
          <w:tcPr>
            <w:tcW w:type="dxa" w:w="2600"/>
            <w:vAlign w:val="center"/>
          </w:tcPr>
          <w:p>
            <w:pPr>
              <w:spacing w:after="0"/>
            </w:pPr>
            <w:r>
              <w:rPr>
                <w:sz w:val="18"/>
              </w:rPr>
              <w:t>analysts</w:t>
            </w:r>
          </w:p>
        </w:tc>
        <w:tc>
          <w:tcPr>
            <w:tcW w:type="dxa" w:w="6600"/>
            <w:vAlign w:val="center"/>
          </w:tcPr>
          <w:p>
            <w:pPr>
              <w:spacing w:after="0"/>
            </w:pPr>
            <w:r>
              <w:rPr>
                <w:sz w:val="18"/>
              </w:rPr>
              <w:t>Mock SOC analyst identity and role data.</w:t>
            </w:r>
          </w:p>
        </w:tc>
      </w:tr>
      <w:tr>
        <w:tc>
          <w:tcPr>
            <w:tcW w:type="dxa" w:w="2600"/>
            <w:vAlign w:val="center"/>
          </w:tcPr>
          <w:p>
            <w:pPr>
              <w:spacing w:after="0"/>
            </w:pPr>
            <w:r>
              <w:rPr>
                <w:sz w:val="18"/>
              </w:rPr>
              <w:t>alert_sources</w:t>
            </w:r>
          </w:p>
        </w:tc>
        <w:tc>
          <w:tcPr>
            <w:tcW w:type="dxa" w:w="6600"/>
            <w:vAlign w:val="center"/>
          </w:tcPr>
          <w:p>
            <w:pPr>
              <w:spacing w:after="0"/>
            </w:pPr>
            <w:r>
              <w:rPr>
                <w:sz w:val="18"/>
              </w:rPr>
              <w:t>Configured mock Splunk, Firewall, and other source definitions.</w:t>
            </w:r>
          </w:p>
        </w:tc>
      </w:tr>
      <w:tr>
        <w:tc>
          <w:tcPr>
            <w:tcW w:type="dxa" w:w="2600"/>
            <w:vAlign w:val="center"/>
          </w:tcPr>
          <w:p>
            <w:pPr>
              <w:spacing w:after="0"/>
            </w:pPr>
            <w:r>
              <w:rPr>
                <w:sz w:val="18"/>
              </w:rPr>
              <w:t>alerts</w:t>
            </w:r>
          </w:p>
        </w:tc>
        <w:tc>
          <w:tcPr>
            <w:tcW w:type="dxa" w:w="6600"/>
            <w:vAlign w:val="center"/>
          </w:tcPr>
          <w:p>
            <w:pPr>
              <w:spacing w:after="0"/>
            </w:pPr>
            <w:r>
              <w:rPr>
                <w:sz w:val="18"/>
              </w:rPr>
              <w:t>Normalized alert records and severity metadata.</w:t>
            </w:r>
          </w:p>
        </w:tc>
      </w:tr>
      <w:tr>
        <w:tc>
          <w:tcPr>
            <w:tcW w:type="dxa" w:w="2600"/>
            <w:vAlign w:val="center"/>
          </w:tcPr>
          <w:p>
            <w:pPr>
              <w:spacing w:after="0"/>
            </w:pPr>
            <w:r>
              <w:rPr>
                <w:sz w:val="18"/>
              </w:rPr>
              <w:t>alert_groups</w:t>
            </w:r>
          </w:p>
        </w:tc>
        <w:tc>
          <w:tcPr>
            <w:tcW w:type="dxa" w:w="6600"/>
            <w:vAlign w:val="center"/>
          </w:tcPr>
          <w:p>
            <w:pPr>
              <w:spacing w:after="0"/>
            </w:pPr>
            <w:r>
              <w:rPr>
                <w:sz w:val="18"/>
              </w:rPr>
              <w:t>Composite grouping of related alerts.</w:t>
            </w:r>
          </w:p>
        </w:tc>
      </w:tr>
      <w:tr>
        <w:tc>
          <w:tcPr>
            <w:tcW w:type="dxa" w:w="2600"/>
            <w:vAlign w:val="center"/>
          </w:tcPr>
          <w:p>
            <w:pPr>
              <w:spacing w:after="0"/>
            </w:pPr>
            <w:r>
              <w:rPr>
                <w:sz w:val="18"/>
              </w:rPr>
              <w:t>alert_group_members</w:t>
            </w:r>
          </w:p>
        </w:tc>
        <w:tc>
          <w:tcPr>
            <w:tcW w:type="dxa" w:w="6600"/>
            <w:vAlign w:val="center"/>
          </w:tcPr>
          <w:p>
            <w:pPr>
              <w:spacing w:after="0"/>
            </w:pPr>
            <w:r>
              <w:rPr>
                <w:sz w:val="18"/>
              </w:rPr>
              <w:t>Membership join table for alert composites.</w:t>
            </w:r>
          </w:p>
        </w:tc>
      </w:tr>
      <w:tr>
        <w:tc>
          <w:tcPr>
            <w:tcW w:type="dxa" w:w="2600"/>
            <w:vAlign w:val="center"/>
          </w:tcPr>
          <w:p>
            <w:pPr>
              <w:spacing w:after="0"/>
            </w:pPr>
            <w:r>
              <w:rPr>
                <w:sz w:val="18"/>
              </w:rPr>
              <w:t>enrichment_results</w:t>
            </w:r>
          </w:p>
        </w:tc>
        <w:tc>
          <w:tcPr>
            <w:tcW w:type="dxa" w:w="6600"/>
            <w:vAlign w:val="center"/>
          </w:tcPr>
          <w:p>
            <w:pPr>
              <w:spacing w:after="0"/>
            </w:pPr>
            <w:r>
              <w:rPr>
                <w:sz w:val="18"/>
              </w:rPr>
              <w:t>Geo, asset criticality, threat intel, and enrichment evidence.</w:t>
            </w:r>
          </w:p>
        </w:tc>
      </w:tr>
      <w:tr>
        <w:tc>
          <w:tcPr>
            <w:tcW w:type="dxa" w:w="2600"/>
            <w:vAlign w:val="center"/>
          </w:tcPr>
          <w:p>
            <w:pPr>
              <w:spacing w:after="0"/>
            </w:pPr>
            <w:r>
              <w:rPr>
                <w:sz w:val="18"/>
              </w:rPr>
              <w:t>incidents</w:t>
            </w:r>
          </w:p>
        </w:tc>
        <w:tc>
          <w:tcPr>
            <w:tcW w:type="dxa" w:w="6600"/>
            <w:vAlign w:val="center"/>
          </w:tcPr>
          <w:p>
            <w:pPr>
              <w:spacing w:after="0"/>
            </w:pPr>
            <w:r>
              <w:rPr>
                <w:sz w:val="18"/>
              </w:rPr>
              <w:t>Incident records, severity, status, and lifecycle state.</w:t>
            </w:r>
          </w:p>
        </w:tc>
      </w:tr>
      <w:tr>
        <w:tc>
          <w:tcPr>
            <w:tcW w:type="dxa" w:w="2600"/>
            <w:vAlign w:val="center"/>
          </w:tcPr>
          <w:p>
            <w:pPr>
              <w:spacing w:after="0"/>
            </w:pPr>
            <w:r>
              <w:rPr>
                <w:sz w:val="18"/>
              </w:rPr>
              <w:t>incident_alerts</w:t>
            </w:r>
          </w:p>
        </w:tc>
        <w:tc>
          <w:tcPr>
            <w:tcW w:type="dxa" w:w="6600"/>
            <w:vAlign w:val="center"/>
          </w:tcPr>
          <w:p>
            <w:pPr>
              <w:spacing w:after="0"/>
            </w:pPr>
            <w:r>
              <w:rPr>
                <w:sz w:val="18"/>
              </w:rPr>
              <w:t>Incident-to-alert correlation join table.</w:t>
            </w:r>
          </w:p>
        </w:tc>
      </w:tr>
      <w:tr>
        <w:tc>
          <w:tcPr>
            <w:tcW w:type="dxa" w:w="2600"/>
            <w:vAlign w:val="center"/>
          </w:tcPr>
          <w:p>
            <w:pPr>
              <w:spacing w:after="0"/>
            </w:pPr>
            <w:r>
              <w:rPr>
                <w:sz w:val="18"/>
              </w:rPr>
              <w:t>incident_state_transitions</w:t>
            </w:r>
          </w:p>
        </w:tc>
        <w:tc>
          <w:tcPr>
            <w:tcW w:type="dxa" w:w="6600"/>
            <w:vAlign w:val="center"/>
          </w:tcPr>
          <w:p>
            <w:pPr>
              <w:spacing w:after="0"/>
            </w:pPr>
            <w:r>
              <w:rPr>
                <w:sz w:val="18"/>
              </w:rPr>
              <w:t>History of incident state movement.</w:t>
            </w:r>
          </w:p>
        </w:tc>
      </w:tr>
      <w:tr>
        <w:tc>
          <w:tcPr>
            <w:tcW w:type="dxa" w:w="2600"/>
            <w:vAlign w:val="center"/>
          </w:tcPr>
          <w:p>
            <w:pPr>
              <w:spacing w:after="0"/>
            </w:pPr>
            <w:r>
              <w:rPr>
                <w:sz w:val="18"/>
              </w:rPr>
              <w:t>response_actions</w:t>
            </w:r>
          </w:p>
        </w:tc>
        <w:tc>
          <w:tcPr>
            <w:tcW w:type="dxa" w:w="6600"/>
            <w:vAlign w:val="center"/>
          </w:tcPr>
          <w:p>
            <w:pPr>
              <w:spacing w:after="0"/>
            </w:pPr>
            <w:r>
              <w:rPr>
                <w:sz w:val="18"/>
              </w:rPr>
              <w:t>Planned response actions such as isolate host or block IP.</w:t>
            </w:r>
          </w:p>
        </w:tc>
      </w:tr>
      <w:tr>
        <w:tc>
          <w:tcPr>
            <w:tcW w:type="dxa" w:w="2600"/>
            <w:vAlign w:val="center"/>
          </w:tcPr>
          <w:p>
            <w:pPr>
              <w:spacing w:after="0"/>
            </w:pPr>
            <w:r>
              <w:rPr>
                <w:sz w:val="18"/>
              </w:rPr>
              <w:t>response_action_outcomes</w:t>
            </w:r>
          </w:p>
        </w:tc>
        <w:tc>
          <w:tcPr>
            <w:tcW w:type="dxa" w:w="6600"/>
            <w:vAlign w:val="center"/>
          </w:tcPr>
          <w:p>
            <w:pPr>
              <w:spacing w:after="0"/>
            </w:pPr>
            <w:r>
              <w:rPr>
                <w:sz w:val="18"/>
              </w:rPr>
              <w:t>Execution results for response actions.</w:t>
            </w:r>
          </w:p>
        </w:tc>
      </w:tr>
      <w:tr>
        <w:tc>
          <w:tcPr>
            <w:tcW w:type="dxa" w:w="2600"/>
            <w:vAlign w:val="center"/>
          </w:tcPr>
          <w:p>
            <w:pPr>
              <w:spacing w:after="0"/>
            </w:pPr>
            <w:r>
              <w:rPr>
                <w:sz w:val="18"/>
              </w:rPr>
              <w:t>threat_indicators</w:t>
            </w:r>
          </w:p>
        </w:tc>
        <w:tc>
          <w:tcPr>
            <w:tcW w:type="dxa" w:w="6600"/>
            <w:vAlign w:val="center"/>
          </w:tcPr>
          <w:p>
            <w:pPr>
              <w:spacing w:after="0"/>
            </w:pPr>
            <w:r>
              <w:rPr>
                <w:sz w:val="18"/>
              </w:rPr>
              <w:t>Indicators and reputation data.</w:t>
            </w:r>
          </w:p>
        </w:tc>
      </w:tr>
      <w:tr>
        <w:tc>
          <w:tcPr>
            <w:tcW w:type="dxa" w:w="2600"/>
            <w:vAlign w:val="center"/>
          </w:tcPr>
          <w:p>
            <w:pPr>
              <w:spacing w:after="0"/>
            </w:pPr>
            <w:r>
              <w:rPr>
                <w:sz w:val="18"/>
              </w:rPr>
              <w:t>notifications</w:t>
            </w:r>
          </w:p>
        </w:tc>
        <w:tc>
          <w:tcPr>
            <w:tcW w:type="dxa" w:w="6600"/>
            <w:vAlign w:val="center"/>
          </w:tcPr>
          <w:p>
            <w:pPr>
              <w:spacing w:after="0"/>
            </w:pPr>
            <w:r>
              <w:rPr>
                <w:sz w:val="18"/>
              </w:rPr>
              <w:t>Mock Slack, PagerDuty, and Email dispatch records.</w:t>
            </w:r>
          </w:p>
        </w:tc>
      </w:tr>
      <w:tr>
        <w:tc>
          <w:tcPr>
            <w:tcW w:type="dxa" w:w="2600"/>
            <w:vAlign w:val="center"/>
          </w:tcPr>
          <w:p>
            <w:pPr>
              <w:spacing w:after="0"/>
            </w:pPr>
            <w:r>
              <w:rPr>
                <w:sz w:val="18"/>
              </w:rPr>
              <w:t>audit_logs</w:t>
            </w:r>
          </w:p>
        </w:tc>
        <w:tc>
          <w:tcPr>
            <w:tcW w:type="dxa" w:w="6600"/>
            <w:vAlign w:val="center"/>
          </w:tcPr>
          <w:p>
            <w:pPr>
              <w:spacing w:after="0"/>
            </w:pPr>
            <w:r>
              <w:rPr>
                <w:sz w:val="18"/>
              </w:rPr>
              <w:t>Security and system audit trail.</w:t>
            </w:r>
          </w:p>
        </w:tc>
      </w:tr>
    </w:tbl>
    <w:p/>
    <w:p>
      <w:pPr>
        <w:pStyle w:val="Heading1"/>
      </w:pPr>
      <w:r>
        <w:t>Service Boundaries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2900"/>
            <w:shd w:fill="EEF3F8"/>
            <w:vAlign w:val="center"/>
          </w:tcPr>
          <w:p>
            <w:pPr>
              <w:spacing w:after="0"/>
            </w:pPr>
            <w:r>
              <w:rPr>
                <w:b/>
                <w:color w:val="0B2545"/>
              </w:rPr>
              <w:t>Service</w:t>
            </w:r>
          </w:p>
        </w:tc>
        <w:tc>
          <w:tcPr>
            <w:tcW w:type="dxa" w:w="6300"/>
            <w:shd w:fill="EEF3F8"/>
            <w:vAlign w:val="center"/>
          </w:tcPr>
          <w:p>
            <w:pPr>
              <w:spacing w:after="0"/>
            </w:pPr>
            <w:r>
              <w:rPr>
                <w:b/>
                <w:color w:val="0B2545"/>
              </w:rPr>
              <w:t>Responsibility</w:t>
            </w:r>
          </w:p>
        </w:tc>
      </w:tr>
      <w:tr>
        <w:tc>
          <w:tcPr>
            <w:tcW w:type="dxa" w:w="2900"/>
            <w:vAlign w:val="center"/>
          </w:tcPr>
          <w:p>
            <w:pPr>
              <w:spacing w:after="0"/>
            </w:pPr>
            <w:r>
              <w:rPr>
                <w:sz w:val="18"/>
              </w:rPr>
              <w:t>alert-ingestion-service</w:t>
            </w:r>
          </w:p>
        </w:tc>
        <w:tc>
          <w:tcPr>
            <w:tcW w:type="dxa" w:w="6300"/>
            <w:vAlign w:val="center"/>
          </w:tcPr>
          <w:p>
            <w:pPr>
              <w:spacing w:after="0"/>
            </w:pPr>
            <w:r>
              <w:rPr>
                <w:sz w:val="18"/>
              </w:rPr>
              <w:t>Webhook/poll intake, source-specific normalization, AlertIngested event.</w:t>
            </w:r>
          </w:p>
        </w:tc>
      </w:tr>
      <w:tr>
        <w:tc>
          <w:tcPr>
            <w:tcW w:type="dxa" w:w="2900"/>
            <w:vAlign w:val="center"/>
          </w:tcPr>
          <w:p>
            <w:pPr>
              <w:spacing w:after="0"/>
            </w:pPr>
            <w:r>
              <w:rPr>
                <w:sz w:val="18"/>
              </w:rPr>
              <w:t>enrichment-correlation-service</w:t>
            </w:r>
          </w:p>
        </w:tc>
        <w:tc>
          <w:tcPr>
            <w:tcW w:type="dxa" w:w="6300"/>
            <w:vAlign w:val="center"/>
          </w:tcPr>
          <w:p>
            <w:pPr>
              <w:spacing w:after="0"/>
            </w:pPr>
            <w:r>
              <w:rPr>
                <w:sz w:val="18"/>
              </w:rPr>
              <w:t>Enrichment pipeline, threat scoring, alert grouping, incident creation.</w:t>
            </w:r>
          </w:p>
        </w:tc>
      </w:tr>
      <w:tr>
        <w:tc>
          <w:tcPr>
            <w:tcW w:type="dxa" w:w="2900"/>
            <w:vAlign w:val="center"/>
          </w:tcPr>
          <w:p>
            <w:pPr>
              <w:spacing w:after="0"/>
            </w:pPr>
            <w:r>
              <w:rPr>
                <w:sz w:val="18"/>
              </w:rPr>
              <w:t>incident-management-service</w:t>
            </w:r>
          </w:p>
        </w:tc>
        <w:tc>
          <w:tcPr>
            <w:tcW w:type="dxa" w:w="6300"/>
            <w:vAlign w:val="center"/>
          </w:tcPr>
          <w:p>
            <w:pPr>
              <w:spacing w:after="0"/>
            </w:pPr>
            <w:r>
              <w:rPr>
                <w:sz w:val="18"/>
              </w:rPr>
              <w:t>Incident CRUD and state machine transitions.</w:t>
            </w:r>
          </w:p>
        </w:tc>
      </w:tr>
      <w:tr>
        <w:tc>
          <w:tcPr>
            <w:tcW w:type="dxa" w:w="2900"/>
            <w:vAlign w:val="center"/>
          </w:tcPr>
          <w:p>
            <w:pPr>
              <w:spacing w:after="0"/>
            </w:pPr>
            <w:r>
              <w:rPr>
                <w:sz w:val="18"/>
              </w:rPr>
              <w:t>response-orchestration-service</w:t>
            </w:r>
          </w:p>
        </w:tc>
        <w:tc>
          <w:tcPr>
            <w:tcW w:type="dxa" w:w="6300"/>
            <w:vAlign w:val="center"/>
          </w:tcPr>
          <w:p>
            <w:pPr>
              <w:spacing w:after="0"/>
            </w:pPr>
            <w:r>
              <w:rPr>
                <w:sz w:val="18"/>
              </w:rPr>
              <w:t>Strategy selection, response factory, decorators, proxy execution.</w:t>
            </w:r>
          </w:p>
        </w:tc>
      </w:tr>
      <w:tr>
        <w:tc>
          <w:tcPr>
            <w:tcW w:type="dxa" w:w="2900"/>
            <w:vAlign w:val="center"/>
          </w:tcPr>
          <w:p>
            <w:pPr>
              <w:spacing w:after="0"/>
            </w:pPr>
            <w:r>
              <w:rPr>
                <w:sz w:val="18"/>
              </w:rPr>
              <w:t>threat-intel-service</w:t>
            </w:r>
          </w:p>
        </w:tc>
        <w:tc>
          <w:tcPr>
            <w:tcW w:type="dxa" w:w="6300"/>
            <w:vAlign w:val="center"/>
          </w:tcPr>
          <w:p>
            <w:pPr>
              <w:spacing w:after="0"/>
            </w:pPr>
            <w:r>
              <w:rPr>
                <w:sz w:val="18"/>
              </w:rPr>
              <w:t>Mock reputation lookup through adapters and Redis proxy cache.</w:t>
            </w:r>
          </w:p>
        </w:tc>
      </w:tr>
      <w:tr>
        <w:tc>
          <w:tcPr>
            <w:tcW w:type="dxa" w:w="2900"/>
            <w:vAlign w:val="center"/>
          </w:tcPr>
          <w:p>
            <w:pPr>
              <w:spacing w:after="0"/>
            </w:pPr>
            <w:r>
              <w:rPr>
                <w:sz w:val="18"/>
              </w:rPr>
              <w:t>notification-service</w:t>
            </w:r>
          </w:p>
        </w:tc>
        <w:tc>
          <w:tcPr>
            <w:tcW w:type="dxa" w:w="6300"/>
            <w:vAlign w:val="center"/>
          </w:tcPr>
          <w:p>
            <w:pPr>
              <w:spacing w:after="0"/>
            </w:pPr>
            <w:r>
              <w:rPr>
                <w:sz w:val="18"/>
              </w:rPr>
              <w:t>Mock Slack, PagerDuty, and Email dispatch adapters.</w:t>
            </w:r>
          </w:p>
        </w:tc>
      </w:tr>
      <w:tr>
        <w:tc>
          <w:tcPr>
            <w:tcW w:type="dxa" w:w="2900"/>
            <w:vAlign w:val="center"/>
          </w:tcPr>
          <w:p>
            <w:pPr>
              <w:spacing w:after="0"/>
            </w:pPr>
            <w:r>
              <w:rPr>
                <w:sz w:val="18"/>
              </w:rPr>
              <w:t>audit-service</w:t>
            </w:r>
          </w:p>
        </w:tc>
        <w:tc>
          <w:tcPr>
            <w:tcW w:type="dxa" w:w="6300"/>
            <w:vAlign w:val="center"/>
          </w:tcPr>
          <w:p>
            <w:pPr>
              <w:spacing w:after="0"/>
            </w:pPr>
            <w:r>
              <w:rPr>
                <w:sz w:val="18"/>
              </w:rPr>
              <w:t>Audit event creation and query API.</w:t>
            </w:r>
          </w:p>
        </w:tc>
      </w:tr>
      <w:tr>
        <w:tc>
          <w:tcPr>
            <w:tcW w:type="dxa" w:w="2900"/>
            <w:vAlign w:val="center"/>
          </w:tcPr>
          <w:p>
            <w:pPr>
              <w:spacing w:after="0"/>
            </w:pPr>
            <w:r>
              <w:rPr>
                <w:sz w:val="18"/>
              </w:rPr>
              <w:t>identity-service</w:t>
            </w:r>
          </w:p>
        </w:tc>
        <w:tc>
          <w:tcPr>
            <w:tcW w:type="dxa" w:w="6300"/>
            <w:vAlign w:val="center"/>
          </w:tcPr>
          <w:p>
            <w:pPr>
              <w:spacing w:after="0"/>
            </w:pPr>
            <w:r>
              <w:rPr>
                <w:sz w:val="18"/>
              </w:rPr>
              <w:t>Mock login/signup/profile flow for demo analysts.</w:t>
            </w:r>
          </w:p>
        </w:tc>
      </w:tr>
      <w:tr>
        <w:tc>
          <w:tcPr>
            <w:tcW w:type="dxa" w:w="2900"/>
            <w:vAlign w:val="center"/>
          </w:tcPr>
          <w:p>
            <w:pPr>
              <w:spacing w:after="0"/>
            </w:pPr>
            <w:r>
              <w:rPr>
                <w:sz w:val="18"/>
              </w:rPr>
              <w:t>soc-dashboard</w:t>
            </w:r>
          </w:p>
        </w:tc>
        <w:tc>
          <w:tcPr>
            <w:tcW w:type="dxa" w:w="6300"/>
            <w:vAlign w:val="center"/>
          </w:tcPr>
          <w:p>
            <w:pPr>
              <w:spacing w:after="0"/>
            </w:pPr>
            <w:r>
              <w:rPr>
                <w:sz w:val="18"/>
              </w:rPr>
              <w:t>Modern React dashboard and realtime monitoring screens.</w:t>
            </w:r>
          </w:p>
        </w:tc>
      </w:tr>
      <w:tr>
        <w:tc>
          <w:tcPr>
            <w:tcW w:type="dxa" w:w="2900"/>
            <w:vAlign w:val="center"/>
          </w:tcPr>
          <w:p>
            <w:pPr>
              <w:spacing w:after="0"/>
            </w:pPr>
            <w:r>
              <w:rPr>
                <w:sz w:val="18"/>
              </w:rPr>
              <w:t>shared contracts</w:t>
            </w:r>
          </w:p>
        </w:tc>
        <w:tc>
          <w:tcPr>
            <w:tcW w:type="dxa" w:w="6300"/>
            <w:vAlign w:val="center"/>
          </w:tcPr>
          <w:p>
            <w:pPr>
              <w:spacing w:after="0"/>
            </w:pPr>
            <w:r>
              <w:rPr>
                <w:sz w:val="18"/>
              </w:rPr>
              <w:t>OpenAPI, AsyncAPI, event DTOs, and shared documentation.</w:t>
            </w:r>
          </w:p>
        </w:tc>
      </w:tr>
    </w:tbl>
    <w:p/>
    <w:p>
      <w:pPr>
        <w:pStyle w:val="Heading1"/>
      </w:pPr>
      <w:r>
        <w:t>API Endpoints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3600"/>
            <w:shd w:fill="EEF3F8"/>
            <w:vAlign w:val="center"/>
          </w:tcPr>
          <w:p>
            <w:pPr>
              <w:spacing w:after="0"/>
            </w:pPr>
            <w:r>
              <w:rPr>
                <w:b/>
                <w:color w:val="0B2545"/>
              </w:rPr>
              <w:t>Endpoint</w:t>
            </w:r>
          </w:p>
        </w:tc>
        <w:tc>
          <w:tcPr>
            <w:tcW w:type="dxa" w:w="5600"/>
            <w:shd w:fill="EEF3F8"/>
            <w:vAlign w:val="center"/>
          </w:tcPr>
          <w:p>
            <w:pPr>
              <w:spacing w:after="0"/>
            </w:pPr>
            <w:r>
              <w:rPr>
                <w:b/>
                <w:color w:val="0B2545"/>
              </w:rPr>
              <w:t>Purpose</w:t>
            </w:r>
          </w:p>
        </w:tc>
      </w:tr>
      <w:tr>
        <w:tc>
          <w:tcPr>
            <w:tcW w:type="dxa" w:w="3600"/>
            <w:vAlign w:val="center"/>
          </w:tcPr>
          <w:p>
            <w:pPr>
              <w:spacing w:after="0"/>
            </w:pPr>
            <w:r>
              <w:rPr>
                <w:sz w:val="18"/>
              </w:rPr>
              <w:t>POST /ingest/webhook/{sourceType}</w:t>
            </w:r>
          </w:p>
        </w:tc>
        <w:tc>
          <w:tcPr>
            <w:tcW w:type="dxa" w:w="5600"/>
            <w:vAlign w:val="center"/>
          </w:tcPr>
          <w:p>
            <w:pPr>
              <w:spacing w:after="0"/>
            </w:pPr>
            <w:r>
              <w:rPr>
                <w:sz w:val="18"/>
              </w:rPr>
              <w:t>Accept mock Splunk/Firewall webhook alerts.</w:t>
            </w:r>
          </w:p>
        </w:tc>
      </w:tr>
      <w:tr>
        <w:tc>
          <w:tcPr>
            <w:tcW w:type="dxa" w:w="3600"/>
            <w:vAlign w:val="center"/>
          </w:tcPr>
          <w:p>
            <w:pPr>
              <w:spacing w:after="0"/>
            </w:pPr>
            <w:r>
              <w:rPr>
                <w:sz w:val="18"/>
              </w:rPr>
              <w:t>POST /ingest/poll/{sourceId}</w:t>
            </w:r>
          </w:p>
        </w:tc>
        <w:tc>
          <w:tcPr>
            <w:tcW w:type="dxa" w:w="5600"/>
            <w:vAlign w:val="center"/>
          </w:tcPr>
          <w:p>
            <w:pPr>
              <w:spacing w:after="0"/>
            </w:pPr>
            <w:r>
              <w:rPr>
                <w:sz w:val="18"/>
              </w:rPr>
              <w:t>Simulate polling an alert source.</w:t>
            </w:r>
          </w:p>
        </w:tc>
      </w:tr>
      <w:tr>
        <w:tc>
          <w:tcPr>
            <w:tcW w:type="dxa" w:w="3600"/>
            <w:vAlign w:val="center"/>
          </w:tcPr>
          <w:p>
            <w:pPr>
              <w:spacing w:after="0"/>
            </w:pPr>
            <w:r>
              <w:rPr>
                <w:sz w:val="18"/>
              </w:rPr>
              <w:t>GET /alerts, GET /alerts/{id}</w:t>
            </w:r>
          </w:p>
        </w:tc>
        <w:tc>
          <w:tcPr>
            <w:tcW w:type="dxa" w:w="5600"/>
            <w:vAlign w:val="center"/>
          </w:tcPr>
          <w:p>
            <w:pPr>
              <w:spacing w:after="0"/>
            </w:pPr>
            <w:r>
              <w:rPr>
                <w:sz w:val="18"/>
              </w:rPr>
              <w:t>List and inspect normalized alerts.</w:t>
            </w:r>
          </w:p>
        </w:tc>
      </w:tr>
      <w:tr>
        <w:tc>
          <w:tcPr>
            <w:tcW w:type="dxa" w:w="3600"/>
            <w:vAlign w:val="center"/>
          </w:tcPr>
          <w:p>
            <w:pPr>
              <w:spacing w:after="0"/>
            </w:pPr>
            <w:r>
              <w:rPr>
                <w:sz w:val="18"/>
              </w:rPr>
              <w:t>POST /enrichment/process</w:t>
            </w:r>
          </w:p>
        </w:tc>
        <w:tc>
          <w:tcPr>
            <w:tcW w:type="dxa" w:w="5600"/>
            <w:vAlign w:val="center"/>
          </w:tcPr>
          <w:p>
            <w:pPr>
              <w:spacing w:after="0"/>
            </w:pPr>
            <w:r>
              <w:rPr>
                <w:sz w:val="18"/>
              </w:rPr>
              <w:t>Run enrichment chain on an alert.</w:t>
            </w:r>
          </w:p>
        </w:tc>
      </w:tr>
      <w:tr>
        <w:tc>
          <w:tcPr>
            <w:tcW w:type="dxa" w:w="3600"/>
            <w:vAlign w:val="center"/>
          </w:tcPr>
          <w:p>
            <w:pPr>
              <w:spacing w:after="0"/>
            </w:pPr>
            <w:r>
              <w:rPr>
                <w:sz w:val="18"/>
              </w:rPr>
              <w:t>GET /incidents, POST /incidents, GET /incidents/{id}</w:t>
            </w:r>
          </w:p>
        </w:tc>
        <w:tc>
          <w:tcPr>
            <w:tcW w:type="dxa" w:w="5600"/>
            <w:vAlign w:val="center"/>
          </w:tcPr>
          <w:p>
            <w:pPr>
              <w:spacing w:after="0"/>
            </w:pPr>
            <w:r>
              <w:rPr>
                <w:sz w:val="18"/>
              </w:rPr>
              <w:t>Incident queue and incident detail support.</w:t>
            </w:r>
          </w:p>
        </w:tc>
      </w:tr>
      <w:tr>
        <w:tc>
          <w:tcPr>
            <w:tcW w:type="dxa" w:w="3600"/>
            <w:vAlign w:val="center"/>
          </w:tcPr>
          <w:p>
            <w:pPr>
              <w:spacing w:after="0"/>
            </w:pPr>
            <w:r>
              <w:rPr>
                <w:sz w:val="18"/>
              </w:rPr>
              <w:t>PATCH /incidents/{id}/state</w:t>
            </w:r>
          </w:p>
        </w:tc>
        <w:tc>
          <w:tcPr>
            <w:tcW w:type="dxa" w:w="5600"/>
            <w:vAlign w:val="center"/>
          </w:tcPr>
          <w:p>
            <w:pPr>
              <w:spacing w:after="0"/>
            </w:pPr>
            <w:r>
              <w:rPr>
                <w:sz w:val="18"/>
              </w:rPr>
              <w:t>Move incident through lifecycle states.</w:t>
            </w:r>
          </w:p>
        </w:tc>
      </w:tr>
      <w:tr>
        <w:tc>
          <w:tcPr>
            <w:tcW w:type="dxa" w:w="3600"/>
            <w:vAlign w:val="center"/>
          </w:tcPr>
          <w:p>
            <w:pPr>
              <w:spacing w:after="0"/>
            </w:pPr>
            <w:r>
              <w:rPr>
                <w:sz w:val="18"/>
              </w:rPr>
              <w:t>POST /incidents/{id}/respond</w:t>
            </w:r>
          </w:p>
        </w:tc>
        <w:tc>
          <w:tcPr>
            <w:tcW w:type="dxa" w:w="5600"/>
            <w:vAlign w:val="center"/>
          </w:tcPr>
          <w:p>
            <w:pPr>
              <w:spacing w:after="0"/>
            </w:pPr>
            <w:r>
              <w:rPr>
                <w:sz w:val="18"/>
              </w:rPr>
              <w:t>Select and execute response strategy.</w:t>
            </w:r>
          </w:p>
        </w:tc>
      </w:tr>
      <w:tr>
        <w:tc>
          <w:tcPr>
            <w:tcW w:type="dxa" w:w="3600"/>
            <w:vAlign w:val="center"/>
          </w:tcPr>
          <w:p>
            <w:pPr>
              <w:spacing w:after="0"/>
            </w:pPr>
            <w:r>
              <w:rPr>
                <w:sz w:val="18"/>
              </w:rPr>
              <w:t>POST /incidents/{id}/actions</w:t>
            </w:r>
          </w:p>
        </w:tc>
        <w:tc>
          <w:tcPr>
            <w:tcW w:type="dxa" w:w="5600"/>
            <w:vAlign w:val="center"/>
          </w:tcPr>
          <w:p>
            <w:pPr>
              <w:spacing w:after="0"/>
            </w:pPr>
            <w:r>
              <w:rPr>
                <w:sz w:val="18"/>
              </w:rPr>
              <w:t>Execute explicit response actions.</w:t>
            </w:r>
          </w:p>
        </w:tc>
      </w:tr>
      <w:tr>
        <w:tc>
          <w:tcPr>
            <w:tcW w:type="dxa" w:w="3600"/>
            <w:vAlign w:val="center"/>
          </w:tcPr>
          <w:p>
            <w:pPr>
              <w:spacing w:after="0"/>
            </w:pPr>
            <w:r>
              <w:rPr>
                <w:sz w:val="18"/>
              </w:rPr>
              <w:t>POST /threat-intel/reputation</w:t>
            </w:r>
          </w:p>
        </w:tc>
        <w:tc>
          <w:tcPr>
            <w:tcW w:type="dxa" w:w="5600"/>
            <w:vAlign w:val="center"/>
          </w:tcPr>
          <w:p>
            <w:pPr>
              <w:spacing w:after="0"/>
            </w:pPr>
            <w:r>
              <w:rPr>
                <w:sz w:val="18"/>
              </w:rPr>
              <w:t>Mock reputation lookup through adapter/proxy cache.</w:t>
            </w:r>
          </w:p>
        </w:tc>
      </w:tr>
      <w:tr>
        <w:tc>
          <w:tcPr>
            <w:tcW w:type="dxa" w:w="3600"/>
            <w:vAlign w:val="center"/>
          </w:tcPr>
          <w:p>
            <w:pPr>
              <w:spacing w:after="0"/>
            </w:pPr>
            <w:r>
              <w:rPr>
                <w:sz w:val="18"/>
              </w:rPr>
              <w:t>POST /notifications/dispatch</w:t>
            </w:r>
          </w:p>
        </w:tc>
        <w:tc>
          <w:tcPr>
            <w:tcW w:type="dxa" w:w="5600"/>
            <w:vAlign w:val="center"/>
          </w:tcPr>
          <w:p>
            <w:pPr>
              <w:spacing w:after="0"/>
            </w:pPr>
            <w:r>
              <w:rPr>
                <w:sz w:val="18"/>
              </w:rPr>
              <w:t>Mock notification dispatch.</w:t>
            </w:r>
          </w:p>
        </w:tc>
      </w:tr>
      <w:tr>
        <w:tc>
          <w:tcPr>
            <w:tcW w:type="dxa" w:w="3600"/>
            <w:vAlign w:val="center"/>
          </w:tcPr>
          <w:p>
            <w:pPr>
              <w:spacing w:after="0"/>
            </w:pPr>
            <w:r>
              <w:rPr>
                <w:sz w:val="18"/>
              </w:rPr>
              <w:t>GET /audit/events</w:t>
            </w:r>
          </w:p>
        </w:tc>
        <w:tc>
          <w:tcPr>
            <w:tcW w:type="dxa" w:w="5600"/>
            <w:vAlign w:val="center"/>
          </w:tcPr>
          <w:p>
            <w:pPr>
              <w:spacing w:after="0"/>
            </w:pPr>
            <w:r>
              <w:rPr>
                <w:sz w:val="18"/>
              </w:rPr>
              <w:t>Retrieve audit logs.</w:t>
            </w:r>
          </w:p>
        </w:tc>
      </w:tr>
      <w:tr>
        <w:tc>
          <w:tcPr>
            <w:tcW w:type="dxa" w:w="3600"/>
            <w:vAlign w:val="center"/>
          </w:tcPr>
          <w:p>
            <w:pPr>
              <w:spacing w:after="0"/>
            </w:pPr>
            <w:r>
              <w:rPr>
                <w:sz w:val="18"/>
              </w:rPr>
              <w:t>POST /auth/login, POST /auth/signup, GET /identity/me</w:t>
            </w:r>
          </w:p>
        </w:tc>
        <w:tc>
          <w:tcPr>
            <w:tcW w:type="dxa" w:w="5600"/>
            <w:vAlign w:val="center"/>
          </w:tcPr>
          <w:p>
            <w:pPr>
              <w:spacing w:after="0"/>
            </w:pPr>
            <w:r>
              <w:rPr>
                <w:sz w:val="18"/>
              </w:rPr>
              <w:t>Mock authentication and profile endpoints.</w:t>
            </w:r>
          </w:p>
        </w:tc>
      </w:tr>
      <w:tr>
        <w:tc>
          <w:tcPr>
            <w:tcW w:type="dxa" w:w="3600"/>
            <w:vAlign w:val="center"/>
          </w:tcPr>
          <w:p>
            <w:pPr>
              <w:spacing w:after="0"/>
            </w:pPr>
            <w:r>
              <w:rPr>
                <w:sz w:val="18"/>
              </w:rPr>
              <w:t>GET /dashboard/metrics, GET /dashboard/events</w:t>
            </w:r>
          </w:p>
        </w:tc>
        <w:tc>
          <w:tcPr>
            <w:tcW w:type="dxa" w:w="5600"/>
            <w:vAlign w:val="center"/>
          </w:tcPr>
          <w:p>
            <w:pPr>
              <w:spacing w:after="0"/>
            </w:pPr>
            <w:r>
              <w:rPr>
                <w:sz w:val="18"/>
              </w:rPr>
              <w:t>Dashboard metrics and realtime stream.</w:t>
            </w:r>
          </w:p>
        </w:tc>
      </w:tr>
    </w:tbl>
    <w:p/>
    <w:p>
      <w:pPr>
        <w:pStyle w:val="Heading1"/>
      </w:pPr>
      <w:r>
        <w:t>Event Definitions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2800"/>
            <w:shd w:fill="EEF3F8"/>
            <w:vAlign w:val="center"/>
          </w:tcPr>
          <w:p>
            <w:pPr>
              <w:spacing w:after="0"/>
            </w:pPr>
            <w:r>
              <w:rPr>
                <w:b/>
                <w:color w:val="0B2545"/>
              </w:rPr>
              <w:t>Event</w:t>
            </w:r>
          </w:p>
        </w:tc>
        <w:tc>
          <w:tcPr>
            <w:tcW w:type="dxa" w:w="6400"/>
            <w:shd w:fill="EEF3F8"/>
            <w:vAlign w:val="center"/>
          </w:tcPr>
          <w:p>
            <w:pPr>
              <w:spacing w:after="0"/>
            </w:pPr>
            <w:r>
              <w:rPr>
                <w:b/>
                <w:color w:val="0B2545"/>
              </w:rPr>
              <w:t>When Published</w:t>
            </w:r>
          </w:p>
        </w:tc>
      </w:tr>
      <w:tr>
        <w:tc>
          <w:tcPr>
            <w:tcW w:type="dxa" w:w="2800"/>
            <w:vAlign w:val="center"/>
          </w:tcPr>
          <w:p>
            <w:pPr>
              <w:spacing w:after="0"/>
            </w:pPr>
            <w:r>
              <w:rPr>
                <w:sz w:val="18"/>
              </w:rPr>
              <w:t>AlertIngested</w:t>
            </w:r>
          </w:p>
        </w:tc>
        <w:tc>
          <w:tcPr>
            <w:tcW w:type="dxa" w:w="6400"/>
            <w:vAlign w:val="center"/>
          </w:tcPr>
          <w:p>
            <w:pPr>
              <w:spacing w:after="0"/>
            </w:pPr>
            <w:r>
              <w:rPr>
                <w:sz w:val="18"/>
              </w:rPr>
              <w:t>A source alert is accepted and normalized.</w:t>
            </w:r>
          </w:p>
        </w:tc>
      </w:tr>
      <w:tr>
        <w:tc>
          <w:tcPr>
            <w:tcW w:type="dxa" w:w="2800"/>
            <w:vAlign w:val="center"/>
          </w:tcPr>
          <w:p>
            <w:pPr>
              <w:spacing w:after="0"/>
            </w:pPr>
            <w:r>
              <w:rPr>
                <w:sz w:val="18"/>
              </w:rPr>
              <w:t>AlertEnriched</w:t>
            </w:r>
          </w:p>
        </w:tc>
        <w:tc>
          <w:tcPr>
            <w:tcW w:type="dxa" w:w="6400"/>
            <w:vAlign w:val="center"/>
          </w:tcPr>
          <w:p>
            <w:pPr>
              <w:spacing w:after="0"/>
            </w:pPr>
            <w:r>
              <w:rPr>
                <w:sz w:val="18"/>
              </w:rPr>
              <w:t>The enrichment pipeline completes.</w:t>
            </w:r>
          </w:p>
        </w:tc>
      </w:tr>
      <w:tr>
        <w:tc>
          <w:tcPr>
            <w:tcW w:type="dxa" w:w="2800"/>
            <w:vAlign w:val="center"/>
          </w:tcPr>
          <w:p>
            <w:pPr>
              <w:spacing w:after="0"/>
            </w:pPr>
            <w:r>
              <w:rPr>
                <w:sz w:val="18"/>
              </w:rPr>
              <w:t>IncidentCreated</w:t>
            </w:r>
          </w:p>
        </w:tc>
        <w:tc>
          <w:tcPr>
            <w:tcW w:type="dxa" w:w="6400"/>
            <w:vAlign w:val="center"/>
          </w:tcPr>
          <w:p>
            <w:pPr>
              <w:spacing w:after="0"/>
            </w:pPr>
            <w:r>
              <w:rPr>
                <w:sz w:val="18"/>
              </w:rPr>
              <w:t>Correlation creates a new incident.</w:t>
            </w:r>
          </w:p>
        </w:tc>
      </w:tr>
      <w:tr>
        <w:tc>
          <w:tcPr>
            <w:tcW w:type="dxa" w:w="2800"/>
            <w:vAlign w:val="center"/>
          </w:tcPr>
          <w:p>
            <w:pPr>
              <w:spacing w:after="0"/>
            </w:pPr>
            <w:r>
              <w:rPr>
                <w:sz w:val="18"/>
              </w:rPr>
              <w:t>IncidentStateChanged</w:t>
            </w:r>
          </w:p>
        </w:tc>
        <w:tc>
          <w:tcPr>
            <w:tcW w:type="dxa" w:w="6400"/>
            <w:vAlign w:val="center"/>
          </w:tcPr>
          <w:p>
            <w:pPr>
              <w:spacing w:after="0"/>
            </w:pPr>
            <w:r>
              <w:rPr>
                <w:sz w:val="18"/>
              </w:rPr>
              <w:t>An incident moves lifecycle state.</w:t>
            </w:r>
          </w:p>
        </w:tc>
      </w:tr>
      <w:tr>
        <w:tc>
          <w:tcPr>
            <w:tcW w:type="dxa" w:w="2800"/>
            <w:vAlign w:val="center"/>
          </w:tcPr>
          <w:p>
            <w:pPr>
              <w:spacing w:after="0"/>
            </w:pPr>
            <w:r>
              <w:rPr>
                <w:sz w:val="18"/>
              </w:rPr>
              <w:t>ResponseActionExecuted</w:t>
            </w:r>
          </w:p>
        </w:tc>
        <w:tc>
          <w:tcPr>
            <w:tcW w:type="dxa" w:w="6400"/>
            <w:vAlign w:val="center"/>
          </w:tcPr>
          <w:p>
            <w:pPr>
              <w:spacing w:after="0"/>
            </w:pPr>
            <w:r>
              <w:rPr>
                <w:sz w:val="18"/>
              </w:rPr>
              <w:t>A response action finishes.</w:t>
            </w:r>
          </w:p>
        </w:tc>
      </w:tr>
      <w:tr>
        <w:tc>
          <w:tcPr>
            <w:tcW w:type="dxa" w:w="2800"/>
            <w:vAlign w:val="center"/>
          </w:tcPr>
          <w:p>
            <w:pPr>
              <w:spacing w:after="0"/>
            </w:pPr>
            <w:r>
              <w:rPr>
                <w:sz w:val="18"/>
              </w:rPr>
              <w:t>ThreatIntelUpdated</w:t>
            </w:r>
          </w:p>
        </w:tc>
        <w:tc>
          <w:tcPr>
            <w:tcW w:type="dxa" w:w="6400"/>
            <w:vAlign w:val="center"/>
          </w:tcPr>
          <w:p>
            <w:pPr>
              <w:spacing w:after="0"/>
            </w:pPr>
            <w:r>
              <w:rPr>
                <w:sz w:val="18"/>
              </w:rPr>
              <w:t>Threat reputation is looked up or cached.</w:t>
            </w:r>
          </w:p>
        </w:tc>
      </w:tr>
      <w:tr>
        <w:tc>
          <w:tcPr>
            <w:tcW w:type="dxa" w:w="2800"/>
            <w:vAlign w:val="center"/>
          </w:tcPr>
          <w:p>
            <w:pPr>
              <w:spacing w:after="0"/>
            </w:pPr>
            <w:r>
              <w:rPr>
                <w:sz w:val="18"/>
              </w:rPr>
              <w:t>NotificationDispatched</w:t>
            </w:r>
          </w:p>
        </w:tc>
        <w:tc>
          <w:tcPr>
            <w:tcW w:type="dxa" w:w="6400"/>
            <w:vAlign w:val="center"/>
          </w:tcPr>
          <w:p>
            <w:pPr>
              <w:spacing w:after="0"/>
            </w:pPr>
            <w:r>
              <w:rPr>
                <w:sz w:val="18"/>
              </w:rPr>
              <w:t>A mock notification adapter dispatches a message.</w:t>
            </w:r>
          </w:p>
        </w:tc>
      </w:tr>
      <w:tr>
        <w:tc>
          <w:tcPr>
            <w:tcW w:type="dxa" w:w="2800"/>
            <w:vAlign w:val="center"/>
          </w:tcPr>
          <w:p>
            <w:pPr>
              <w:spacing w:after="0"/>
            </w:pPr>
            <w:r>
              <w:rPr>
                <w:sz w:val="18"/>
              </w:rPr>
              <w:t>AuditLogCreated</w:t>
            </w:r>
          </w:p>
        </w:tc>
        <w:tc>
          <w:tcPr>
            <w:tcW w:type="dxa" w:w="6400"/>
            <w:vAlign w:val="center"/>
          </w:tcPr>
          <w:p>
            <w:pPr>
              <w:spacing w:after="0"/>
            </w:pPr>
            <w:r>
              <w:rPr>
                <w:sz w:val="18"/>
              </w:rPr>
              <w:t>A durable audit record is stored.</w:t>
            </w:r>
          </w:p>
        </w:tc>
      </w:tr>
    </w:tbl>
    <w:p/>
    <w:p>
      <w:pPr>
        <w:pStyle w:val="Heading1"/>
      </w:pPr>
      <w:r>
        <w:t>Required Demo Flow Evidence</w:t>
      </w:r>
    </w:p>
    <w:p>
      <w:pPr>
        <w:pStyle w:val="ListNumber"/>
      </w:pPr>
      <w:r>
        <w:t>Mock Splunk or Firewall alert enters /ingest/webhook/{sourceType}.</w:t>
      </w:r>
    </w:p>
    <w:p>
      <w:pPr>
        <w:pStyle w:val="ListNumber"/>
      </w:pPr>
      <w:r>
        <w:t>AlertNormalizerFactory selects a source normalizer.</w:t>
      </w:r>
    </w:p>
    <w:p>
      <w:pPr>
        <w:pStyle w:val="ListNumber"/>
      </w:pPr>
      <w:r>
        <w:t>EnrichmentChain runs geo, asset criticality, and threat intel handlers.</w:t>
      </w:r>
    </w:p>
    <w:p>
      <w:pPr>
        <w:pStyle w:val="ListNumber"/>
      </w:pPr>
      <w:r>
        <w:t>Threat intelligence is looked up through adapter classes and cached through the proxy.</w:t>
      </w:r>
    </w:p>
    <w:p>
      <w:pPr>
        <w:pStyle w:val="ListNumber"/>
      </w:pPr>
      <w:r>
        <w:t>Related alerts are grouped using the Composite pattern.</w:t>
      </w:r>
    </w:p>
    <w:p>
      <w:pPr>
        <w:pStyle w:val="ListNumber"/>
      </w:pPr>
      <w:r>
        <w:t>Correlation creates an incident in New state.</w:t>
      </w:r>
    </w:p>
    <w:p>
      <w:pPr>
        <w:pStyle w:val="ListNumber"/>
      </w:pPr>
      <w:r>
        <w:t>Incident moves through triage and containment using State pattern classes.</w:t>
      </w:r>
    </w:p>
    <w:p>
      <w:pPr>
        <w:pStyle w:val="ListNumber"/>
      </w:pPr>
      <w:r>
        <w:t>ResponseStrategy selects containment or eradication behavior.</w:t>
      </w:r>
    </w:p>
    <w:p>
      <w:pPr>
        <w:pStyle w:val="ListNumber"/>
      </w:pPr>
      <w:r>
        <w:t>ResponseActionFactory creates actions; decorators and proxies add audit and approval behavior.</w:t>
      </w:r>
    </w:p>
    <w:p>
      <w:pPr>
        <w:pStyle w:val="ListNumber"/>
      </w:pPr>
      <w:r>
        <w:t>RabbitMQ/EventBus publishes events; SSE updates dashboard panels in realtime.</w:t>
      </w:r>
    </w:p>
    <w:p>
      <w:pPr>
        <w:pStyle w:val="ListNumber"/>
      </w:pPr>
      <w:r>
        <w:t>Audit log is stored and visible in the Audit Logs screen.</w:t>
      </w:r>
    </w:p>
    <w:p>
      <w:pPr>
        <w:jc w:val="center"/>
      </w:pPr>
      <w:r>
        <w:drawing>
          <wp:inline xmlns:a="http://schemas.openxmlformats.org/drawingml/2006/main" xmlns:pic="http://schemas.openxmlformats.org/drawingml/2006/picture">
            <wp:extent cx="5760720" cy="1952074"/>
            <wp:docPr id="2" name="Picture 2"/>
            <wp:cNvGraphicFramePr>
              <a:graphicFrameLocks noChangeAspect="1"/>
            </wp:cNvGraphicFramePr>
            <a:graphic>
              <a:graphicData uri="http://schemas.openxmlformats.org/drawingml/2006/picture">
                <pic:pic>
                  <pic:nvPicPr>
                    <pic:cNvPr id="0" name="diagram-sequence-alert-ingestion.png"/>
                    <pic:cNvPicPr/>
                  </pic:nvPicPr>
                  <pic:blipFill>
                    <a:blip r:embed="rId11"/>
                    <a:stretch>
                      <a:fillRect/>
                    </a:stretch>
                  </pic:blipFill>
                  <pic:spPr>
                    <a:xfrm>
                      <a:off x="0" y="0"/>
                      <a:ext cx="5760720" cy="1952074"/>
                    </a:xfrm>
                    <a:prstGeom prst="rect"/>
                  </pic:spPr>
                </pic:pic>
              </a:graphicData>
            </a:graphic>
          </wp:inline>
        </w:drawing>
      </w:r>
    </w:p>
    <w:p>
      <w:pPr>
        <w:spacing w:after="160"/>
        <w:jc w:val="center"/>
      </w:pPr>
      <w:r>
        <w:rPr>
          <w:i/>
          <w:color w:val="5A6777"/>
          <w:sz w:val="18"/>
        </w:rPr>
        <w:t>Figure 2. Alert ingestion sequence diagram.</w:t>
      </w:r>
    </w:p>
    <w:p>
      <w:pPr>
        <w:jc w:val="center"/>
      </w:pPr>
      <w:r>
        <w:drawing>
          <wp:inline xmlns:a="http://schemas.openxmlformats.org/drawingml/2006/main" xmlns:pic="http://schemas.openxmlformats.org/drawingml/2006/picture">
            <wp:extent cx="5760720" cy="1909631"/>
            <wp:docPr id="3" name="Picture 3"/>
            <wp:cNvGraphicFramePr>
              <a:graphicFrameLocks noChangeAspect="1"/>
            </wp:cNvGraphicFramePr>
            <a:graphic>
              <a:graphicData uri="http://schemas.openxmlformats.org/drawingml/2006/picture">
                <pic:pic>
                  <pic:nvPicPr>
                    <pic:cNvPr id="0" name="diagram-sequence-incident-response.png"/>
                    <pic:cNvPicPr/>
                  </pic:nvPicPr>
                  <pic:blipFill>
                    <a:blip r:embed="rId12"/>
                    <a:stretch>
                      <a:fillRect/>
                    </a:stretch>
                  </pic:blipFill>
                  <pic:spPr>
                    <a:xfrm>
                      <a:off x="0" y="0"/>
                      <a:ext cx="5760720" cy="1909631"/>
                    </a:xfrm>
                    <a:prstGeom prst="rect"/>
                  </pic:spPr>
                </pic:pic>
              </a:graphicData>
            </a:graphic>
          </wp:inline>
        </w:drawing>
      </w:r>
    </w:p>
    <w:p>
      <w:pPr>
        <w:spacing w:after="160"/>
        <w:jc w:val="center"/>
      </w:pPr>
      <w:r>
        <w:rPr>
          <w:i/>
          <w:color w:val="5A6777"/>
          <w:sz w:val="18"/>
        </w:rPr>
        <w:t>Figure 3. Incident response sequence diagram.</w:t>
      </w:r>
    </w:p>
    <w:p>
      <w:pPr>
        <w:pStyle w:val="Heading1"/>
      </w:pPr>
      <w:r>
        <w:t>Frontend Screens</w:t>
      </w:r>
    </w:p>
    <w:p>
      <w:r>
        <w:t>The frontend was modernized for demo readiness: authentication is separated from the dashboard, signup is present, logout is available, raw backend identifiers and integration keys are masked, and each operational panel has a clean SOC-style layout.</w:t>
      </w:r>
    </w:p>
    <w:p>
      <w:pPr>
        <w:jc w:val="center"/>
      </w:pPr>
      <w:r>
        <w:drawing>
          <wp:inline xmlns:a="http://schemas.openxmlformats.org/drawingml/2006/main" xmlns:pic="http://schemas.openxmlformats.org/drawingml/2006/picture">
            <wp:extent cx="5806440" cy="4829461"/>
            <wp:docPr id="4" name="Picture 4"/>
            <wp:cNvGraphicFramePr>
              <a:graphicFrameLocks noChangeAspect="1"/>
            </wp:cNvGraphicFramePr>
            <a:graphic>
              <a:graphicData uri="http://schemas.openxmlformats.org/drawingml/2006/picture">
                <pic:pic>
                  <pic:nvPicPr>
                    <pic:cNvPr id="0" name="01-login-screen.png"/>
                    <pic:cNvPicPr/>
                  </pic:nvPicPr>
                  <pic:blipFill>
                    <a:blip r:embed="rId13"/>
                    <a:stretch>
                      <a:fillRect/>
                    </a:stretch>
                  </pic:blipFill>
                  <pic:spPr>
                    <a:xfrm>
                      <a:off x="0" y="0"/>
                      <a:ext cx="5806440" cy="4829461"/>
                    </a:xfrm>
                    <a:prstGeom prst="rect"/>
                  </pic:spPr>
                </pic:pic>
              </a:graphicData>
            </a:graphic>
          </wp:inline>
        </w:drawing>
      </w:r>
    </w:p>
    <w:p>
      <w:pPr>
        <w:spacing w:after="160"/>
        <w:jc w:val="center"/>
      </w:pPr>
      <w:r>
        <w:rPr>
          <w:i/>
          <w:color w:val="5A6777"/>
          <w:sz w:val="18"/>
        </w:rPr>
        <w:t>Figure 4. Login screen.</w:t>
      </w:r>
    </w:p>
    <w:p>
      <w:pPr>
        <w:jc w:val="center"/>
      </w:pPr>
      <w:r>
        <w:drawing>
          <wp:inline xmlns:a="http://schemas.openxmlformats.org/drawingml/2006/main" xmlns:pic="http://schemas.openxmlformats.org/drawingml/2006/picture">
            <wp:extent cx="5806440" cy="4917483"/>
            <wp:docPr id="5" name="Picture 5"/>
            <wp:cNvGraphicFramePr>
              <a:graphicFrameLocks noChangeAspect="1"/>
            </wp:cNvGraphicFramePr>
            <a:graphic>
              <a:graphicData uri="http://schemas.openxmlformats.org/drawingml/2006/picture">
                <pic:pic>
                  <pic:nvPicPr>
                    <pic:cNvPr id="0" name="02-signup-screen.png"/>
                    <pic:cNvPicPr/>
                  </pic:nvPicPr>
                  <pic:blipFill>
                    <a:blip r:embed="rId14"/>
                    <a:stretch>
                      <a:fillRect/>
                    </a:stretch>
                  </pic:blipFill>
                  <pic:spPr>
                    <a:xfrm>
                      <a:off x="0" y="0"/>
                      <a:ext cx="5806440" cy="4917483"/>
                    </a:xfrm>
                    <a:prstGeom prst="rect"/>
                  </pic:spPr>
                </pic:pic>
              </a:graphicData>
            </a:graphic>
          </wp:inline>
        </w:drawing>
      </w:r>
    </w:p>
    <w:p>
      <w:pPr>
        <w:spacing w:after="160"/>
        <w:jc w:val="center"/>
      </w:pPr>
      <w:r>
        <w:rPr>
          <w:i/>
          <w:color w:val="5A6777"/>
          <w:sz w:val="18"/>
        </w:rPr>
        <w:t>Figure 5. Signup screen.</w:t>
      </w:r>
    </w:p>
    <w:p>
      <w:pPr>
        <w:jc w:val="center"/>
      </w:pPr>
      <w:r>
        <w:drawing>
          <wp:inline xmlns:a="http://schemas.openxmlformats.org/drawingml/2006/main" xmlns:pic="http://schemas.openxmlformats.org/drawingml/2006/picture">
            <wp:extent cx="5806440" cy="4917483"/>
            <wp:docPr id="6" name="Picture 6"/>
            <wp:cNvGraphicFramePr>
              <a:graphicFrameLocks noChangeAspect="1"/>
            </wp:cNvGraphicFramePr>
            <a:graphic>
              <a:graphicData uri="http://schemas.openxmlformats.org/drawingml/2006/picture">
                <pic:pic>
                  <pic:nvPicPr>
                    <pic:cNvPr id="0" name="03-main-dashboard.png"/>
                    <pic:cNvPicPr/>
                  </pic:nvPicPr>
                  <pic:blipFill>
                    <a:blip r:embed="rId15"/>
                    <a:stretch>
                      <a:fillRect/>
                    </a:stretch>
                  </pic:blipFill>
                  <pic:spPr>
                    <a:xfrm>
                      <a:off x="0" y="0"/>
                      <a:ext cx="5806440" cy="4917483"/>
                    </a:xfrm>
                    <a:prstGeom prst="rect"/>
                  </pic:spPr>
                </pic:pic>
              </a:graphicData>
            </a:graphic>
          </wp:inline>
        </w:drawing>
      </w:r>
    </w:p>
    <w:p>
      <w:pPr>
        <w:spacing w:after="160"/>
        <w:jc w:val="center"/>
      </w:pPr>
      <w:r>
        <w:rPr>
          <w:i/>
          <w:color w:val="5A6777"/>
          <w:sz w:val="18"/>
        </w:rPr>
        <w:t>Figure 6. Main dashboard.</w:t>
      </w:r>
    </w:p>
    <w:p>
      <w:pPr>
        <w:jc w:val="center"/>
      </w:pPr>
      <w:r>
        <w:drawing>
          <wp:inline xmlns:a="http://schemas.openxmlformats.org/drawingml/2006/main" xmlns:pic="http://schemas.openxmlformats.org/drawingml/2006/picture">
            <wp:extent cx="5806440" cy="4917483"/>
            <wp:docPr id="7" name="Picture 7"/>
            <wp:cNvGraphicFramePr>
              <a:graphicFrameLocks noChangeAspect="1"/>
            </wp:cNvGraphicFramePr>
            <a:graphic>
              <a:graphicData uri="http://schemas.openxmlformats.org/drawingml/2006/picture">
                <pic:pic>
                  <pic:nvPicPr>
                    <pic:cNvPr id="0" name="04-live-alert-stream.png"/>
                    <pic:cNvPicPr/>
                  </pic:nvPicPr>
                  <pic:blipFill>
                    <a:blip r:embed="rId16"/>
                    <a:stretch>
                      <a:fillRect/>
                    </a:stretch>
                  </pic:blipFill>
                  <pic:spPr>
                    <a:xfrm>
                      <a:off x="0" y="0"/>
                      <a:ext cx="5806440" cy="4917483"/>
                    </a:xfrm>
                    <a:prstGeom prst="rect"/>
                  </pic:spPr>
                </pic:pic>
              </a:graphicData>
            </a:graphic>
          </wp:inline>
        </w:drawing>
      </w:r>
    </w:p>
    <w:p>
      <w:pPr>
        <w:spacing w:after="160"/>
        <w:jc w:val="center"/>
      </w:pPr>
      <w:r>
        <w:rPr>
          <w:i/>
          <w:color w:val="5A6777"/>
          <w:sz w:val="18"/>
        </w:rPr>
        <w:t>Figure 7. Live alert stream.</w:t>
      </w:r>
    </w:p>
    <w:p>
      <w:pPr>
        <w:jc w:val="center"/>
      </w:pPr>
      <w:r>
        <w:drawing>
          <wp:inline xmlns:a="http://schemas.openxmlformats.org/drawingml/2006/main" xmlns:pic="http://schemas.openxmlformats.org/drawingml/2006/picture">
            <wp:extent cx="5806440" cy="4917483"/>
            <wp:docPr id="8" name="Picture 8"/>
            <wp:cNvGraphicFramePr>
              <a:graphicFrameLocks noChangeAspect="1"/>
            </wp:cNvGraphicFramePr>
            <a:graphic>
              <a:graphicData uri="http://schemas.openxmlformats.org/drawingml/2006/picture">
                <pic:pic>
                  <pic:nvPicPr>
                    <pic:cNvPr id="0" name="05-incident-queue.png"/>
                    <pic:cNvPicPr/>
                  </pic:nvPicPr>
                  <pic:blipFill>
                    <a:blip r:embed="rId17"/>
                    <a:stretch>
                      <a:fillRect/>
                    </a:stretch>
                  </pic:blipFill>
                  <pic:spPr>
                    <a:xfrm>
                      <a:off x="0" y="0"/>
                      <a:ext cx="5806440" cy="4917483"/>
                    </a:xfrm>
                    <a:prstGeom prst="rect"/>
                  </pic:spPr>
                </pic:pic>
              </a:graphicData>
            </a:graphic>
          </wp:inline>
        </w:drawing>
      </w:r>
    </w:p>
    <w:p>
      <w:pPr>
        <w:spacing w:after="160"/>
        <w:jc w:val="center"/>
      </w:pPr>
      <w:r>
        <w:rPr>
          <w:i/>
          <w:color w:val="5A6777"/>
          <w:sz w:val="18"/>
        </w:rPr>
        <w:t>Figure 8. Incident queue.</w:t>
      </w:r>
    </w:p>
    <w:p>
      <w:pPr>
        <w:jc w:val="center"/>
      </w:pPr>
      <w:r>
        <w:drawing>
          <wp:inline xmlns:a="http://schemas.openxmlformats.org/drawingml/2006/main" xmlns:pic="http://schemas.openxmlformats.org/drawingml/2006/picture">
            <wp:extent cx="5806440" cy="4917483"/>
            <wp:docPr id="9" name="Picture 9"/>
            <wp:cNvGraphicFramePr>
              <a:graphicFrameLocks noChangeAspect="1"/>
            </wp:cNvGraphicFramePr>
            <a:graphic>
              <a:graphicData uri="http://schemas.openxmlformats.org/drawingml/2006/picture">
                <pic:pic>
                  <pic:nvPicPr>
                    <pic:cNvPr id="0" name="06-incident-detail.png"/>
                    <pic:cNvPicPr/>
                  </pic:nvPicPr>
                  <pic:blipFill>
                    <a:blip r:embed="rId18"/>
                    <a:stretch>
                      <a:fillRect/>
                    </a:stretch>
                  </pic:blipFill>
                  <pic:spPr>
                    <a:xfrm>
                      <a:off x="0" y="0"/>
                      <a:ext cx="5806440" cy="4917483"/>
                    </a:xfrm>
                    <a:prstGeom prst="rect"/>
                  </pic:spPr>
                </pic:pic>
              </a:graphicData>
            </a:graphic>
          </wp:inline>
        </w:drawing>
      </w:r>
    </w:p>
    <w:p>
      <w:pPr>
        <w:spacing w:after="160"/>
        <w:jc w:val="center"/>
      </w:pPr>
      <w:r>
        <w:rPr>
          <w:i/>
          <w:color w:val="5A6777"/>
          <w:sz w:val="18"/>
        </w:rPr>
        <w:t>Figure 9. Incident detail.</w:t>
      </w:r>
    </w:p>
    <w:p>
      <w:pPr>
        <w:jc w:val="center"/>
      </w:pPr>
      <w:r>
        <w:drawing>
          <wp:inline xmlns:a="http://schemas.openxmlformats.org/drawingml/2006/main" xmlns:pic="http://schemas.openxmlformats.org/drawingml/2006/picture">
            <wp:extent cx="5806440" cy="4917483"/>
            <wp:docPr id="10" name="Picture 10"/>
            <wp:cNvGraphicFramePr>
              <a:graphicFrameLocks noChangeAspect="1"/>
            </wp:cNvGraphicFramePr>
            <a:graphic>
              <a:graphicData uri="http://schemas.openxmlformats.org/drawingml/2006/picture">
                <pic:pic>
                  <pic:nvPicPr>
                    <pic:cNvPr id="0" name="07-response-console.png"/>
                    <pic:cNvPicPr/>
                  </pic:nvPicPr>
                  <pic:blipFill>
                    <a:blip r:embed="rId19"/>
                    <a:stretch>
                      <a:fillRect/>
                    </a:stretch>
                  </pic:blipFill>
                  <pic:spPr>
                    <a:xfrm>
                      <a:off x="0" y="0"/>
                      <a:ext cx="5806440" cy="4917483"/>
                    </a:xfrm>
                    <a:prstGeom prst="rect"/>
                  </pic:spPr>
                </pic:pic>
              </a:graphicData>
            </a:graphic>
          </wp:inline>
        </w:drawing>
      </w:r>
    </w:p>
    <w:p>
      <w:pPr>
        <w:spacing w:after="160"/>
        <w:jc w:val="center"/>
      </w:pPr>
      <w:r>
        <w:rPr>
          <w:i/>
          <w:color w:val="5A6777"/>
          <w:sz w:val="18"/>
        </w:rPr>
        <w:t>Figure 10. Response console.</w:t>
      </w:r>
    </w:p>
    <w:p>
      <w:pPr>
        <w:jc w:val="center"/>
      </w:pPr>
      <w:r>
        <w:drawing>
          <wp:inline xmlns:a="http://schemas.openxmlformats.org/drawingml/2006/main" xmlns:pic="http://schemas.openxmlformats.org/drawingml/2006/picture">
            <wp:extent cx="5806440" cy="4917483"/>
            <wp:docPr id="11" name="Picture 11"/>
            <wp:cNvGraphicFramePr>
              <a:graphicFrameLocks noChangeAspect="1"/>
            </wp:cNvGraphicFramePr>
            <a:graphic>
              <a:graphicData uri="http://schemas.openxmlformats.org/drawingml/2006/picture">
                <pic:pic>
                  <pic:nvPicPr>
                    <pic:cNvPr id="0" name="08-threat-intel-lookup.png"/>
                    <pic:cNvPicPr/>
                  </pic:nvPicPr>
                  <pic:blipFill>
                    <a:blip r:embed="rId20"/>
                    <a:stretch>
                      <a:fillRect/>
                    </a:stretch>
                  </pic:blipFill>
                  <pic:spPr>
                    <a:xfrm>
                      <a:off x="0" y="0"/>
                      <a:ext cx="5806440" cy="4917483"/>
                    </a:xfrm>
                    <a:prstGeom prst="rect"/>
                  </pic:spPr>
                </pic:pic>
              </a:graphicData>
            </a:graphic>
          </wp:inline>
        </w:drawing>
      </w:r>
    </w:p>
    <w:p>
      <w:pPr>
        <w:spacing w:after="160"/>
        <w:jc w:val="center"/>
      </w:pPr>
      <w:r>
        <w:rPr>
          <w:i/>
          <w:color w:val="5A6777"/>
          <w:sz w:val="18"/>
        </w:rPr>
        <w:t>Figure 11. Threat intel lookup.</w:t>
      </w:r>
    </w:p>
    <w:p>
      <w:pPr>
        <w:jc w:val="center"/>
      </w:pPr>
      <w:r>
        <w:drawing>
          <wp:inline xmlns:a="http://schemas.openxmlformats.org/drawingml/2006/main" xmlns:pic="http://schemas.openxmlformats.org/drawingml/2006/picture">
            <wp:extent cx="5806440" cy="4917483"/>
            <wp:docPr id="12" name="Picture 12"/>
            <wp:cNvGraphicFramePr>
              <a:graphicFrameLocks noChangeAspect="1"/>
            </wp:cNvGraphicFramePr>
            <a:graphic>
              <a:graphicData uri="http://schemas.openxmlformats.org/drawingml/2006/picture">
                <pic:pic>
                  <pic:nvPicPr>
                    <pic:cNvPr id="0" name="09-audit-logs.png"/>
                    <pic:cNvPicPr/>
                  </pic:nvPicPr>
                  <pic:blipFill>
                    <a:blip r:embed="rId21"/>
                    <a:stretch>
                      <a:fillRect/>
                    </a:stretch>
                  </pic:blipFill>
                  <pic:spPr>
                    <a:xfrm>
                      <a:off x="0" y="0"/>
                      <a:ext cx="5806440" cy="4917483"/>
                    </a:xfrm>
                    <a:prstGeom prst="rect"/>
                  </pic:spPr>
                </pic:pic>
              </a:graphicData>
            </a:graphic>
          </wp:inline>
        </w:drawing>
      </w:r>
    </w:p>
    <w:p>
      <w:pPr>
        <w:spacing w:after="160"/>
        <w:jc w:val="center"/>
      </w:pPr>
      <w:r>
        <w:rPr>
          <w:i/>
          <w:color w:val="5A6777"/>
          <w:sz w:val="18"/>
        </w:rPr>
        <w:t>Figure 12. Audit logs.</w:t>
      </w:r>
    </w:p>
    <w:p>
      <w:pPr>
        <w:jc w:val="center"/>
      </w:pPr>
      <w:r>
        <w:drawing>
          <wp:inline xmlns:a="http://schemas.openxmlformats.org/drawingml/2006/main" xmlns:pic="http://schemas.openxmlformats.org/drawingml/2006/picture">
            <wp:extent cx="5806440" cy="4917483"/>
            <wp:docPr id="13" name="Picture 13"/>
            <wp:cNvGraphicFramePr>
              <a:graphicFrameLocks noChangeAspect="1"/>
            </wp:cNvGraphicFramePr>
            <a:graphic>
              <a:graphicData uri="http://schemas.openxmlformats.org/drawingml/2006/picture">
                <pic:pic>
                  <pic:nvPicPr>
                    <pic:cNvPr id="0" name="10-settings.png"/>
                    <pic:cNvPicPr/>
                  </pic:nvPicPr>
                  <pic:blipFill>
                    <a:blip r:embed="rId22"/>
                    <a:stretch>
                      <a:fillRect/>
                    </a:stretch>
                  </pic:blipFill>
                  <pic:spPr>
                    <a:xfrm>
                      <a:off x="0" y="0"/>
                      <a:ext cx="5806440" cy="4917483"/>
                    </a:xfrm>
                    <a:prstGeom prst="rect"/>
                  </pic:spPr>
                </pic:pic>
              </a:graphicData>
            </a:graphic>
          </wp:inline>
        </w:drawing>
      </w:r>
    </w:p>
    <w:p>
      <w:pPr>
        <w:spacing w:after="160"/>
        <w:jc w:val="center"/>
      </w:pPr>
      <w:r>
        <w:rPr>
          <w:i/>
          <w:color w:val="5A6777"/>
          <w:sz w:val="18"/>
        </w:rPr>
        <w:t>Figure 13. Settings.</w:t>
      </w:r>
    </w:p>
    <w:p>
      <w:pPr>
        <w:pStyle w:val="Heading1"/>
      </w:pPr>
      <w:r>
        <w:t>Design Pattern Mapping</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EF3F8"/>
            <w:vAlign w:val="center"/>
          </w:tcPr>
          <w:p>
            <w:pPr>
              <w:spacing w:after="0"/>
            </w:pPr>
            <w:r>
              <w:rPr>
                <w:b/>
                <w:color w:val="0B2545"/>
              </w:rPr>
              <w:t>Pattern</w:t>
            </w:r>
          </w:p>
        </w:tc>
        <w:tc>
          <w:tcPr>
            <w:tcW w:type="dxa" w:w="3600"/>
            <w:shd w:fill="EEF3F8"/>
            <w:vAlign w:val="center"/>
          </w:tcPr>
          <w:p>
            <w:pPr>
              <w:spacing w:after="0"/>
            </w:pPr>
            <w:r>
              <w:rPr>
                <w:b/>
                <w:color w:val="0B2545"/>
              </w:rPr>
              <w:t>Implementation Evidence</w:t>
            </w:r>
          </w:p>
        </w:tc>
        <w:tc>
          <w:tcPr>
            <w:tcW w:type="dxa" w:w="3800"/>
            <w:shd w:fill="EEF3F8"/>
            <w:vAlign w:val="center"/>
          </w:tcPr>
          <w:p>
            <w:pPr>
              <w:spacing w:after="0"/>
            </w:pPr>
            <w:r>
              <w:rPr>
                <w:b/>
                <w:color w:val="0B2545"/>
              </w:rPr>
              <w:t>Rationale</w:t>
            </w:r>
          </w:p>
        </w:tc>
      </w:tr>
      <w:tr>
        <w:tc>
          <w:tcPr>
            <w:tcW w:type="dxa" w:w="1900"/>
            <w:vAlign w:val="center"/>
          </w:tcPr>
          <w:p>
            <w:pPr>
              <w:spacing w:after="0"/>
            </w:pPr>
            <w:r>
              <w:rPr>
                <w:sz w:val="18"/>
              </w:rPr>
              <w:t>Singleton</w:t>
            </w:r>
          </w:p>
        </w:tc>
        <w:tc>
          <w:tcPr>
            <w:tcW w:type="dxa" w:w="3600"/>
            <w:vAlign w:val="center"/>
          </w:tcPr>
          <w:p>
            <w:pPr>
              <w:spacing w:after="0"/>
            </w:pPr>
            <w:r>
              <w:rPr>
                <w:sz w:val="18"/>
              </w:rPr>
              <w:t>IngestionConfigManager, EventBusPublisher</w:t>
            </w:r>
          </w:p>
        </w:tc>
        <w:tc>
          <w:tcPr>
            <w:tcW w:type="dxa" w:w="3800"/>
            <w:vAlign w:val="center"/>
          </w:tcPr>
          <w:p>
            <w:pPr>
              <w:spacing w:after="0"/>
            </w:pPr>
            <w:r>
              <w:rPr>
                <w:sz w:val="18"/>
              </w:rPr>
              <w:t>One shared configuration/event publishing component.</w:t>
            </w:r>
          </w:p>
        </w:tc>
      </w:tr>
      <w:tr>
        <w:tc>
          <w:tcPr>
            <w:tcW w:type="dxa" w:w="1900"/>
            <w:vAlign w:val="center"/>
          </w:tcPr>
          <w:p>
            <w:pPr>
              <w:spacing w:after="0"/>
            </w:pPr>
            <w:r>
              <w:rPr>
                <w:sz w:val="18"/>
              </w:rPr>
              <w:t>Factory Method</w:t>
            </w:r>
          </w:p>
        </w:tc>
        <w:tc>
          <w:tcPr>
            <w:tcW w:type="dxa" w:w="3600"/>
            <w:vAlign w:val="center"/>
          </w:tcPr>
          <w:p>
            <w:pPr>
              <w:spacing w:after="0"/>
            </w:pPr>
            <w:r>
              <w:rPr>
                <w:sz w:val="18"/>
              </w:rPr>
              <w:t>AlertNormalizerFactory, ResponseActionFactory</w:t>
            </w:r>
          </w:p>
        </w:tc>
        <w:tc>
          <w:tcPr>
            <w:tcW w:type="dxa" w:w="3800"/>
            <w:vAlign w:val="center"/>
          </w:tcPr>
          <w:p>
            <w:pPr>
              <w:spacing w:after="0"/>
            </w:pPr>
            <w:r>
              <w:rPr>
                <w:sz w:val="18"/>
              </w:rPr>
              <w:t>Create normalizers/actions without controller coupling.</w:t>
            </w:r>
          </w:p>
        </w:tc>
      </w:tr>
      <w:tr>
        <w:tc>
          <w:tcPr>
            <w:tcW w:type="dxa" w:w="1900"/>
            <w:vAlign w:val="center"/>
          </w:tcPr>
          <w:p>
            <w:pPr>
              <w:spacing w:after="0"/>
            </w:pPr>
            <w:r>
              <w:rPr>
                <w:sz w:val="18"/>
              </w:rPr>
              <w:t>Abstract Factory</w:t>
            </w:r>
          </w:p>
        </w:tc>
        <w:tc>
          <w:tcPr>
            <w:tcW w:type="dxa" w:w="3600"/>
            <w:vAlign w:val="center"/>
          </w:tcPr>
          <w:p>
            <w:pPr>
              <w:spacing w:after="0"/>
            </w:pPr>
            <w:r>
              <w:rPr>
                <w:sz w:val="18"/>
              </w:rPr>
              <w:t>EnrichmentProviderFactory, NotificationFactory</w:t>
            </w:r>
          </w:p>
        </w:tc>
        <w:tc>
          <w:tcPr>
            <w:tcW w:type="dxa" w:w="3800"/>
            <w:vAlign w:val="center"/>
          </w:tcPr>
          <w:p>
            <w:pPr>
              <w:spacing w:after="0"/>
            </w:pPr>
            <w:r>
              <w:rPr>
                <w:sz w:val="18"/>
              </w:rPr>
              <w:t>Create related provider families for mock integrations.</w:t>
            </w:r>
          </w:p>
        </w:tc>
      </w:tr>
      <w:tr>
        <w:tc>
          <w:tcPr>
            <w:tcW w:type="dxa" w:w="1900"/>
            <w:vAlign w:val="center"/>
          </w:tcPr>
          <w:p>
            <w:pPr>
              <w:spacing w:after="0"/>
            </w:pPr>
            <w:r>
              <w:rPr>
                <w:sz w:val="18"/>
              </w:rPr>
              <w:t>Composite</w:t>
            </w:r>
          </w:p>
        </w:tc>
        <w:tc>
          <w:tcPr>
            <w:tcW w:type="dxa" w:w="3600"/>
            <w:vAlign w:val="center"/>
          </w:tcPr>
          <w:p>
            <w:pPr>
              <w:spacing w:after="0"/>
            </w:pPr>
            <w:r>
              <w:rPr>
                <w:sz w:val="18"/>
              </w:rPr>
              <w:t>AlertComponent</w:t>
            </w:r>
          </w:p>
        </w:tc>
        <w:tc>
          <w:tcPr>
            <w:tcW w:type="dxa" w:w="3800"/>
            <w:vAlign w:val="center"/>
          </w:tcPr>
          <w:p>
            <w:pPr>
              <w:spacing w:after="0"/>
            </w:pPr>
            <w:r>
              <w:rPr>
                <w:sz w:val="18"/>
              </w:rPr>
              <w:t>Group alerts and individual alerts under a common interface.</w:t>
            </w:r>
          </w:p>
        </w:tc>
      </w:tr>
      <w:tr>
        <w:tc>
          <w:tcPr>
            <w:tcW w:type="dxa" w:w="1900"/>
            <w:vAlign w:val="center"/>
          </w:tcPr>
          <w:p>
            <w:pPr>
              <w:spacing w:after="0"/>
            </w:pPr>
            <w:r>
              <w:rPr>
                <w:sz w:val="18"/>
              </w:rPr>
              <w:t>Facade</w:t>
            </w:r>
          </w:p>
        </w:tc>
        <w:tc>
          <w:tcPr>
            <w:tcW w:type="dxa" w:w="3600"/>
            <w:vAlign w:val="center"/>
          </w:tcPr>
          <w:p>
            <w:pPr>
              <w:spacing w:after="0"/>
            </w:pPr>
            <w:r>
              <w:rPr>
                <w:sz w:val="18"/>
              </w:rPr>
              <w:t>IncidentResponseFacade</w:t>
            </w:r>
          </w:p>
        </w:tc>
        <w:tc>
          <w:tcPr>
            <w:tcW w:type="dxa" w:w="3800"/>
            <w:vAlign w:val="center"/>
          </w:tcPr>
          <w:p>
            <w:pPr>
              <w:spacing w:after="0"/>
            </w:pPr>
            <w:r>
              <w:rPr>
                <w:sz w:val="18"/>
              </w:rPr>
              <w:t>Simplify response orchestration into one use-case entry point.</w:t>
            </w:r>
          </w:p>
        </w:tc>
      </w:tr>
      <w:tr>
        <w:tc>
          <w:tcPr>
            <w:tcW w:type="dxa" w:w="1900"/>
            <w:vAlign w:val="center"/>
          </w:tcPr>
          <w:p>
            <w:pPr>
              <w:spacing w:after="0"/>
            </w:pPr>
            <w:r>
              <w:rPr>
                <w:sz w:val="18"/>
              </w:rPr>
              <w:t>Adapter</w:t>
            </w:r>
          </w:p>
        </w:tc>
        <w:tc>
          <w:tcPr>
            <w:tcW w:type="dxa" w:w="3600"/>
            <w:vAlign w:val="center"/>
          </w:tcPr>
          <w:p>
            <w:pPr>
              <w:spacing w:after="0"/>
            </w:pPr>
            <w:r>
              <w:rPr>
                <w:sz w:val="18"/>
              </w:rPr>
              <w:t>ThreatAdapters</w:t>
            </w:r>
          </w:p>
        </w:tc>
        <w:tc>
          <w:tcPr>
            <w:tcW w:type="dxa" w:w="3800"/>
            <w:vAlign w:val="center"/>
          </w:tcPr>
          <w:p>
            <w:pPr>
              <w:spacing w:after="0"/>
            </w:pPr>
            <w:r>
              <w:rPr>
                <w:sz w:val="18"/>
              </w:rPr>
              <w:t>Wrap mock VirusTotal/MISP style APIs behind one interface.</w:t>
            </w:r>
          </w:p>
        </w:tc>
      </w:tr>
      <w:tr>
        <w:tc>
          <w:tcPr>
            <w:tcW w:type="dxa" w:w="1900"/>
            <w:vAlign w:val="center"/>
          </w:tcPr>
          <w:p>
            <w:pPr>
              <w:spacing w:after="0"/>
            </w:pPr>
            <w:r>
              <w:rPr>
                <w:sz w:val="18"/>
              </w:rPr>
              <w:t>Decorator</w:t>
            </w:r>
          </w:p>
        </w:tc>
        <w:tc>
          <w:tcPr>
            <w:tcW w:type="dxa" w:w="3600"/>
            <w:vAlign w:val="center"/>
          </w:tcPr>
          <w:p>
            <w:pPr>
              <w:spacing w:after="0"/>
            </w:pPr>
            <w:r>
              <w:rPr>
                <w:sz w:val="18"/>
              </w:rPr>
              <w:t>Decorators</w:t>
            </w:r>
          </w:p>
        </w:tc>
        <w:tc>
          <w:tcPr>
            <w:tcW w:type="dxa" w:w="3800"/>
            <w:vAlign w:val="center"/>
          </w:tcPr>
          <w:p>
            <w:pPr>
              <w:spacing w:after="0"/>
            </w:pPr>
            <w:r>
              <w:rPr>
                <w:sz w:val="18"/>
              </w:rPr>
              <w:t>Add audit/logging/approval behavior around response action execution.</w:t>
            </w:r>
          </w:p>
        </w:tc>
      </w:tr>
      <w:tr>
        <w:tc>
          <w:tcPr>
            <w:tcW w:type="dxa" w:w="1900"/>
            <w:vAlign w:val="center"/>
          </w:tcPr>
          <w:p>
            <w:pPr>
              <w:spacing w:after="0"/>
            </w:pPr>
            <w:r>
              <w:rPr>
                <w:sz w:val="18"/>
              </w:rPr>
              <w:t>Proxy</w:t>
            </w:r>
          </w:p>
        </w:tc>
        <w:tc>
          <w:tcPr>
            <w:tcW w:type="dxa" w:w="3600"/>
            <w:vAlign w:val="center"/>
          </w:tcPr>
          <w:p>
            <w:pPr>
              <w:spacing w:after="0"/>
            </w:pPr>
            <w:r>
              <w:rPr>
                <w:sz w:val="18"/>
              </w:rPr>
              <w:t>ThreatIntelProxy, ResponseActionProxy</w:t>
            </w:r>
          </w:p>
        </w:tc>
        <w:tc>
          <w:tcPr>
            <w:tcW w:type="dxa" w:w="3800"/>
            <w:vAlign w:val="center"/>
          </w:tcPr>
          <w:p>
            <w:pPr>
              <w:spacing w:after="0"/>
            </w:pPr>
            <w:r>
              <w:rPr>
                <w:sz w:val="18"/>
              </w:rPr>
              <w:t>Cache lookups and simulate approval/rate-limit control.</w:t>
            </w:r>
          </w:p>
        </w:tc>
      </w:tr>
      <w:tr>
        <w:tc>
          <w:tcPr>
            <w:tcW w:type="dxa" w:w="1900"/>
            <w:vAlign w:val="center"/>
          </w:tcPr>
          <w:p>
            <w:pPr>
              <w:spacing w:after="0"/>
            </w:pPr>
            <w:r>
              <w:rPr>
                <w:sz w:val="18"/>
              </w:rPr>
              <w:t>State</w:t>
            </w:r>
          </w:p>
        </w:tc>
        <w:tc>
          <w:tcPr>
            <w:tcW w:type="dxa" w:w="3600"/>
            <w:vAlign w:val="center"/>
          </w:tcPr>
          <w:p>
            <w:pPr>
              <w:spacing w:after="0"/>
            </w:pPr>
            <w:r>
              <w:rPr>
                <w:sz w:val="18"/>
              </w:rPr>
              <w:t>IncidentState</w:t>
            </w:r>
          </w:p>
        </w:tc>
        <w:tc>
          <w:tcPr>
            <w:tcW w:type="dxa" w:w="3800"/>
            <w:vAlign w:val="center"/>
          </w:tcPr>
          <w:p>
            <w:pPr>
              <w:spacing w:after="0"/>
            </w:pPr>
            <w:r>
              <w:rPr>
                <w:sz w:val="18"/>
              </w:rPr>
              <w:t>Incident behavior changes by lifecycle phase.</w:t>
            </w:r>
          </w:p>
        </w:tc>
      </w:tr>
      <w:tr>
        <w:tc>
          <w:tcPr>
            <w:tcW w:type="dxa" w:w="1900"/>
            <w:vAlign w:val="center"/>
          </w:tcPr>
          <w:p>
            <w:pPr>
              <w:spacing w:after="0"/>
            </w:pPr>
            <w:r>
              <w:rPr>
                <w:sz w:val="18"/>
              </w:rPr>
              <w:t>Chain of Responsibility</w:t>
            </w:r>
          </w:p>
        </w:tc>
        <w:tc>
          <w:tcPr>
            <w:tcW w:type="dxa" w:w="3600"/>
            <w:vAlign w:val="center"/>
          </w:tcPr>
          <w:p>
            <w:pPr>
              <w:spacing w:after="0"/>
            </w:pPr>
            <w:r>
              <w:rPr>
                <w:sz w:val="18"/>
              </w:rPr>
              <w:t>EnrichmentHandler</w:t>
            </w:r>
          </w:p>
        </w:tc>
        <w:tc>
          <w:tcPr>
            <w:tcW w:type="dxa" w:w="3800"/>
            <w:vAlign w:val="center"/>
          </w:tcPr>
          <w:p>
            <w:pPr>
              <w:spacing w:after="0"/>
            </w:pPr>
            <w:r>
              <w:rPr>
                <w:sz w:val="18"/>
              </w:rPr>
              <w:t>Run enrichment handlers in sequence.</w:t>
            </w:r>
          </w:p>
        </w:tc>
      </w:tr>
      <w:tr>
        <w:tc>
          <w:tcPr>
            <w:tcW w:type="dxa" w:w="1900"/>
            <w:vAlign w:val="center"/>
          </w:tcPr>
          <w:p>
            <w:pPr>
              <w:spacing w:after="0"/>
            </w:pPr>
            <w:r>
              <w:rPr>
                <w:sz w:val="18"/>
              </w:rPr>
              <w:t>Observer</w:t>
            </w:r>
          </w:p>
        </w:tc>
        <w:tc>
          <w:tcPr>
            <w:tcW w:type="dxa" w:w="3600"/>
            <w:vAlign w:val="center"/>
          </w:tcPr>
          <w:p>
            <w:pPr>
              <w:spacing w:after="0"/>
            </w:pPr>
            <w:r>
              <w:rPr>
                <w:sz w:val="18"/>
              </w:rPr>
              <w:t>EventBusPublisher</w:t>
            </w:r>
          </w:p>
        </w:tc>
        <w:tc>
          <w:tcPr>
            <w:tcW w:type="dxa" w:w="3800"/>
            <w:vAlign w:val="center"/>
          </w:tcPr>
          <w:p>
            <w:pPr>
              <w:spacing w:after="0"/>
            </w:pPr>
            <w:r>
              <w:rPr>
                <w:sz w:val="18"/>
              </w:rPr>
              <w:t>Publish domain events to subscribers/dashboard.</w:t>
            </w:r>
          </w:p>
        </w:tc>
      </w:tr>
      <w:tr>
        <w:tc>
          <w:tcPr>
            <w:tcW w:type="dxa" w:w="1900"/>
            <w:vAlign w:val="center"/>
          </w:tcPr>
          <w:p>
            <w:pPr>
              <w:spacing w:after="0"/>
            </w:pPr>
            <w:r>
              <w:rPr>
                <w:sz w:val="18"/>
              </w:rPr>
              <w:t>Strategy</w:t>
            </w:r>
          </w:p>
        </w:tc>
        <w:tc>
          <w:tcPr>
            <w:tcW w:type="dxa" w:w="3600"/>
            <w:vAlign w:val="center"/>
          </w:tcPr>
          <w:p>
            <w:pPr>
              <w:spacing w:after="0"/>
            </w:pPr>
            <w:r>
              <w:rPr>
                <w:sz w:val="18"/>
              </w:rPr>
              <w:t>ResponseStrategy</w:t>
            </w:r>
          </w:p>
        </w:tc>
        <w:tc>
          <w:tcPr>
            <w:tcW w:type="dxa" w:w="3800"/>
            <w:vAlign w:val="center"/>
          </w:tcPr>
          <w:p>
            <w:pPr>
              <w:spacing w:after="0"/>
            </w:pPr>
            <w:r>
              <w:rPr>
                <w:sz w:val="18"/>
              </w:rPr>
              <w:t>Select response behavior by incident severity/context.</w:t>
            </w:r>
          </w:p>
        </w:tc>
      </w:tr>
    </w:tbl>
    <w:p/>
    <w:p>
      <w:r>
        <w:t>Code annotation proof extracted from the repository:</w:t>
      </w:r>
    </w:p>
    <w:p>
      <w:pPr>
        <w:spacing w:before="60" w:after="180"/>
      </w:pPr>
      <w:r>
        <w:rPr>
          <w:rFonts w:ascii="Consolas" w:hAnsi="Consolas" w:eastAsia="Consolas"/>
          <w:color w:val="2D3748"/>
          <w:sz w:val="16"/>
        </w:rPr>
        <w:t>﻿C:\Users\HP\Desktop\SDA Project\services\alert-ingestion-service\src\main\java\edu\sdapro\domain\alert\AlertComponent.java:7: // PATTERN: Composite</w:t>
        <w:br/>
        <w:t>C:\Users\HP\Desktop\SDA Project\services\alert-ingestion-service\src\main\java\edu\sdapro\domain\incident\IncidentState.java:5: // PATTERN: State</w:t>
        <w:br/>
        <w:t>C:\Users\HP\Desktop\SDA Project\services\alert-ingestion-service\src\main\java\edu\sdapro\enrichment\EnrichmentHandler.java:7: // PATTERN: Chain of Responsibility</w:t>
        <w:br/>
        <w:t>C:\Users\HP\Desktop\SDA Project\services\alert-ingestion-service\src\main\java\edu\sdapro\enrichment\EnrichmentProviderFactory.java:3: // PATTERN: Abstract Factory</w:t>
        <w:br/>
        <w:t>C:\Users\HP\Desktop\SDA Project\services\alert-ingestion-service\src\main\java\edu\sdapro\events\EventBusPublisher.java:13: // PATTERN: Observer</w:t>
        <w:br/>
        <w:t>C:\Users\HP\Desktop\SDA Project\services\alert-ingestion-service\src\main\java\edu\sdapro\events\EventBusPublisher.java:15: // PATTERN: Singleton</w:t>
        <w:br/>
        <w:t>C:\Users\HP\Desktop\SDA Project\services\alert-ingestion-service\src\main\java\edu\sdapro\ingestion\AlertNormalizerFactory.java:5: // PATTERN: Factory Method</w:t>
        <w:br/>
        <w:t>C:\Users\HP\Desktop\SDA Project\services\alert-ingestion-service\src\main\java\edu\sdapro\ingestion\IngestionConfigManager.java:5: // PATTERN: Singleton</w:t>
        <w:br/>
        <w:t>C:\Users\HP\Desktop\SDA Project\services\alert-ingestion-service\src\main\java\edu\sdapro\notification\NotificationFactory.java:3: // PATTERN: Abstract Factory</w:t>
        <w:br/>
        <w:t>C:\Users\HP\Desktop\SDA Project\services\alert-ingestion-service\src\main\java\edu\sdapro\response\Decorators.java:3: // PATTERN: Decorator</w:t>
        <w:br/>
        <w:t>C:\Users\HP\Desktop\SDA Project\services\alert-ingestion-service\src\main\java\edu\sdapro\response\IncidentResponseFacade.java:11: // PATTERN: Facade</w:t>
        <w:br/>
        <w:t>C:\Users\HP\Desktop\SDA Project\services\alert-ingestion-service\src\main\java\edu\sdapro\response\ResponseActionFactory.java:3: // PATTERN: Factory Method</w:t>
        <w:br/>
        <w:t>C:\Users\HP\Desktop\SDA Project\services\alert-ingestion-service\src\main\java\edu\sdapro\response\ResponseActionProxy.java:3: // PATTERN: Proxy</w:t>
        <w:br/>
        <w:t>C:\Users\HP\Desktop\SDA Project\services\alert-ingestion-service\src\main\java\edu\sdapro\response\ResponseStrategy.java:6: // PATTERN: Strategy</w:t>
        <w:br/>
        <w:t>C:\Users\HP\Desktop\SDA Project\services\alert-ingestion-service\src\main\java\edu\sdapro\threat\ThreatAdapters.java:3: // PATTERN: Adapter</w:t>
        <w:br/>
        <w:t>C:\Users\HP\Desktop\SDA Project\services\alert-ingestion-service\src\main\java\edu\sdapro\threat\ThreatIntelProxy.java:6: // PATTERN: Proxy</w:t>
        <w:br/>
      </w:r>
    </w:p>
    <w:p>
      <w:pPr>
        <w:jc w:val="center"/>
      </w:pPr>
      <w:r>
        <w:drawing>
          <wp:inline xmlns:a="http://schemas.openxmlformats.org/drawingml/2006/main" xmlns:pic="http://schemas.openxmlformats.org/drawingml/2006/picture">
            <wp:extent cx="5760720" cy="1468309"/>
            <wp:docPr id="14" name="Picture 14"/>
            <wp:cNvGraphicFramePr>
              <a:graphicFrameLocks noChangeAspect="1"/>
            </wp:cNvGraphicFramePr>
            <a:graphic>
              <a:graphicData uri="http://schemas.openxmlformats.org/drawingml/2006/picture">
                <pic:pic>
                  <pic:nvPicPr>
                    <pic:cNvPr id="0" name="diagram-class.png"/>
                    <pic:cNvPicPr/>
                  </pic:nvPicPr>
                  <pic:blipFill>
                    <a:blip r:embed="rId23"/>
                    <a:stretch>
                      <a:fillRect/>
                    </a:stretch>
                  </pic:blipFill>
                  <pic:spPr>
                    <a:xfrm>
                      <a:off x="0" y="0"/>
                      <a:ext cx="5760720" cy="1468309"/>
                    </a:xfrm>
                    <a:prstGeom prst="rect"/>
                  </pic:spPr>
                </pic:pic>
              </a:graphicData>
            </a:graphic>
          </wp:inline>
        </w:drawing>
      </w:r>
    </w:p>
    <w:p>
      <w:pPr>
        <w:spacing w:after="160"/>
        <w:jc w:val="center"/>
      </w:pPr>
      <w:r>
        <w:rPr>
          <w:i/>
          <w:color w:val="5A6777"/>
          <w:sz w:val="18"/>
        </w:rPr>
        <w:t>Figure 14. Class diagram showing all 12 design patterns.</w:t>
      </w:r>
    </w:p>
    <w:p>
      <w:pPr>
        <w:pStyle w:val="Heading1"/>
      </w:pPr>
      <w:r>
        <w:t>Architecture Style Mapping</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2500"/>
            <w:shd w:fill="EEF3F8"/>
            <w:vAlign w:val="center"/>
          </w:tcPr>
          <w:p>
            <w:pPr>
              <w:spacing w:after="0"/>
            </w:pPr>
            <w:r>
              <w:rPr>
                <w:b/>
                <w:color w:val="0B2545"/>
              </w:rPr>
              <w:t>Architecture Style</w:t>
            </w:r>
          </w:p>
        </w:tc>
        <w:tc>
          <w:tcPr>
            <w:tcW w:type="dxa" w:w="6700"/>
            <w:shd w:fill="EEF3F8"/>
            <w:vAlign w:val="center"/>
          </w:tcPr>
          <w:p>
            <w:pPr>
              <w:spacing w:after="0"/>
            </w:pPr>
            <w:r>
              <w:rPr>
                <w:b/>
                <w:color w:val="0B2545"/>
              </w:rPr>
              <w:t>Project Mapping</w:t>
            </w:r>
          </w:p>
        </w:tc>
      </w:tr>
      <w:tr>
        <w:tc>
          <w:tcPr>
            <w:tcW w:type="dxa" w:w="2500"/>
            <w:vAlign w:val="center"/>
          </w:tcPr>
          <w:p>
            <w:pPr>
              <w:spacing w:after="0"/>
            </w:pPr>
            <w:r>
              <w:rPr>
                <w:sz w:val="18"/>
              </w:rPr>
              <w:t>SOA</w:t>
            </w:r>
          </w:p>
        </w:tc>
        <w:tc>
          <w:tcPr>
            <w:tcW w:type="dxa" w:w="6700"/>
            <w:vAlign w:val="center"/>
          </w:tcPr>
          <w:p>
            <w:pPr>
              <w:spacing w:after="0"/>
            </w:pPr>
            <w:r>
              <w:rPr>
                <w:sz w:val="18"/>
              </w:rPr>
              <w:t>Documented service boundaries for ingestion, enrichment, incident, response, threat intel, notification, audit, identity, dashboard, and contracts.</w:t>
            </w:r>
          </w:p>
        </w:tc>
      </w:tr>
      <w:tr>
        <w:tc>
          <w:tcPr>
            <w:tcW w:type="dxa" w:w="2500"/>
            <w:vAlign w:val="center"/>
          </w:tcPr>
          <w:p>
            <w:pPr>
              <w:spacing w:after="0"/>
            </w:pPr>
            <w:r>
              <w:rPr>
                <w:sz w:val="18"/>
              </w:rPr>
              <w:t>MVC</w:t>
            </w:r>
          </w:p>
        </w:tc>
        <w:tc>
          <w:tcPr>
            <w:tcW w:type="dxa" w:w="6700"/>
            <w:vAlign w:val="center"/>
          </w:tcPr>
          <w:p>
            <w:pPr>
              <w:spacing w:after="0"/>
            </w:pPr>
            <w:r>
              <w:rPr>
                <w:sz w:val="18"/>
              </w:rPr>
              <w:t>Spring controllers expose APIs, services coordinate use cases, repositories persist data; React components render views from API state.</w:t>
            </w:r>
          </w:p>
        </w:tc>
      </w:tr>
      <w:tr>
        <w:tc>
          <w:tcPr>
            <w:tcW w:type="dxa" w:w="2500"/>
            <w:vAlign w:val="center"/>
          </w:tcPr>
          <w:p>
            <w:pPr>
              <w:spacing w:after="0"/>
            </w:pPr>
            <w:r>
              <w:rPr>
                <w:sz w:val="18"/>
              </w:rPr>
              <w:t>Layered Architecture</w:t>
            </w:r>
          </w:p>
        </w:tc>
        <w:tc>
          <w:tcPr>
            <w:tcW w:type="dxa" w:w="6700"/>
            <w:vAlign w:val="center"/>
          </w:tcPr>
          <w:p>
            <w:pPr>
              <w:spacing w:after="0"/>
            </w:pPr>
            <w:r>
              <w:rPr>
                <w:sz w:val="18"/>
              </w:rPr>
              <w:t>Controller/API layer, application/service layer, domain layer, integration/adapters layer, persistence layer, infrastructure layer.</w:t>
            </w:r>
          </w:p>
        </w:tc>
      </w:tr>
      <w:tr>
        <w:tc>
          <w:tcPr>
            <w:tcW w:type="dxa" w:w="2500"/>
            <w:vAlign w:val="center"/>
          </w:tcPr>
          <w:p>
            <w:pPr>
              <w:spacing w:after="0"/>
            </w:pPr>
            <w:r>
              <w:rPr>
                <w:sz w:val="18"/>
              </w:rPr>
              <w:t>Event-Driven Architecture</w:t>
            </w:r>
          </w:p>
        </w:tc>
        <w:tc>
          <w:tcPr>
            <w:tcW w:type="dxa" w:w="6700"/>
            <w:vAlign w:val="center"/>
          </w:tcPr>
          <w:p>
            <w:pPr>
              <w:spacing w:after="0"/>
            </w:pPr>
            <w:r>
              <w:rPr>
                <w:sz w:val="18"/>
              </w:rPr>
              <w:t>RabbitMQ/EventBus events for alert ingestion, enrichment, incident creation/state changes, response execution, notification, threat intel, and audit.</w:t>
            </w:r>
          </w:p>
        </w:tc>
      </w:tr>
    </w:tbl>
    <w:p/>
    <w:p>
      <w:pPr>
        <w:pStyle w:val="Heading1"/>
      </w:pPr>
      <w:r>
        <w:t>Backend Proof</w:t>
      </w:r>
    </w:p>
    <w:p>
      <w:r>
        <w:t>The backend contains Java code for controllers, domain models, design patterns, repositories, events, security demo flows, mock integrations, tests, and Docker packaging.</w:t>
      </w:r>
    </w:p>
    <w:p>
      <w:pPr>
        <w:pStyle w:val="ListBullet"/>
      </w:pPr>
      <w:r>
        <w:t>Java source files found: 39 in services/alert-ingestion-service/src/main/java.</w:t>
      </w:r>
    </w:p>
    <w:p>
      <w:pPr>
        <w:pStyle w:val="ListBullet"/>
      </w:pPr>
      <w:r>
        <w:t>Test classes: AuditEventCreationTest, EndToEndDemoTest, PatternTests.</w:t>
      </w:r>
    </w:p>
    <w:p>
      <w:pPr>
        <w:pStyle w:val="ListBullet"/>
      </w:pPr>
      <w:r>
        <w:t>OpenAPI contract: docs/api/openapi-sdapro.yaml.</w:t>
      </w:r>
    </w:p>
    <w:p>
      <w:pPr>
        <w:pStyle w:val="ListBullet"/>
      </w:pPr>
      <w:r>
        <w:t>AsyncAPI event contract: docs/api/asyncapi-events.yaml.</w:t>
      </w:r>
    </w:p>
    <w:p>
      <w:pPr>
        <w:pStyle w:val="ListBullet"/>
      </w:pPr>
      <w:r>
        <w:t>ADR decisions: five ADR markdown files under docs/adr.</w:t>
      </w:r>
    </w:p>
    <w:p>
      <w:pPr>
        <w:pStyle w:val="Heading1"/>
      </w:pPr>
      <w:r>
        <w:t>Frontend Proof</w:t>
      </w:r>
    </w:p>
    <w:p>
      <w:r>
        <w:t>The frontend implements the required login, dashboard, live alert stream, incident queue/detail, response console, threat intelligence lookup, audit logs, and settings views. It masks identifiers and avoids exposing raw integration secrets.</w:t>
      </w:r>
    </w:p>
    <w:p>
      <w:pPr>
        <w:pStyle w:val="Heading1"/>
      </w:pPr>
      <w:r>
        <w:t>Docker and Runtime Proof</w:t>
      </w:r>
    </w:p>
    <w:p>
      <w:r>
        <w:t>The Docker Desktop screenshot supplied by the student shows the sdaproject Compose stack running. The command-line proof below was captured from the same project and lists the active backend, frontend, database, cache, and broker containers.</w:t>
      </w:r>
    </w:p>
    <w:p>
      <w:pPr>
        <w:spacing w:before="60" w:after="180"/>
      </w:pPr>
      <w:r>
        <w:rPr>
          <w:rFonts w:ascii="Consolas" w:hAnsi="Consolas" w:eastAsia="Consolas"/>
          <w:color w:val="2D3748"/>
          <w:sz w:val="16"/>
        </w:rPr>
        <w:t>﻿NAME                                   IMAGE                                COMMAND                  SERVICE                   CREATED          STATUS                    PORTS</w:t>
        <w:br/>
        <w:t>sdaproject-alert-ingestion-service-1   sdaproject-alert-ingestion-service   "java -jar app.jar"      alert-ingestion-service   53 minutes ago   Up 53 minutes             0.0.0.0:8080-&gt;8080/tcp, [::]:8080-&gt;8080/tcp</w:t>
        <w:br/>
        <w:t>sdaproject-postgres-1                  postgres:16-alpine                   "docker-entrypoint.s…"   postgres                  4 hours ago      Up 54 minutes (healthy)   0.0.0.0:5432-&gt;5432/tcp, [::]:5432-&gt;5432/tcp</w:t>
        <w:br/>
        <w:t>sdaproject-rabbitmq-1                  rabbitmq:3-management-alpine         "docker-entrypoint.s…"   rabbitmq                  4 hours ago      Up 54 minutes             0.0.0.0:5672-&gt;5672/tcp, [::]:5672-&gt;5672/tcp, 0.0.0.0:15672-&gt;15672/tcp, [::]:15672-&gt;15672/tcp</w:t>
        <w:br/>
        <w:t>sdaproject-redis-1                     redis:7-alpine                       "docker-entrypoint.s…"   redis                     4 hours ago      Up 54 minutes             0.0.0.0:6379-&gt;6379/tcp, [::]:6379-&gt;6379/tcp</w:t>
        <w:br/>
        <w:t>sdaproject-soc-dashboard-1             sdaproject-soc-dashboard             "docker-entrypoint.s…"   soc-dashboard             53 minutes ago   Up 53 minutes             0.0.0.0:5173-&gt;5173/tcp, [::]:5173-&gt;5173/tcp</w:t>
        <w:br/>
      </w:r>
    </w:p>
    <w:p>
      <w:pPr>
        <w:pStyle w:val="Heading1"/>
      </w:pPr>
      <w:r>
        <w:t>API Response Proof</w:t>
      </w:r>
    </w:p>
    <w:p>
      <w:r>
        <w:t>Dashboard metrics API response:</w:t>
      </w:r>
    </w:p>
    <w:p>
      <w:pPr>
        <w:spacing w:before="60" w:after="180"/>
      </w:pPr>
      <w:r>
        <w:rPr>
          <w:rFonts w:ascii="Consolas" w:hAnsi="Consolas" w:eastAsia="Consolas"/>
          <w:color w:val="2D3748"/>
          <w:sz w:val="16"/>
        </w:rPr>
        <w:t>﻿{</w:t>
        <w:br/>
        <w:t xml:space="preserve">    "alerts":  6,</w:t>
        <w:br/>
        <w:t xml:space="preserve">    "openIncidents":  6,</w:t>
        <w:br/>
        <w:t xml:space="preserve">    "mttr":  "18m",</w:t>
        <w:br/>
        <w:t xml:space="preserve">    "incidents":  6,</w:t>
        <w:br/>
        <w:t xml:space="preserve">    "mttd":  "4m"</w:t>
        <w:br/>
        <w:t>}</w:t>
        <w:br/>
      </w:r>
    </w:p>
    <w:p>
      <w:r>
        <w:t>Threat intelligence lookup API response:</w:t>
      </w:r>
    </w:p>
    <w:p>
      <w:pPr>
        <w:spacing w:before="60" w:after="180"/>
      </w:pPr>
      <w:r>
        <w:rPr>
          <w:rFonts w:ascii="Consolas" w:hAnsi="Consolas" w:eastAsia="Consolas"/>
          <w:color w:val="2D3748"/>
          <w:sz w:val="16"/>
        </w:rPr>
        <w:t>﻿{</w:t>
        <w:br/>
        <w:t xml:space="preserve">    "indicator":  "203.0.113.10",</w:t>
        <w:br/>
        <w:t xml:space="preserve">    "score":  92,</w:t>
        <w:br/>
        <w:t xml:space="preserve">    "verdict":  "MALICIOUS",</w:t>
        <w:br/>
        <w:t xml:space="preserve">    "provider":  "VirusTotalMock"</w:t>
        <w:br/>
        <w:t>}</w:t>
        <w:br/>
      </w:r>
    </w:p>
    <w:p>
      <w:pPr>
        <w:pStyle w:val="Heading1"/>
      </w:pPr>
      <w:r>
        <w:t>Testing Evidence</w:t>
      </w:r>
    </w:p>
    <w:p>
      <w:r>
        <w:t>Implemented test coverage includes normalizer factory, enrichment chain, incident state transitions, response strategy selection, threat intel proxy cache, audit event creation, and an end-to-end demo test.</w:t>
      </w:r>
    </w:p>
    <w:p>
      <w:pPr>
        <w:spacing w:before="60" w:after="180"/>
      </w:pPr>
      <w:r>
        <w:rPr>
          <w:rFonts w:ascii="Consolas" w:hAnsi="Consolas" w:eastAsia="Consolas"/>
          <w:color w:val="2D3748"/>
          <w:sz w:val="16"/>
        </w:rPr>
        <w:t>﻿-------------------------------------------------------------------------------</w:t>
        <w:br/>
        <w:t>Test set: edu.sdapro.AuditEventCreationTest</w:t>
        <w:br/>
        <w:t>-------------------------------------------------------------------------------</w:t>
        <w:br/>
        <w:t>Tests run: 1, Failures: 0, Errors: 0, Skipped: 0, Time elapsed: 7.993 s -- in edu.sdapro.AuditEventCreationTest</w:t>
        <w:br/>
        <w:t>-------------------------------------------------------------------------------</w:t>
        <w:br/>
        <w:t>Test set: edu.sdapro.EndToEndDemoTest</w:t>
        <w:br/>
        <w:t>-------------------------------------------------------------------------------</w:t>
        <w:br/>
        <w:t>Tests run: 1, Failures: 0, Errors: 0, Skipped: 0, Time elapsed: 33.61 s -- in edu.sdapro.EndToEndDemoTest</w:t>
        <w:br/>
        <w:t>-------------------------------------------------------------------------------</w:t>
        <w:br/>
        <w:t>Test set: edu.sdapro.PatternTests</w:t>
        <w:br/>
        <w:t>-------------------------------------------------------------------------------</w:t>
        <w:br/>
        <w:t>Tests run: 5, Failures: 0, Errors: 0, Skipped: 0, Time elapsed: 0.224 s -- in edu.sdapro.PatternTests</w:t>
        <w:br/>
      </w:r>
    </w:p>
    <w:p>
      <w:pPr>
        <w:pStyle w:val="Heading1"/>
      </w:pPr>
      <w:r>
        <w:t>Required Documentation Evidence</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3600"/>
            <w:shd w:fill="EEF3F8"/>
            <w:vAlign w:val="center"/>
          </w:tcPr>
          <w:p>
            <w:pPr>
              <w:spacing w:after="0"/>
            </w:pPr>
            <w:r>
              <w:rPr>
                <w:b/>
                <w:color w:val="0B2545"/>
              </w:rPr>
              <w:t>Required Artifact</w:t>
            </w:r>
          </w:p>
        </w:tc>
        <w:tc>
          <w:tcPr>
            <w:tcW w:type="dxa" w:w="5600"/>
            <w:shd w:fill="EEF3F8"/>
            <w:vAlign w:val="center"/>
          </w:tcPr>
          <w:p>
            <w:pPr>
              <w:spacing w:after="0"/>
            </w:pPr>
            <w:r>
              <w:rPr>
                <w:b/>
                <w:color w:val="0B2545"/>
              </w:rPr>
              <w:t>Location</w:t>
            </w:r>
          </w:p>
        </w:tc>
      </w:tr>
      <w:tr>
        <w:tc>
          <w:tcPr>
            <w:tcW w:type="dxa" w:w="3600"/>
            <w:vAlign w:val="center"/>
          </w:tcPr>
          <w:p>
            <w:pPr>
              <w:spacing w:after="0"/>
            </w:pPr>
            <w:r>
              <w:rPr>
                <w:sz w:val="18"/>
              </w:rPr>
              <w:t>README with setup/demo instructions</w:t>
            </w:r>
          </w:p>
        </w:tc>
        <w:tc>
          <w:tcPr>
            <w:tcW w:type="dxa" w:w="5600"/>
            <w:vAlign w:val="center"/>
          </w:tcPr>
          <w:p>
            <w:pPr>
              <w:spacing w:after="0"/>
            </w:pPr>
            <w:r>
              <w:rPr>
                <w:sz w:val="18"/>
              </w:rPr>
              <w:t>README.md</w:t>
            </w:r>
          </w:p>
        </w:tc>
      </w:tr>
      <w:tr>
        <w:tc>
          <w:tcPr>
            <w:tcW w:type="dxa" w:w="3600"/>
            <w:vAlign w:val="center"/>
          </w:tcPr>
          <w:p>
            <w:pPr>
              <w:spacing w:after="0"/>
            </w:pPr>
            <w:r>
              <w:rPr>
                <w:sz w:val="18"/>
              </w:rPr>
              <w:t>Docker Compose</w:t>
            </w:r>
          </w:p>
        </w:tc>
        <w:tc>
          <w:tcPr>
            <w:tcW w:type="dxa" w:w="5600"/>
            <w:vAlign w:val="center"/>
          </w:tcPr>
          <w:p>
            <w:pPr>
              <w:spacing w:after="0"/>
            </w:pPr>
            <w:r>
              <w:rPr>
                <w:sz w:val="18"/>
              </w:rPr>
              <w:t>docker-compose.yml</w:t>
            </w:r>
          </w:p>
        </w:tc>
      </w:tr>
      <w:tr>
        <w:tc>
          <w:tcPr>
            <w:tcW w:type="dxa" w:w="3600"/>
            <w:vAlign w:val="center"/>
          </w:tcPr>
          <w:p>
            <w:pPr>
              <w:spacing w:after="0"/>
            </w:pPr>
            <w:r>
              <w:rPr>
                <w:sz w:val="18"/>
              </w:rPr>
              <w:t>ADR-001 SOA vs Microservices vs Modular Monolith</w:t>
            </w:r>
          </w:p>
        </w:tc>
        <w:tc>
          <w:tcPr>
            <w:tcW w:type="dxa" w:w="5600"/>
            <w:vAlign w:val="center"/>
          </w:tcPr>
          <w:p>
            <w:pPr>
              <w:spacing w:after="0"/>
            </w:pPr>
            <w:r>
              <w:rPr>
                <w:sz w:val="18"/>
              </w:rPr>
              <w:t>docs/adr/ADR-001-soa-vs-microservices-vs-modular-monolith.md</w:t>
            </w:r>
          </w:p>
        </w:tc>
      </w:tr>
      <w:tr>
        <w:tc>
          <w:tcPr>
            <w:tcW w:type="dxa" w:w="3600"/>
            <w:vAlign w:val="center"/>
          </w:tcPr>
          <w:p>
            <w:pPr>
              <w:spacing w:after="0"/>
            </w:pPr>
            <w:r>
              <w:rPr>
                <w:sz w:val="18"/>
              </w:rPr>
              <w:t>ADR-002 Sync vs Async Communication</w:t>
            </w:r>
          </w:p>
        </w:tc>
        <w:tc>
          <w:tcPr>
            <w:tcW w:type="dxa" w:w="5600"/>
            <w:vAlign w:val="center"/>
          </w:tcPr>
          <w:p>
            <w:pPr>
              <w:spacing w:after="0"/>
            </w:pPr>
            <w:r>
              <w:rPr>
                <w:sz w:val="18"/>
              </w:rPr>
              <w:t>docs/adr/ADR-002-sync-vs-async-communication.md</w:t>
            </w:r>
          </w:p>
        </w:tc>
      </w:tr>
      <w:tr>
        <w:tc>
          <w:tcPr>
            <w:tcW w:type="dxa" w:w="3600"/>
            <w:vAlign w:val="center"/>
          </w:tcPr>
          <w:p>
            <w:pPr>
              <w:spacing w:after="0"/>
            </w:pPr>
            <w:r>
              <w:rPr>
                <w:sz w:val="18"/>
              </w:rPr>
              <w:t>ADR-003 Database Strategy</w:t>
            </w:r>
          </w:p>
        </w:tc>
        <w:tc>
          <w:tcPr>
            <w:tcW w:type="dxa" w:w="5600"/>
            <w:vAlign w:val="center"/>
          </w:tcPr>
          <w:p>
            <w:pPr>
              <w:spacing w:after="0"/>
            </w:pPr>
            <w:r>
              <w:rPr>
                <w:sz w:val="18"/>
              </w:rPr>
              <w:t>docs/adr/ADR-003-database-strategy.md</w:t>
            </w:r>
          </w:p>
        </w:tc>
      </w:tr>
      <w:tr>
        <w:tc>
          <w:tcPr>
            <w:tcW w:type="dxa" w:w="3600"/>
            <w:vAlign w:val="center"/>
          </w:tcPr>
          <w:p>
            <w:pPr>
              <w:spacing w:after="0"/>
            </w:pPr>
            <w:r>
              <w:rPr>
                <w:sz w:val="18"/>
              </w:rPr>
              <w:t>ADR-004 Threat Intel Cache Strategy</w:t>
            </w:r>
          </w:p>
        </w:tc>
        <w:tc>
          <w:tcPr>
            <w:tcW w:type="dxa" w:w="5600"/>
            <w:vAlign w:val="center"/>
          </w:tcPr>
          <w:p>
            <w:pPr>
              <w:spacing w:after="0"/>
            </w:pPr>
            <w:r>
              <w:rPr>
                <w:sz w:val="18"/>
              </w:rPr>
              <w:t>docs/adr/ADR-004-threat-intel-cache-strategy.md</w:t>
            </w:r>
          </w:p>
        </w:tc>
      </w:tr>
      <w:tr>
        <w:tc>
          <w:tcPr>
            <w:tcW w:type="dxa" w:w="3600"/>
            <w:vAlign w:val="center"/>
          </w:tcPr>
          <w:p>
            <w:pPr>
              <w:spacing w:after="0"/>
            </w:pPr>
            <w:r>
              <w:rPr>
                <w:sz w:val="18"/>
              </w:rPr>
              <w:t>ADR-005 Real-time Push Strategy</w:t>
            </w:r>
          </w:p>
        </w:tc>
        <w:tc>
          <w:tcPr>
            <w:tcW w:type="dxa" w:w="5600"/>
            <w:vAlign w:val="center"/>
          </w:tcPr>
          <w:p>
            <w:pPr>
              <w:spacing w:after="0"/>
            </w:pPr>
            <w:r>
              <w:rPr>
                <w:sz w:val="18"/>
              </w:rPr>
              <w:t>docs/adr/ADR-005-real-time-push-strategy.md</w:t>
            </w:r>
          </w:p>
        </w:tc>
      </w:tr>
      <w:tr>
        <w:tc>
          <w:tcPr>
            <w:tcW w:type="dxa" w:w="3600"/>
            <w:vAlign w:val="center"/>
          </w:tcPr>
          <w:p>
            <w:pPr>
              <w:spacing w:after="0"/>
            </w:pPr>
            <w:r>
              <w:rPr>
                <w:sz w:val="18"/>
              </w:rPr>
              <w:t>PlantUML class/component/sequence diagrams</w:t>
            </w:r>
          </w:p>
        </w:tc>
        <w:tc>
          <w:tcPr>
            <w:tcW w:type="dxa" w:w="5600"/>
            <w:vAlign w:val="center"/>
          </w:tcPr>
          <w:p>
            <w:pPr>
              <w:spacing w:after="0"/>
            </w:pPr>
            <w:r>
              <w:rPr>
                <w:sz w:val="18"/>
              </w:rPr>
              <w:t>docs/plantuml codes and docs/uml diagrams</w:t>
            </w:r>
          </w:p>
        </w:tc>
      </w:tr>
      <w:tr>
        <w:tc>
          <w:tcPr>
            <w:tcW w:type="dxa" w:w="3600"/>
            <w:vAlign w:val="center"/>
          </w:tcPr>
          <w:p>
            <w:pPr>
              <w:spacing w:after="0"/>
            </w:pPr>
            <w:r>
              <w:rPr>
                <w:sz w:val="18"/>
              </w:rPr>
              <w:t>OpenAPI and AsyncAPI</w:t>
            </w:r>
          </w:p>
        </w:tc>
        <w:tc>
          <w:tcPr>
            <w:tcW w:type="dxa" w:w="5600"/>
            <w:vAlign w:val="center"/>
          </w:tcPr>
          <w:p>
            <w:pPr>
              <w:spacing w:after="0"/>
            </w:pPr>
            <w:r>
              <w:rPr>
                <w:sz w:val="18"/>
              </w:rPr>
              <w:t>docs/api</w:t>
            </w:r>
          </w:p>
        </w:tc>
      </w:tr>
    </w:tbl>
    <w:p/>
    <w:p>
      <w:pPr>
        <w:pStyle w:val="Heading1"/>
      </w:pPr>
      <w:r>
        <w:t>Known Scope and Limitations</w:t>
      </w:r>
    </w:p>
    <w:p>
      <w:pPr>
        <w:pStyle w:val="ListBullet"/>
      </w:pPr>
      <w:r>
        <w:t>External integrations are mocked by requirement; no real Splunk, CrowdStrike, Firewall, VirusTotal, MISP, Slack, PagerDuty, Email, or Active Directory keys are used.</w:t>
      </w:r>
    </w:p>
    <w:p>
      <w:pPr>
        <w:pStyle w:val="ListBullet"/>
      </w:pPr>
      <w:r>
        <w:t>The implementation is demo-ready for SDA marking and local presentation, not hardened for production cybersecurity operations.</w:t>
      </w:r>
    </w:p>
    <w:p>
      <w:pPr>
        <w:pStyle w:val="ListBullet"/>
      </w:pPr>
      <w:r>
        <w:t>Service boundaries are architecture/documentation boundaries inside a reliable local demo build, rather than independently deployed microservice artifacts for every named service.</w:t>
      </w:r>
    </w:p>
    <w:p>
      <w:pPr>
        <w:pStyle w:val="Heading1"/>
      </w:pPr>
      <w:r>
        <w:t>Conclusion</w:t>
      </w:r>
    </w:p>
    <w:p>
      <w:r>
        <w:t>The project satisfies the requested SDA-Pro deliverables: complete stack, required services, required APIs, required events, database schema, modern frontend screens, all 12 design patterns with code annotations, all 4 architecture styles, UML diagrams, ADR documentation, Docker Compose execution, seeded demo data, and automated tests.</w:t>
      </w:r>
    </w:p>
    <w:sectPr w:rsidR="00FC693F" w:rsidRPr="0006063C" w:rsidSect="00034616">
      <w:foot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SDA-Pro Security Incident Response &amp; Threat Mitigation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