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est-data-environment-specification"/>
    <w:p>
      <w:pPr>
        <w:pStyle w:val="Heading1"/>
      </w:pPr>
      <w:r>
        <w:t xml:space="preserve">Test Data &amp; Environment Specification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QAMVP-TDES-001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Related:</w:t>
      </w:r>
      <w:r>
        <w:t xml:space="preserve"> </w:t>
      </w:r>
      <w:hyperlink r:id="rId9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RTM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README</w:t>
        </w:r>
      </w:hyperlink>
    </w:p>
    <w:p>
      <w:r>
        <w:pict>
          <v:rect style="width:0;height:1.5pt" o:hralign="center" o:hrstd="t" o:hr="t"/>
        </w:pict>
      </w:r>
    </w:p>
    <w:bookmarkStart w:id="12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b/>
          <w:bCs/>
        </w:rPr>
        <w:t xml:space="preserve">environments</w:t>
      </w:r>
      <w:r>
        <w:t xml:space="preserve">,</w:t>
      </w:r>
      <w:r>
        <w:t xml:space="preserve"> </w:t>
      </w:r>
      <w:r>
        <w:rPr>
          <w:b/>
          <w:bCs/>
        </w:rPr>
        <w:t xml:space="preserve">credentials</w:t>
      </w:r>
      <w:r>
        <w:t xml:space="preserve">,</w:t>
      </w:r>
      <w:r>
        <w:t xml:space="preserve"> </w:t>
      </w:r>
      <w:r>
        <w:rPr>
          <w:b/>
          <w:bCs/>
        </w:rPr>
        <w:t xml:space="preserve">routes</w:t>
      </w:r>
      <w:r>
        <w:t xml:space="preserve">, and</w:t>
      </w:r>
      <w:r>
        <w:t xml:space="preserve"> </w:t>
      </w:r>
      <w:r>
        <w:rPr>
          <w:b/>
          <w:bCs/>
        </w:rPr>
        <w:t xml:space="preserve">data conventions</w:t>
      </w:r>
      <w:r>
        <w:t xml:space="preserve"> </w:t>
      </w:r>
      <w:r>
        <w:t xml:space="preserve">for testing the mock trading SUT.</w:t>
      </w:r>
    </w:p>
    <w:p>
      <w:r>
        <w:pict>
          <v:rect style="width:0;height:1.5pt" o:hralign="center" o:hrstd="t" o:hr="t"/>
        </w:pict>
      </w:r>
    </w:p>
    <w:bookmarkEnd w:id="12"/>
    <w:bookmarkStart w:id="13" w:name="environment-matrix"/>
    <w:p>
      <w:pPr>
        <w:pStyle w:val="Heading2"/>
      </w:pPr>
      <w:r>
        <w:t xml:space="preserve">2. Environment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ID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ENV-LOCAL-01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http://localhost:4200</w:t>
            </w:r>
          </w:p>
        </w:tc>
        <w:tc>
          <w:tcPr/>
          <w:p>
            <w:pPr>
              <w:pStyle w:val="Compact"/>
            </w:pPr>
            <w:r>
              <w:t xml:space="preserve">Chromium</w:t>
            </w:r>
          </w:p>
        </w:tc>
        <w:tc>
          <w:tcPr/>
          <w:p>
            <w:pPr>
              <w:pStyle w:val="Compact"/>
            </w:pPr>
            <w:r>
              <w:t xml:space="preserve">Primary 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ENV-CI-01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Headless</w:t>
            </w:r>
          </w:p>
        </w:tc>
        <w:tc>
          <w:tcPr/>
          <w:p>
            <w:pPr>
              <w:pStyle w:val="Compact"/>
            </w:pPr>
            <w:r>
              <w:t xml:space="preserve">Future automation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ccounts-from-ref-2"/>
    <w:p>
      <w:pPr>
        <w:pStyle w:val="Heading2"/>
      </w:pPr>
      <w:r>
        <w:t xml:space="preserve">3. Accounts (from REF-2)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400"/>
        <w:gridCol w:w="240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chscker@123</w:t>
            </w:r>
          </w:p>
        </w:tc>
        <w:tc>
          <w:tcPr/>
          <w:p>
            <w:pPr>
              <w:pStyle w:val="Compact"/>
            </w:pPr>
            <w:r>
              <w:t xml:space="preserve">Typo preserved per app_layout.md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Warning:</w:t>
      </w:r>
      <w:r>
        <w:t xml:space="preserve"> </w:t>
      </w:r>
      <w:r>
        <w:t xml:space="preserve">Do not reuse these outside lab contexts.</w:t>
      </w:r>
    </w:p>
    <w:p>
      <w:r>
        <w:pict>
          <v:rect style="width:0;height:1.5pt" o:hralign="center" o:hrstd="t" o:hr="t"/>
        </w:pict>
      </w:r>
    </w:p>
    <w:bookmarkEnd w:id="14"/>
    <w:bookmarkStart w:id="15" w:name="routes"/>
    <w:p>
      <w:pPr>
        <w:pStyle w:val="Heading2"/>
      </w:pPr>
      <w:r>
        <w:t xml:space="preserve">4.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New Trade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Approval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/trades</w:t>
            </w:r>
          </w:p>
        </w:tc>
        <w:tc>
          <w:tcPr/>
          <w:p>
            <w:pPr>
              <w:pStyle w:val="Compact"/>
            </w:pPr>
            <w:r>
              <w:t xml:space="preserve">Trade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ocator-data"/>
    <w:p>
      <w:pPr>
        <w:pStyle w:val="Heading2"/>
      </w:pPr>
      <w:r>
        <w:t xml:space="preserve">5. Locator data</w:t>
      </w:r>
    </w:p>
    <w:p>
      <w:pPr>
        <w:pStyle w:val="FirstParagraph"/>
      </w:pPr>
      <w:r>
        <w:rPr>
          <w:b/>
          <w:bCs/>
        </w:rPr>
        <w:t xml:space="preserve">Workbook:</w:t>
      </w:r>
      <w:r>
        <w:t xml:space="preserve"> </w:t>
      </w:r>
      <w:r>
        <w:rPr>
          <w:rStyle w:val="VerbatimChar"/>
        </w:rPr>
        <w:t xml:space="preserve">test_data/locators.xlsx</w:t>
      </w:r>
      <w:r>
        <w:t xml:space="preserve"> </w:t>
      </w:r>
      <w:r>
        <w:t xml:space="preserve">(per repository layout).</w:t>
      </w:r>
      <w:r>
        <w:br/>
      </w:r>
      <w:r>
        <w:rPr>
          <w:b/>
          <w:bCs/>
        </w:rPr>
        <w:t xml:space="preserve">Strategy: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//*[@data-testid='...']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locator_strategy.md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default-test-data-conventions"/>
    <w:p>
      <w:pPr>
        <w:pStyle w:val="Heading2"/>
      </w:pPr>
      <w:r>
        <w:t xml:space="preserve">6. Default test data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Suggested 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BUY or SELL</w:t>
            </w:r>
          </w:p>
        </w:tc>
        <w:tc>
          <w:tcPr/>
          <w:p>
            <w:pPr>
              <w:pStyle w:val="Compact"/>
            </w:pPr>
            <w:r>
              <w:t xml:space="preserve">Alternate in suites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Small integer</w:t>
            </w:r>
          </w:p>
        </w:tc>
        <w:tc>
          <w:tcPr/>
          <w:p>
            <w:pPr>
              <w:pStyle w:val="Compact"/>
            </w:pPr>
            <w:r>
              <w:t xml:space="preserve">e.g. 10,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Per SUT seed data</w:t>
            </w:r>
          </w:p>
        </w:tc>
        <w:tc>
          <w:tcPr/>
          <w:p>
            <w:pPr>
              <w:pStyle w:val="Compact"/>
            </w:pPr>
            <w:r>
              <w:t xml:space="preserve">After selection, await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in Force</w:t>
            </w:r>
          </w:p>
        </w:tc>
        <w:tc>
          <w:tcPr/>
          <w:p>
            <w:pPr>
              <w:pStyle w:val="Compact"/>
            </w:pPr>
            <w:r>
              <w:t xml:space="preserve">Mix</w:t>
            </w:r>
          </w:p>
        </w:tc>
        <w:tc>
          <w:tcPr/>
          <w:p>
            <w:pPr>
              <w:pStyle w:val="Compact"/>
            </w:pPr>
            <w:r>
              <w:t xml:space="preserve">Include GTC for REQ-FR-032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fresh-reset"/>
    <w:p>
      <w:pPr>
        <w:pStyle w:val="Heading2"/>
      </w:pPr>
      <w:r>
        <w:t xml:space="preserve">7. Refresh / reset</w:t>
      </w:r>
    </w:p>
    <w:p>
      <w:pPr>
        <w:pStyle w:val="FirstParagraph"/>
      </w:pPr>
      <w:r>
        <w:t xml:space="preserve">Assume</w:t>
      </w:r>
      <w:r>
        <w:t xml:space="preserve"> </w:t>
      </w:r>
      <w:r>
        <w:rPr>
          <w:b/>
          <w:bCs/>
        </w:rPr>
        <w:t xml:space="preserve">clean state</w:t>
      </w:r>
      <w:r>
        <w:t xml:space="preserve"> </w:t>
      </w:r>
      <w:r>
        <w:t xml:space="preserve">via app restart or documented reset procedure if implemented; otherwise use unique quantities/tickers to avoid ambiguity.</w:t>
      </w:r>
    </w:p>
    <w:p>
      <w:r>
        <w:pict>
          <v:rect style="width:0;height:1.5pt" o:hralign="center" o:hrstd="t" o:hr="t"/>
        </w:pict>
      </w:r>
    </w:p>
    <w:bookmarkEnd w:id="18"/>
    <w:bookmarkStart w:id="19" w:name="dependencies"/>
    <w:p>
      <w:pPr>
        <w:pStyle w:val="Heading2"/>
      </w:pPr>
      <w:r>
        <w:t xml:space="preserve">8. Dependencies</w:t>
      </w:r>
    </w:p>
    <w:p>
      <w:pPr>
        <w:pStyle w:val="Compact"/>
        <w:numPr>
          <w:ilvl w:val="0"/>
          <w:numId w:val="1001"/>
        </w:numPr>
      </w:pPr>
      <w:r>
        <w:t xml:space="preserve">Node.js / npm for</w:t>
      </w:r>
      <w:r>
        <w:t xml:space="preserve"> </w:t>
      </w:r>
      <w:r>
        <w:rPr>
          <w:rStyle w:val="VerbatimChar"/>
        </w:rPr>
        <w:t xml:space="preserve">ng serve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Java for Selenium runner (if executing JSON scripts)</w:t>
      </w:r>
    </w:p>
    <w:p>
      <w:r>
        <w:pict>
          <v:rect style="width:0;height:1.5pt" o:hralign="center" o:hrstd="t" o:hr="t"/>
        </w:pict>
      </w:r>
    </w:p>
    <w:bookmarkEnd w:id="19"/>
    <w:bookmarkStart w:id="30" w:name="Xa763612c4c5c0d56d3554ee11dbec98d817afc3"/>
    <w:p>
      <w:pPr>
        <w:pStyle w:val="Heading2"/>
      </w:pPr>
      <w:r>
        <w:t xml:space="preserve">9. Expanded environment procedures (corporate)</w:t>
      </w:r>
    </w:p>
    <w:bookmarkStart w:id="20" w:name="workstation-baseline"/>
    <w:p>
      <w:pPr>
        <w:pStyle w:val="Heading3"/>
      </w:pPr>
      <w:r>
        <w:t xml:space="preserve">9.1 Workstation 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Clone QAMVP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Install Node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mock-trading-app &amp;&amp; npm ci &amp;&amp; npm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http://localhost:4200/login</w:t>
            </w:r>
            <w:r>
              <w:t xml:space="preserve"> </w:t>
            </w:r>
            <w:r>
              <w:t xml:space="preserve">loads</w:t>
            </w:r>
          </w:p>
        </w:tc>
      </w:tr>
    </w:tbl>
    <w:bookmarkEnd w:id="20"/>
    <w:bookmarkStart w:id="21" w:name="network-and-proxy"/>
    <w:p>
      <w:pPr>
        <w:pStyle w:val="Heading3"/>
      </w:pPr>
      <w:r>
        <w:t xml:space="preserve">9.2 Network and proxy</w:t>
      </w:r>
    </w:p>
    <w:p>
      <w:pPr>
        <w:pStyle w:val="FirstParagraph"/>
      </w:pPr>
      <w:r>
        <w:t xml:space="preserve">Local PoC:</w:t>
      </w:r>
      <w:r>
        <w:t xml:space="preserve"> </w:t>
      </w:r>
      <w:r>
        <w:rPr>
          <w:b/>
          <w:bCs/>
        </w:rPr>
        <w:t xml:space="preserve">no proxy</w:t>
      </w:r>
      <w:r>
        <w:t xml:space="preserve"> </w:t>
      </w:r>
      <w:r>
        <w:t xml:space="preserve">expected. Corporate laptops: follow IT exception process if localhost blocked.</w:t>
      </w:r>
    </w:p>
    <w:bookmarkEnd w:id="21"/>
    <w:bookmarkStart w:id="22" w:name="time-synchronization"/>
    <w:p>
      <w:pPr>
        <w:pStyle w:val="Heading3"/>
      </w:pPr>
      <w:r>
        <w:t xml:space="preserve">9.3 Time synchronization</w:t>
      </w:r>
    </w:p>
    <w:p>
      <w:pPr>
        <w:pStyle w:val="FirstParagraph"/>
      </w:pPr>
      <w:r>
        <w:t xml:space="preserve">Not material for mock; production programs would require NTP.</w:t>
      </w:r>
    </w:p>
    <w:bookmarkEnd w:id="22"/>
    <w:bookmarkStart w:id="23" w:name="data-privacy"/>
    <w:p>
      <w:pPr>
        <w:pStyle w:val="Heading3"/>
      </w:pPr>
      <w:r>
        <w:t xml:space="preserve">9.4 Data privacy</w:t>
      </w:r>
    </w:p>
    <w:p>
      <w:pPr>
        <w:pStyle w:val="FirstParagraph"/>
      </w:pPr>
      <w:r>
        <w:t xml:space="preserve">No PII in mock; synthetic users only.</w:t>
      </w:r>
    </w:p>
    <w:bookmarkEnd w:id="23"/>
    <w:bookmarkStart w:id="24" w:name="backup-restore"/>
    <w:p>
      <w:pPr>
        <w:pStyle w:val="Heading3"/>
      </w:pPr>
      <w:r>
        <w:t xml:space="preserve">9.5 Backup / restore</w:t>
      </w:r>
    </w:p>
    <w:p>
      <w:pPr>
        <w:pStyle w:val="FirstParagraph"/>
      </w:pPr>
      <w:r>
        <w:t xml:space="preserve">Not applicable; rebuild from source.</w:t>
      </w:r>
    </w:p>
    <w:bookmarkEnd w:id="24"/>
    <w:bookmarkStart w:id="25" w:name="version-pinning"/>
    <w:p>
      <w:pPr>
        <w:pStyle w:val="Heading3"/>
      </w:pPr>
      <w:r>
        <w:t xml:space="preserve">9.6 Version pinning</w:t>
      </w:r>
    </w:p>
    <w:p>
      <w:pPr>
        <w:pStyle w:val="FirstParagraph"/>
      </w:pPr>
      <w:r>
        <w:t xml:space="preserve">Record Angular and Node versions in test report footers when escalating defects.</w:t>
      </w:r>
    </w:p>
    <w:bookmarkEnd w:id="25"/>
    <w:bookmarkStart w:id="26" w:name="access-control-lab"/>
    <w:p>
      <w:pPr>
        <w:pStyle w:val="Heading3"/>
      </w:pPr>
      <w:r>
        <w:t xml:space="preserve">9.7 Access control (lab)</w:t>
      </w:r>
    </w:p>
    <w:p>
      <w:pPr>
        <w:pStyle w:val="FirstParagraph"/>
      </w:pPr>
      <w:r>
        <w:t xml:space="preserve">Physical access to lab machines per local policy.</w:t>
      </w:r>
    </w:p>
    <w:bookmarkEnd w:id="26"/>
    <w:bookmarkStart w:id="27" w:name="incident-handling"/>
    <w:p>
      <w:pPr>
        <w:pStyle w:val="Heading3"/>
      </w:pPr>
      <w:r>
        <w:t xml:space="preserve">9.8 Incident handling</w:t>
      </w:r>
    </w:p>
    <w:p>
      <w:pPr>
        <w:pStyle w:val="FirstParagraph"/>
      </w:pPr>
      <w:r>
        <w:t xml:space="preserve">If credentials leak: rotate in</w:t>
      </w:r>
      <w:r>
        <w:t xml:space="preserve"> </w:t>
      </w:r>
      <w:r>
        <w:rPr>
          <w:b/>
          <w:bCs/>
        </w:rPr>
        <w:t xml:space="preserve">fork</w:t>
      </w:r>
      <w:r>
        <w:t xml:space="preserve"> </w:t>
      </w:r>
      <w:r>
        <w:t xml:space="preserve">only; upstream PoC may keep static refs for tutorial reproducibility.</w:t>
      </w:r>
    </w:p>
    <w:bookmarkEnd w:id="27"/>
    <w:bookmarkStart w:id="28" w:name="tooling-versions"/>
    <w:p>
      <w:pPr>
        <w:pStyle w:val="Heading3"/>
      </w:pPr>
      <w:r>
        <w:t xml:space="preserve">9.9 Tooling 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Min version (indicative)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Chrome/Chromium</w:t>
            </w:r>
          </w:p>
        </w:tc>
        <w:tc>
          <w:tcPr/>
          <w:p>
            <w:pPr>
              <w:pStyle w:val="Compact"/>
            </w:pPr>
            <w:r>
              <w:t xml:space="preserve">Current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Per java-framework pom</w:t>
            </w:r>
          </w:p>
        </w:tc>
      </w:tr>
    </w:tbl>
    <w:bookmarkEnd w:id="28"/>
    <w:bookmarkStart w:id="29" w:name="sign-off"/>
    <w:p>
      <w:pPr>
        <w:pStyle w:val="Heading3"/>
      </w:pPr>
      <w:r>
        <w:t xml:space="preserve">9.10 Sign-off</w:t>
      </w:r>
    </w:p>
    <w:p>
      <w:pPr>
        <w:pStyle w:val="FirstParagraph"/>
      </w:pPr>
      <w:r>
        <w:t xml:space="preserve">Environment ready when login succeeds per REQ-FR-002.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Tracker column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Environment</w:t>
      </w:r>
      <w:r>
        <w:rPr>
          <w:i/>
          <w:iCs/>
        </w:rPr>
        <w:t xml:space="preserve"> </w:t>
      </w:r>
      <w:r>
        <w:rPr>
          <w:i/>
          <w:iCs/>
        </w:rPr>
        <w:t xml:space="preserve">should cite ENV-LOCAL-01 unless otherwise noted.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2-functional-requirements-specification.md" TargetMode="External" /><Relationship Type="http://schemas.openxmlformats.org/officeDocument/2006/relationships/hyperlink" Id="rId10" Target="06-requirements-traceability-matrix.md" TargetMode="External" /><Relationship Type="http://schemas.openxmlformats.org/officeDocument/2006/relationships/hyperlink" Id="rId11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2-functional-requirements-specification.md" TargetMode="External" /><Relationship Type="http://schemas.openxmlformats.org/officeDocument/2006/relationships/hyperlink" Id="rId10" Target="06-requirements-traceability-matrix.md" TargetMode="External" /><Relationship Type="http://schemas.openxmlformats.org/officeDocument/2006/relationships/hyperlink" Id="rId11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2026-05-01T14:13:53Z</dcterms:created>
  <dcterms:modified xsi:type="dcterms:W3CDTF">2026-05-01T14:13:53Z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