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quality-risk-defect-governance"/>
    <w:p>
      <w:pPr>
        <w:pStyle w:val="Heading1"/>
      </w:pPr>
      <w:r>
        <w:t xml:space="preserve">Quality, Risk &amp; Defect Governance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QAMVP-QRDG-001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Related:</w:t>
      </w:r>
      <w:r>
        <w:t xml:space="preserve"> </w:t>
      </w:r>
      <w:hyperlink r:id="rId9">
        <w:r>
          <w:rPr>
            <w:rStyle w:val="Hyperlink"/>
          </w:rPr>
          <w:t xml:space="preserve">Test Strategy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Test Plan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RTM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Tracker</w:t>
        </w:r>
      </w:hyperlink>
    </w:p>
    <w:p>
      <w:r>
        <w:pict>
          <v:rect style="width:0;height:1.5pt" o:hralign="center" o:hrstd="t" o:hr="t"/>
        </w:pict>
      </w:r>
    </w:p>
    <w:bookmarkStart w:id="13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Establish</w:t>
      </w:r>
      <w:r>
        <w:t xml:space="preserve"> </w:t>
      </w:r>
      <w:r>
        <w:rPr>
          <w:b/>
          <w:bCs/>
        </w:rPr>
        <w:t xml:space="preserve">defect severity</w:t>
      </w:r>
      <w:r>
        <w:t xml:space="preserve">,</w:t>
      </w:r>
      <w:r>
        <w:t xml:space="preserve"> </w:t>
      </w:r>
      <w:r>
        <w:rPr>
          <w:b/>
          <w:bCs/>
        </w:rPr>
        <w:t xml:space="preserve">SLA-style triage</w:t>
      </w:r>
      <w:r>
        <w:t xml:space="preserve">,</w:t>
      </w:r>
      <w:r>
        <w:t xml:space="preserve"> </w:t>
      </w:r>
      <w:r>
        <w:rPr>
          <w:b/>
          <w:bCs/>
        </w:rPr>
        <w:t xml:space="preserve">quality gates</w:t>
      </w:r>
      <w:r>
        <w:t xml:space="preserve">, and</w:t>
      </w:r>
      <w:r>
        <w:t xml:space="preserve"> </w:t>
      </w:r>
      <w:r>
        <w:rPr>
          <w:b/>
          <w:bCs/>
        </w:rPr>
        <w:t xml:space="preserve">sign-off</w:t>
      </w:r>
      <w:r>
        <w:t xml:space="preserve"> </w:t>
      </w:r>
      <w:r>
        <w:t xml:space="preserve">roles for the QAMVP documentation and testing program.</w:t>
      </w:r>
    </w:p>
    <w:p>
      <w:r>
        <w:pict>
          <v:rect style="width:0;height:1.5pt" o:hralign="center" o:hrstd="t" o:hr="t"/>
        </w:pict>
      </w:r>
    </w:p>
    <w:bookmarkEnd w:id="13"/>
    <w:bookmarkStart w:id="14" w:name="quality-gates"/>
    <w:p>
      <w:pPr>
        <w:pStyle w:val="Heading2"/>
      </w:pPr>
      <w:r>
        <w:t xml:space="preserve">2. Quality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— Requirements</w:t>
            </w:r>
          </w:p>
        </w:tc>
        <w:tc>
          <w:tcPr/>
          <w:p>
            <w:pPr>
              <w:pStyle w:val="Compact"/>
            </w:pPr>
            <w:r>
              <w:t xml:space="preserve">BRD+FRS baselined in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— Test design</w:t>
            </w:r>
          </w:p>
        </w:tc>
        <w:tc>
          <w:tcPr/>
          <w:p>
            <w:pPr>
              <w:pStyle w:val="Compact"/>
            </w:pPr>
            <w:r>
              <w:t xml:space="preserve">TDS + RTM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— Execution</w:t>
            </w:r>
          </w:p>
        </w:tc>
        <w:tc>
          <w:tcPr/>
          <w:p>
            <w:pPr>
              <w:pStyle w:val="Compact"/>
            </w:pPr>
            <w:r>
              <w:t xml:space="preserve">Smoke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— Release (PoC)</w:t>
            </w:r>
          </w:p>
        </w:tc>
        <w:tc>
          <w:tcPr/>
          <w:p>
            <w:pPr>
              <w:pStyle w:val="Compact"/>
            </w:pPr>
            <w:r>
              <w:t xml:space="preserve">Sponsor demo 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fect-severity"/>
    <w:p>
      <w:pPr>
        <w:pStyle w:val="Heading2"/>
      </w:pPr>
      <w:r>
        <w:t xml:space="preserve">3. Defect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Blocker: cannot demo core journey</w:t>
            </w:r>
          </w:p>
        </w:tc>
        <w:tc>
          <w:tcPr/>
          <w:p>
            <w:pPr>
              <w:pStyle w:val="Compact"/>
            </w:pPr>
            <w:r>
              <w:t xml:space="preserve">Login 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Major: feature wrong</w:t>
            </w:r>
          </w:p>
        </w:tc>
        <w:tc>
          <w:tcPr/>
          <w:p>
            <w:pPr>
              <w:pStyle w:val="Compact"/>
            </w:pPr>
            <w:r>
              <w:t xml:space="preserve">Approve does not change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Minor: cosmetic</w:t>
            </w:r>
          </w:p>
        </w:tc>
        <w:tc>
          <w:tcPr/>
          <w:p>
            <w:pPr>
              <w:pStyle w:val="Compact"/>
            </w:pPr>
            <w:r>
              <w:t xml:space="preserve">Typo in 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riage-workflow"/>
    <w:p>
      <w:pPr>
        <w:pStyle w:val="Heading2"/>
      </w:pPr>
      <w:r>
        <w:t xml:space="preserve">4. Triage workflow</w:t>
      </w:r>
    </w:p>
    <w:p>
      <w:pPr>
        <w:pStyle w:val="Compact"/>
        <w:numPr>
          <w:ilvl w:val="0"/>
          <w:numId w:val="1001"/>
        </w:numPr>
      </w:pPr>
      <w:r>
        <w:t xml:space="preserve">Log in tracker</w:t>
      </w:r>
      <w:r>
        <w:t xml:space="preserve"> </w:t>
      </w:r>
      <w:r>
        <w:rPr>
          <w:b/>
          <w:bCs/>
        </w:rPr>
        <w:t xml:space="preserve">Defects</w:t>
      </w:r>
      <w:r>
        <w:t xml:space="preserve"> </w:t>
      </w:r>
      <w:r>
        <w:t xml:space="preserve">sheet or external tool.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Map to</w:t>
      </w:r>
      <w:r>
        <w:t xml:space="preserve"> </w:t>
      </w:r>
      <w:r>
        <w:rPr>
          <w:b/>
          <w:bCs/>
        </w:rPr>
        <w:t xml:space="preserve">REQ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TKT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Assign owner.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Retest on fix; update RTM status.</w:t>
      </w:r>
    </w:p>
    <w:p>
      <w:r>
        <w:pict>
          <v:rect style="width:0;height:1.5pt" o:hralign="center" o:hrstd="t" o:hr="t"/>
        </w:pict>
      </w:r>
    </w:p>
    <w:bookmarkEnd w:id="16"/>
    <w:bookmarkStart w:id="17" w:name="risk-register-testing"/>
    <w:p>
      <w:pPr>
        <w:pStyle w:val="Heading2"/>
      </w:pPr>
      <w:r>
        <w:t xml:space="preserve">5. Risk register (testing)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Locator drift</w:t>
            </w:r>
          </w:p>
        </w:tc>
        <w:tc>
          <w:tcPr/>
          <w:p>
            <w:pPr>
              <w:pStyle w:val="Compact"/>
            </w:pPr>
            <w:r>
              <w:t xml:space="preserve">Repair pipeline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BRD change control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Env mismatch</w:t>
            </w:r>
          </w:p>
        </w:tc>
        <w:tc>
          <w:tcPr/>
          <w:p>
            <w:pPr>
              <w:pStyle w:val="Compact"/>
            </w:pPr>
            <w:r>
              <w:t xml:space="preserve">TDES checklist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ign-off-template"/>
    <w:p>
      <w:pPr>
        <w:pStyle w:val="Heading2"/>
      </w:pPr>
      <w:r>
        <w:t xml:space="preserve">6. Sign-off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Proxy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aivers"/>
    <w:p>
      <w:pPr>
        <w:pStyle w:val="Heading2"/>
      </w:pPr>
      <w:r>
        <w:t xml:space="preserve">7. Waivers</w:t>
      </w:r>
    </w:p>
    <w:p>
      <w:pPr>
        <w:pStyle w:val="FirstParagraph"/>
      </w:pPr>
      <w:r>
        <w:t xml:space="preserve">Document waiver ID, REQ affected, rationale, approver for any S2+ accepted unresolved.</w:t>
      </w:r>
    </w:p>
    <w:p>
      <w:r>
        <w:pict>
          <v:rect style="width:0;height:1.5pt" o:hralign="center" o:hrstd="t" o:hr="t"/>
        </w:pict>
      </w:r>
    </w:p>
    <w:bookmarkEnd w:id="19"/>
    <w:bookmarkStart w:id="30" w:name="expanded-governance-corporate"/>
    <w:p>
      <w:pPr>
        <w:pStyle w:val="Heading2"/>
      </w:pPr>
      <w:r>
        <w:t xml:space="preserve">8. Expanded governance (corporate)</w:t>
      </w:r>
    </w:p>
    <w:bookmarkStart w:id="20" w:name="raci-illustrated"/>
    <w:p>
      <w:pPr>
        <w:pStyle w:val="Heading3"/>
      </w:pPr>
      <w:r>
        <w:t xml:space="preserve">8.1 RACI (illustrated)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update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0"/>
    <w:bookmarkStart w:id="21" w:name="escalation-path"/>
    <w:p>
      <w:pPr>
        <w:pStyle w:val="Heading3"/>
      </w:pPr>
      <w:r>
        <w:t xml:space="preserve">8.2 Escalation path</w:t>
      </w:r>
    </w:p>
    <w:p>
      <w:pPr>
        <w:pStyle w:val="FirstParagraph"/>
      </w:pPr>
      <w:r>
        <w:t xml:space="preserve">L1 QA → L2 Dev lead → L3 Sponsor within 24h for S1.</w:t>
      </w:r>
    </w:p>
    <w:bookmarkEnd w:id="21"/>
    <w:bookmarkStart w:id="22" w:name="metrics-dashboard"/>
    <w:p>
      <w:pPr>
        <w:pStyle w:val="Heading3"/>
      </w:pPr>
      <w:r>
        <w:t xml:space="preserve">8.3 Metrics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S1 count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fix</w:t>
            </w:r>
          </w:p>
        </w:tc>
        <w:tc>
          <w:tcPr/>
          <w:p>
            <w:pPr>
              <w:pStyle w:val="Compact"/>
            </w:pPr>
            <w:r>
              <w:t xml:space="preserve">Tracker timestamps</w:t>
            </w:r>
          </w:p>
        </w:tc>
      </w:tr>
    </w:tbl>
    <w:bookmarkEnd w:id="22"/>
    <w:bookmarkStart w:id="23" w:name="audit-trail"/>
    <w:p>
      <w:pPr>
        <w:pStyle w:val="Heading3"/>
      </w:pPr>
      <w:r>
        <w:t xml:space="preserve">8.4 Audit trail</w:t>
      </w:r>
    </w:p>
    <w:p>
      <w:pPr>
        <w:pStyle w:val="FirstParagraph"/>
      </w:pPr>
      <w:r>
        <w:t xml:space="preserve">Git history of</w:t>
      </w:r>
      <w:r>
        <w:t xml:space="preserve"> </w:t>
      </w:r>
      <w:r>
        <w:rPr>
          <w:rStyle w:val="VerbatimChar"/>
        </w:rPr>
        <w:t xml:space="preserve">test-doc/*.md</w:t>
      </w:r>
      <w:r>
        <w:t xml:space="preserve"> </w:t>
      </w:r>
      <w:r>
        <w:t xml:space="preserve">satisfies document audit for PoC.</w:t>
      </w:r>
    </w:p>
    <w:bookmarkEnd w:id="23"/>
    <w:bookmarkStart w:id="24" w:name="ethics"/>
    <w:p>
      <w:pPr>
        <w:pStyle w:val="Heading3"/>
      </w:pPr>
      <w:r>
        <w:t xml:space="preserve">8.5 Ethics</w:t>
      </w:r>
    </w:p>
    <w:p>
      <w:pPr>
        <w:pStyle w:val="FirstParagraph"/>
      </w:pPr>
      <w:r>
        <w:t xml:space="preserve">No falsifying Pass status; tracker reflects truth.</w:t>
      </w:r>
    </w:p>
    <w:bookmarkEnd w:id="24"/>
    <w:bookmarkStart w:id="25" w:name="continuity"/>
    <w:p>
      <w:pPr>
        <w:pStyle w:val="Heading3"/>
      </w:pPr>
      <w:r>
        <w:t xml:space="preserve">8.6 Continuity</w:t>
      </w:r>
    </w:p>
    <w:p>
      <w:pPr>
        <w:pStyle w:val="FirstParagraph"/>
      </w:pPr>
      <w:r>
        <w:t xml:space="preserve">Backup Markdown in remote Git.</w:t>
      </w:r>
    </w:p>
    <w:bookmarkEnd w:id="25"/>
    <w:bookmarkStart w:id="26" w:name="training"/>
    <w:p>
      <w:pPr>
        <w:pStyle w:val="Heading3"/>
      </w:pPr>
      <w:r>
        <w:t xml:space="preserve">8.7 Training</w:t>
      </w:r>
    </w:p>
    <w:p>
      <w:pPr>
        <w:pStyle w:val="FirstParagraph"/>
      </w:pPr>
      <w:r>
        <w:t xml:space="preserve">New QA reads this doc + TDS before execution.</w:t>
      </w:r>
    </w:p>
    <w:bookmarkEnd w:id="26"/>
    <w:bookmarkStart w:id="27" w:name="compliance-disclaimer"/>
    <w:p>
      <w:pPr>
        <w:pStyle w:val="Heading3"/>
      </w:pPr>
      <w:r>
        <w:t xml:space="preserve">8.8 Compliance disclaimer</w:t>
      </w:r>
    </w:p>
    <w:p>
      <w:pPr>
        <w:pStyle w:val="FirstParagraph"/>
      </w:pPr>
      <w:r>
        <w:t xml:space="preserve">Not a regulated validation package.</w:t>
      </w:r>
    </w:p>
    <w:bookmarkEnd w:id="27"/>
    <w:bookmarkStart w:id="28" w:name="tooling-for-defects"/>
    <w:p>
      <w:pPr>
        <w:pStyle w:val="Heading3"/>
      </w:pPr>
      <w:r>
        <w:t xml:space="preserve">8.9 Tooling for defects</w:t>
      </w:r>
    </w:p>
    <w:p>
      <w:pPr>
        <w:pStyle w:val="FirstParagraph"/>
      </w:pPr>
      <w:r>
        <w:t xml:space="preserve">Excel sheet or JIRA—either is acceptable if RTM REQ link preserved.</w:t>
      </w:r>
    </w:p>
    <w:bookmarkEnd w:id="28"/>
    <w:bookmarkStart w:id="29" w:name="periodic-review"/>
    <w:p>
      <w:pPr>
        <w:pStyle w:val="Heading3"/>
      </w:pPr>
      <w:r>
        <w:t xml:space="preserve">8.10 Periodic review</w:t>
      </w:r>
    </w:p>
    <w:p>
      <w:pPr>
        <w:pStyle w:val="FirstParagraph"/>
      </w:pPr>
      <w:r>
        <w:t xml:space="preserve">Quarterly for long-running PoC; else end-of-phase.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governance pack.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-test-strategy.md" TargetMode="External" /><Relationship Type="http://schemas.openxmlformats.org/officeDocument/2006/relationships/hyperlink" Id="rId10" Target="05-test-pla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SDLC-Test-Tracker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-test-strategy.md" TargetMode="External" /><Relationship Type="http://schemas.openxmlformats.org/officeDocument/2006/relationships/hyperlink" Id="rId10" Target="05-test-plan.md" TargetMode="External" /><Relationship Type="http://schemas.openxmlformats.org/officeDocument/2006/relationships/hyperlink" Id="rId11" Target="06-requirements-traceability-matrix.md" TargetMode="External" /><Relationship Type="http://schemas.openxmlformats.org/officeDocument/2006/relationships/hyperlink" Id="rId12" Target="SDLC-Test-Tracker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2026-05-01T14:13:53Z</dcterms:created>
  <dcterms:modified xsi:type="dcterms:W3CDTF">2026-05-01T14:13:53Z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