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est-design-specification-tds"/>
    <w:p>
      <w:pPr>
        <w:pStyle w:val="Heading1"/>
      </w:pPr>
      <w:r>
        <w:t xml:space="preserve">Test Design Specification (TDS)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QAMVP-TDS-001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RTM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README</w:t>
        </w:r>
      </w:hyperlink>
    </w:p>
    <w:p>
      <w:r>
        <w:pict>
          <v:rect style="width:0;height:1.5pt" o:hralign="center" o:hrstd="t" o:hr="t"/>
        </w:pict>
      </w:r>
    </w:p>
    <w:bookmarkStart w:id="16" w:name="introduction"/>
    <w:p>
      <w:pPr>
        <w:pStyle w:val="Heading2"/>
      </w:pPr>
      <w:r>
        <w:t xml:space="preserve">1. Introduction</w:t>
      </w:r>
    </w:p>
    <w:bookmarkStart w:id="1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Design Specification defines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will be tested,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(technique and level),</w:t>
      </w:r>
      <w:r>
        <w:t xml:space="preserve"> </w:t>
      </w:r>
      <w:r>
        <w:rPr>
          <w:b/>
          <w:bCs/>
        </w:rPr>
        <w:t xml:space="preserve">priority</w:t>
      </w:r>
      <w:r>
        <w:t xml:space="preserve">, and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REQ-</w:t>
      </w:r>
      <w:r>
        <w:t xml:space="preserve">* in the</w:t>
      </w:r>
      <w:r>
        <w:t xml:space="preserve"> </w:t>
      </w:r>
      <w:hyperlink r:id="rId10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BR-</w:t>
      </w:r>
      <w:r>
        <w:t xml:space="preserve">* in the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.</w:t>
      </w:r>
    </w:p>
    <w:bookmarkEnd w:id="13"/>
    <w:bookmarkStart w:id="14" w:name="scope-of-testing"/>
    <w:p>
      <w:pPr>
        <w:pStyle w:val="Heading3"/>
      </w:pPr>
      <w:r>
        <w:t xml:space="preserve">1.2 Scope of testing</w:t>
      </w:r>
    </w:p>
    <w:p>
      <w:pPr>
        <w:pStyle w:val="FirstParagraph"/>
      </w:pPr>
      <w:r>
        <w:t xml:space="preserve">In scope: all REQ-FR, REQ-NFR, REQ-SEC listed in FRS v0.1 for the mock trading SUT. Out of scope: performance benchmarking beyond qualitative observation, production security pen-test.</w:t>
      </w:r>
    </w:p>
    <w:bookmarkEnd w:id="14"/>
    <w:bookmarkStart w:id="15" w:name="test-levels"/>
    <w:p>
      <w:pPr>
        <w:pStyle w:val="Heading3"/>
      </w:pPr>
      <w:r>
        <w:t xml:space="preserve">1.3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234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Tooling (repo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UI</w:t>
            </w:r>
          </w:p>
        </w:tc>
        <w:tc>
          <w:tcPr/>
          <w:p>
            <w:pPr>
              <w:pStyle w:val="Compact"/>
            </w:pPr>
            <w:r>
              <w:t xml:space="preserve">End-to-end through browser</w:t>
            </w:r>
          </w:p>
        </w:tc>
        <w:tc>
          <w:tcPr/>
          <w:p>
            <w:pPr>
              <w:pStyle w:val="Compact"/>
            </w:pPr>
            <w:r>
              <w:t xml:space="preserve">Java Selenium engine executing JSON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</w:t>
            </w:r>
          </w:p>
        </w:tc>
        <w:tc>
          <w:tcPr/>
          <w:p>
            <w:pPr>
              <w:pStyle w:val="Compact"/>
            </w:pPr>
            <w:r>
              <w:t xml:space="preserve">Ad hoc session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validation</w:t>
            </w:r>
          </w:p>
        </w:tc>
        <w:tc>
          <w:tcPr/>
          <w:p>
            <w:pPr>
              <w:pStyle w:val="Compact"/>
            </w:pPr>
            <w:r>
              <w:t xml:space="preserve">Locator/DOM drift</w:t>
            </w:r>
          </w:p>
        </w:tc>
        <w:tc>
          <w:tcPr/>
          <w:p>
            <w:pPr>
              <w:pStyle w:val="Compact"/>
            </w:pPr>
            <w:r>
              <w:t xml:space="preserve">Playwright snapshots per LOCATOR_REPAIR.md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traceability-and-tagging"/>
    <w:p>
      <w:pPr>
        <w:pStyle w:val="Heading2"/>
      </w:pPr>
      <w:r>
        <w:t xml:space="preserve">2. Traceability and tagging</w:t>
      </w:r>
    </w:p>
    <w:bookmarkStart w:id="17" w:name="tags"/>
    <w:p>
      <w:pPr>
        <w:pStyle w:val="Heading3"/>
      </w:pPr>
      <w:r>
        <w:t xml:space="preserve">2.1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@smoke</w:t>
            </w:r>
          </w:p>
        </w:tc>
        <w:tc>
          <w:tcPr/>
          <w:p>
            <w:pPr>
              <w:pStyle w:val="Compact"/>
            </w:pPr>
            <w:r>
              <w:t xml:space="preserve">Minimal path for CI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@regression</w:t>
            </w:r>
          </w:p>
        </w:tc>
        <w:tc>
          <w:tcPr/>
          <w:p>
            <w:pPr>
              <w:pStyle w:val="Compact"/>
            </w:pPr>
            <w:r>
              <w:t xml:space="preserve">Full suite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@maker</w:t>
            </w:r>
          </w:p>
        </w:tc>
        <w:tc>
          <w:tcPr/>
          <w:p>
            <w:pPr>
              <w:pStyle w:val="Compact"/>
            </w:pPr>
            <w:r>
              <w:t xml:space="preserve">Requires maker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@checker</w:t>
            </w:r>
          </w:p>
        </w:tc>
        <w:tc>
          <w:tcPr/>
          <w:p>
            <w:pPr>
              <w:pStyle w:val="Compact"/>
            </w:pPr>
            <w:r>
              <w:t xml:space="preserve">Requires checker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@nav</w:t>
            </w:r>
          </w:p>
        </w:tc>
        <w:tc>
          <w:tcPr/>
          <w:p>
            <w:pPr>
              <w:pStyle w:val="Compact"/>
            </w:pPr>
            <w:r>
              <w:t xml:space="preserve">Navigation /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@negative</w:t>
            </w:r>
          </w:p>
        </w:tc>
        <w:tc>
          <w:tcPr/>
          <w:p>
            <w:pPr>
              <w:pStyle w:val="Compact"/>
            </w:pPr>
            <w:r>
              <w:t xml:space="preserve">Error path</w:t>
            </w:r>
          </w:p>
        </w:tc>
      </w:tr>
    </w:tbl>
    <w:bookmarkEnd w:id="17"/>
    <w:bookmarkStart w:id="18" w:name="id-reference-convention"/>
    <w:p>
      <w:pPr>
        <w:pStyle w:val="Heading3"/>
      </w:pPr>
      <w:r>
        <w:t xml:space="preserve">2.2 ID reference convention</w:t>
      </w:r>
    </w:p>
    <w:p>
      <w:pPr>
        <w:pStyle w:val="FirstParagraph"/>
      </w:pPr>
      <w:r>
        <w:t xml:space="preserve">Each test condition cites</w:t>
      </w:r>
      <w:r>
        <w:t xml:space="preserve"> </w:t>
      </w:r>
      <w:r>
        <w:rPr>
          <w:b/>
          <w:bCs/>
        </w:rPr>
        <w:t xml:space="preserve">FRS §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REQ-</w:t>
      </w:r>
      <w:r>
        <w:t xml:space="preserve">; business intent cites</w:t>
      </w:r>
      <w:r>
        <w:t xml:space="preserve"> </w:t>
      </w:r>
      <w:r>
        <w:rPr>
          <w:b/>
          <w:bCs/>
        </w:rPr>
        <w:t xml:space="preserve">BRD §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BR-</w:t>
      </w:r>
      <w:r>
        <w:t xml:space="preserve"> </w:t>
      </w:r>
      <w:r>
        <w:t xml:space="preserve">where useful.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3" w:name="test-design-by-requirement"/>
    <w:p>
      <w:pPr>
        <w:pStyle w:val="Heading2"/>
      </w:pPr>
      <w:r>
        <w:t xml:space="preserve">3. Test design by requirement</w:t>
      </w:r>
    </w:p>
    <w:bookmarkStart w:id="20" w:name="td-req-fr-001-login-fields"/>
    <w:p>
      <w:pPr>
        <w:pStyle w:val="Heading3"/>
      </w:pPr>
      <w:r>
        <w:t xml:space="preserve">TD-REQ-FR-001 — Login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Verify username, password, submit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Automated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@smoke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Open login; assert three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All visible/enabled</w:t>
            </w:r>
          </w:p>
        </w:tc>
      </w:tr>
    </w:tbl>
    <w:bookmarkEnd w:id="20"/>
    <w:bookmarkStart w:id="21" w:name="td-req-fr-002-maker-login"/>
    <w:p>
      <w:pPr>
        <w:pStyle w:val="Heading3"/>
      </w:pPr>
      <w:r>
        <w:t xml:space="preserve">TD-REQ-FR-002 — Maker login</w:t>
      </w:r>
    </w:p>
    <w:p>
      <w:pPr>
        <w:pStyle w:val="FirstParagraph"/>
      </w:pPr>
      <w:r>
        <w:rPr>
          <w:b/>
          <w:bCs/>
        </w:rPr>
        <w:t xml:space="preserve">REQ</w:t>
      </w:r>
      <w:r>
        <w:t xml:space="preserve"> </w:t>
      </w:r>
      <w:r>
        <w:t xml:space="preserve">| REQ-FR-002 |</w:t>
      </w:r>
      <w:r>
        <w:br/>
      </w:r>
      <w:r>
        <w:rPr>
          <w:b/>
          <w:bCs/>
        </w:rPr>
        <w:t xml:space="preserve">FRS</w:t>
      </w:r>
      <w:r>
        <w:t xml:space="preserve"> </w:t>
      </w:r>
      <w:r>
        <w:t xml:space="preserve">| §3 |</w:t>
      </w:r>
      <w:r>
        <w:br/>
      </w:r>
      <w:r>
        <w:rPr>
          <w:b/>
          <w:bCs/>
        </w:rPr>
        <w:t xml:space="preserve">BR</w:t>
      </w:r>
      <w:r>
        <w:t xml:space="preserve"> </w:t>
      </w:r>
      <w:r>
        <w:t xml:space="preserve">| BR-001, BR-006 |</w:t>
      </w:r>
      <w:r>
        <w:br/>
      </w:r>
      <w:r>
        <w:rPr>
          <w:b/>
          <w:bCs/>
        </w:rPr>
        <w:t xml:space="preserve">Priority</w:t>
      </w:r>
      <w:r>
        <w:t xml:space="preserve"> </w:t>
      </w:r>
      <w:r>
        <w:t xml:space="preserve">| P1 |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@smoke</w:t>
      </w:r>
      <w:r>
        <w:t xml:space="preserve"> </w:t>
      </w:r>
      <w:r>
        <w:t xml:space="preserve">@maker</w:t>
      </w:r>
      <w:r>
        <w:t xml:space="preserve"> </w:t>
      </w:r>
      <w:r>
        <w:t xml:space="preserve">|</w:t>
      </w:r>
      <w:r>
        <w:br/>
      </w:r>
      <w:r>
        <w:rPr>
          <w:b/>
          <w:bCs/>
        </w:rPr>
        <w:t xml:space="preserve">Expected</w:t>
      </w:r>
      <w:r>
        <w:t xml:space="preserve"> </w:t>
      </w:r>
      <w:r>
        <w:t xml:space="preserve">| Authenticated shell; role shows maker |</w:t>
      </w:r>
    </w:p>
    <w:bookmarkEnd w:id="21"/>
    <w:bookmarkStart w:id="22" w:name="td-req-fr-003-checker-login"/>
    <w:p>
      <w:pPr>
        <w:pStyle w:val="Heading3"/>
      </w:pPr>
      <w:r>
        <w:t xml:space="preserve">TD-REQ-FR-003 — Checker login</w:t>
      </w:r>
    </w:p>
    <w:p>
      <w:pPr>
        <w:pStyle w:val="FirstParagraph"/>
      </w:pPr>
      <w:r>
        <w:rPr>
          <w:b/>
          <w:bCs/>
        </w:rPr>
        <w:t xml:space="preserve">REQ</w:t>
      </w:r>
      <w:r>
        <w:t xml:space="preserve"> </w:t>
      </w:r>
      <w:r>
        <w:t xml:space="preserve">| REQ-FR-003 |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@smoke</w:t>
      </w:r>
      <w:r>
        <w:t xml:space="preserve"> </w:t>
      </w:r>
      <w:r>
        <w:t xml:space="preserve">@checker</w:t>
      </w:r>
      <w:r>
        <w:t xml:space="preserve"> </w:t>
      </w:r>
      <w:r>
        <w:t xml:space="preserve">|</w:t>
      </w:r>
    </w:p>
    <w:bookmarkEnd w:id="22"/>
    <w:bookmarkStart w:id="23" w:name="td-req-fr-004-invalid-login"/>
    <w:p>
      <w:pPr>
        <w:pStyle w:val="Heading3"/>
      </w:pPr>
      <w:r>
        <w:t xml:space="preserve">TD-REQ-FR-004 — Invalid login</w:t>
      </w:r>
    </w:p>
    <w:p>
      <w:pPr>
        <w:pStyle w:val="FirstParagraph"/>
      </w:pPr>
      <w:r>
        <w:rPr>
          <w:b/>
          <w:bCs/>
        </w:rPr>
        <w:t xml:space="preserve">REQ</w:t>
      </w:r>
      <w:r>
        <w:t xml:space="preserve"> </w:t>
      </w:r>
      <w:r>
        <w:t xml:space="preserve">| REQ-FR-004 |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@negative</w:t>
      </w:r>
      <w:r>
        <w:t xml:space="preserve"> </w:t>
      </w:r>
      <w:r>
        <w:t xml:space="preserve">|</w:t>
      </w:r>
      <w:r>
        <w:br/>
      </w:r>
      <w:r>
        <w:rPr>
          <w:b/>
          <w:bCs/>
        </w:rPr>
        <w:t xml:space="preserve">Expected</w:t>
      </w:r>
      <w:r>
        <w:t xml:space="preserve"> </w:t>
      </w:r>
      <w:r>
        <w:t xml:space="preserve">| Error message; no trading access |</w:t>
      </w:r>
    </w:p>
    <w:bookmarkEnd w:id="23"/>
    <w:bookmarkStart w:id="24" w:name="td-req-fr-005-route-guard"/>
    <w:p>
      <w:pPr>
        <w:pStyle w:val="Heading3"/>
      </w:pPr>
      <w:r>
        <w:t xml:space="preserve">TD-REQ-FR-005 — Route guard</w:t>
      </w:r>
    </w:p>
    <w:p>
      <w:pPr>
        <w:pStyle w:val="FirstParagraph"/>
      </w:pPr>
      <w:r>
        <w:rPr>
          <w:b/>
          <w:bCs/>
        </w:rPr>
        <w:t xml:space="preserve">REQ</w:t>
      </w:r>
      <w:r>
        <w:t xml:space="preserve"> </w:t>
      </w:r>
      <w:r>
        <w:t xml:space="preserve">| REQ-FR-005 |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@regression</w:t>
      </w:r>
      <w:r>
        <w:t xml:space="preserve"> </w:t>
      </w:r>
      <w:r>
        <w:t xml:space="preserve">@negative</w:t>
      </w:r>
      <w:r>
        <w:t xml:space="preserve"> </w:t>
      </w:r>
      <w:r>
        <w:t xml:space="preserve">|</w:t>
      </w:r>
    </w:p>
    <w:bookmarkEnd w:id="24"/>
    <w:bookmarkStart w:id="25" w:name="X7a7d33da695e082cfbf3fa5498e86806412ef52"/>
    <w:p>
      <w:pPr>
        <w:pStyle w:val="Heading3"/>
      </w:pPr>
      <w:r>
        <w:t xml:space="preserve">TD-REQ-FR-010 to REQ-FR-014 — Navigation &amp; logout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REQ-FR-010</w:t>
            </w:r>
          </w:p>
        </w:tc>
        <w:tc>
          <w:tcPr/>
          <w:p>
            <w:pPr>
              <w:pStyle w:val="Compact"/>
            </w:pPr>
            <w:r>
              <w:t xml:space="preserve">Navbar after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REQ-FR-011</w:t>
            </w:r>
          </w:p>
        </w:tc>
        <w:tc>
          <w:tcPr/>
          <w:p>
            <w:pPr>
              <w:pStyle w:val="Compact"/>
            </w:pPr>
            <w:r>
              <w:t xml:space="preserve">User +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Click Trading dropdown + four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REQ-FR-013</w:t>
            </w:r>
          </w:p>
        </w:tc>
        <w:tc>
          <w:tcPr/>
          <w:p>
            <w:pPr>
              <w:pStyle w:val="Compact"/>
            </w:pPr>
            <w:r>
              <w:t xml:space="preserve">Admin +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→ 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@nav</w:t>
      </w:r>
      <w:r>
        <w:t xml:space="preserve"> </w:t>
      </w:r>
      <w:r>
        <w:t xml:space="preserve">@regression</w:t>
      </w:r>
    </w:p>
    <w:bookmarkEnd w:id="25"/>
    <w:bookmarkStart w:id="26" w:name="td-req-fr-020-to-req-fr-023-dashboard"/>
    <w:p>
      <w:pPr>
        <w:pStyle w:val="Heading3"/>
      </w:pPr>
      <w:r>
        <w:t xml:space="preserve">TD-REQ-FR-020 to REQ-FR-023 —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No pending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REQ-FR-021</w:t>
            </w:r>
          </w:p>
        </w:tc>
        <w:tc>
          <w:tcPr/>
          <w:p>
            <w:pPr>
              <w:pStyle w:val="Compact"/>
            </w:pPr>
            <w:r>
              <w:t xml:space="preserve">Column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REQ-FR-023</w:t>
            </w:r>
          </w:p>
        </w:tc>
        <w:tc>
          <w:tcPr/>
          <w:p>
            <w:pPr>
              <w:pStyle w:val="Compact"/>
            </w:pPr>
            <w:r>
              <w:t xml:space="preserve">Loading spinner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 </w:t>
      </w:r>
      <w:r>
        <w:t xml:space="preserve">@maker</w:t>
      </w:r>
      <w:r>
        <w:t xml:space="preserve"> </w:t>
      </w:r>
      <w:r>
        <w:t xml:space="preserve">(or either role per access)</w:t>
      </w:r>
    </w:p>
    <w:bookmarkEnd w:id="26"/>
    <w:bookmarkStart w:id="27" w:name="td-req-fr-030-to-req-fr-035-new-trade"/>
    <w:p>
      <w:pPr>
        <w:pStyle w:val="Heading3"/>
      </w:pPr>
      <w:r>
        <w:t xml:space="preserve">TD-REQ-FR-030 to REQ-FR-035 — New trade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Field 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Price +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REQ-FR-032</w:t>
            </w:r>
          </w:p>
        </w:tc>
        <w:tc>
          <w:tcPr/>
          <w:p>
            <w:pPr>
              <w:pStyle w:val="Compact"/>
            </w:pPr>
            <w:r>
              <w:t xml:space="preserve">GTC shows 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REQ-FR-034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 </w:t>
      </w:r>
      <w:r>
        <w:t xml:space="preserve">@maker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test_data</w:t>
      </w:r>
      <w:r>
        <w:t xml:space="preserve"> </w:t>
      </w:r>
      <w:r>
        <w:t xml:space="preserve">defaults where present; tickers per orchestrator docs.</w:t>
      </w:r>
    </w:p>
    <w:bookmarkEnd w:id="27"/>
    <w:bookmarkStart w:id="28" w:name="td-req-fr-040-to-req-fr-045-queue"/>
    <w:p>
      <w:pPr>
        <w:pStyle w:val="Heading3"/>
      </w:pPr>
      <w:r>
        <w:t xml:space="preserve">TD-REQ-FR-040 to REQ-FR-045 — Queue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pending_approval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REQ-FR-041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REQ-FR-042</w:t>
            </w:r>
          </w:p>
        </w:tc>
        <w:tc>
          <w:tcPr/>
          <w:p>
            <w:pPr>
              <w:pStyle w:val="Compact"/>
            </w:pPr>
            <w:r>
              <w:t xml:space="preserve">Pending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Approve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REQ-FR-044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REQ-FR-045</w:t>
            </w:r>
          </w:p>
        </w:tc>
        <w:tc>
          <w:tcPr/>
          <w:p>
            <w:pPr>
              <w:pStyle w:val="Compact"/>
            </w:pPr>
            <w:r>
              <w:t xml:space="preserve">Leaves queue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 </w:t>
      </w:r>
      <w:r>
        <w:t xml:space="preserve">@checker</w:t>
      </w:r>
      <w:r>
        <w:t xml:space="preserve"> </w:t>
      </w:r>
      <w:r>
        <w:t xml:space="preserve">@smoke</w:t>
      </w:r>
      <w:r>
        <w:t xml:space="preserve"> </w:t>
      </w:r>
      <w:r>
        <w:t xml:space="preserve">(subset)</w:t>
      </w:r>
    </w:p>
    <w:bookmarkEnd w:id="28"/>
    <w:bookmarkStart w:id="29" w:name="td-req-fr-050-to-req-fr-051-trade-list"/>
    <w:p>
      <w:pPr>
        <w:pStyle w:val="Heading3"/>
      </w:pPr>
      <w:r>
        <w:t xml:space="preserve">TD-REQ-FR-050 to REQ-FR-051 — Trade list</w:t>
      </w:r>
    </w:p>
    <w:p>
      <w:pPr>
        <w:pStyle w:val="FirstParagraph"/>
      </w:pP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</w:p>
    <w:bookmarkEnd w:id="29"/>
    <w:bookmarkStart w:id="30" w:name="td-req-fr-060-admin-placeholder"/>
    <w:p>
      <w:pPr>
        <w:pStyle w:val="Heading3"/>
      </w:pPr>
      <w:r>
        <w:t xml:space="preserve">TD-REQ-FR-060 — Admin placeholder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 </w:t>
      </w:r>
      <w:r>
        <w:t xml:space="preserve">| P3</w:t>
      </w:r>
      <w:r>
        <w:br/>
      </w:r>
      <w:r>
        <w:rPr>
          <w:b/>
          <w:bCs/>
        </w:rPr>
        <w:t xml:space="preserve">Tags</w:t>
      </w:r>
      <w:r>
        <w:t xml:space="preserve"> </w:t>
      </w:r>
      <w:r>
        <w:t xml:space="preserve">|</w:t>
      </w:r>
      <w:r>
        <w:t xml:space="preserve"> </w:t>
      </w:r>
      <w:r>
        <w:t xml:space="preserve">@regression</w:t>
      </w:r>
    </w:p>
    <w:bookmarkEnd w:id="30"/>
    <w:bookmarkStart w:id="31" w:name="td-req-nfr-001-to-req-nfr-005"/>
    <w:p>
      <w:pPr>
        <w:pStyle w:val="Heading3"/>
      </w:pPr>
      <w:r>
        <w:t xml:space="preserve">TD-REQ-NFR-001 to REQ-NFR-005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Local run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Scan DOM for data-testid on key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Resize viewport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Negative path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Informal timing</w:t>
            </w:r>
          </w:p>
        </w:tc>
      </w:tr>
    </w:tbl>
    <w:bookmarkEnd w:id="31"/>
    <w:bookmarkStart w:id="32" w:name="td-req-sec-001-to-req-sec-003"/>
    <w:p>
      <w:pPr>
        <w:pStyle w:val="Heading3"/>
      </w:pPr>
      <w:r>
        <w:t xml:space="preserve">TD-REQ-SEC-001 to REQ-SEC-003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Assert role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Logout + guarded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Doc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scenario-based-test-suites"/>
    <w:p>
      <w:pPr>
        <w:pStyle w:val="Heading2"/>
      </w:pPr>
      <w:r>
        <w:t xml:space="preserve">4. Scenario-based test suites</w:t>
      </w:r>
    </w:p>
    <w:bookmarkStart w:id="34" w:name="suite-s-1-smoke-15-min-target"/>
    <w:p>
      <w:pPr>
        <w:pStyle w:val="Heading3"/>
      </w:pPr>
      <w:r>
        <w:t xml:space="preserve">Suite S-1 — Smoke (15 min target)</w:t>
      </w:r>
    </w:p>
    <w:p>
      <w:pPr>
        <w:pStyle w:val="Compact"/>
        <w:numPr>
          <w:ilvl w:val="0"/>
          <w:numId w:val="1001"/>
        </w:numPr>
      </w:pPr>
      <w:r>
        <w:t xml:space="preserve">Login maker (REQ-FR-002)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Open New Trade → submit minimal valid trade (REQ-FR-033, 034)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Logout; login checker (REQ-FR-003)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Open queue; approve one row (REQ-FR-043–045)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Open dashboard; verify approved-only narrative (REQ-FR-020)</w:t>
      </w:r>
    </w:p>
    <w:p>
      <w:pPr>
        <w:pStyle w:val="FirstParagraph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BR-001–BR-005; FRS §3–§8.</w:t>
      </w:r>
    </w:p>
    <w:bookmarkEnd w:id="34"/>
    <w:bookmarkStart w:id="35" w:name="suite-s-2-navigation-regression"/>
    <w:p>
      <w:pPr>
        <w:pStyle w:val="Heading3"/>
      </w:pPr>
      <w:r>
        <w:t xml:space="preserve">Suite S-2 — Navigation regression</w:t>
      </w:r>
    </w:p>
    <w:p>
      <w:pPr>
        <w:pStyle w:val="FirstParagraph"/>
      </w:pPr>
      <w:r>
        <w:t xml:space="preserve">Iterate all navbar targets (REQ-FR-012, REQ-FR-013).</w:t>
      </w:r>
    </w:p>
    <w:bookmarkEnd w:id="35"/>
    <w:bookmarkStart w:id="36" w:name="suite-s-3-negative-auth"/>
    <w:p>
      <w:pPr>
        <w:pStyle w:val="Heading3"/>
      </w:pPr>
      <w:r>
        <w:t xml:space="preserve">Suite S-3 — Negative auth</w:t>
      </w:r>
    </w:p>
    <w:p>
      <w:pPr>
        <w:pStyle w:val="FirstParagraph"/>
      </w:pPr>
      <w:r>
        <w:t xml:space="preserve">Invalid login (REQ-FR-004); direct deep link without session (REQ-FR-005).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est-data-strategy"/>
    <w:p>
      <w:pPr>
        <w:pStyle w:val="Heading2"/>
      </w:pPr>
      <w:r>
        <w:t xml:space="preserve">5. Test data strategy</w:t>
      </w:r>
    </w:p>
    <w:p>
      <w:pPr>
        <w:pStyle w:val="FirstParagraph"/>
      </w:pPr>
      <w:r>
        <w:t xml:space="preserve">Detailed field values:</w:t>
      </w:r>
      <w:r>
        <w:t xml:space="preserve"> </w:t>
      </w:r>
      <w:hyperlink r:id="rId38">
        <w:r>
          <w:rPr>
            <w:rStyle w:val="Hyperlink"/>
          </w:rPr>
          <w:t xml:space="preserve">07-test-data-environment-specification.md</w:t>
        </w:r>
      </w:hyperlink>
      <w:r>
        <w:t xml:space="preserve">.</w:t>
      </w:r>
      <w:r>
        <w:br/>
      </w:r>
      <w:r>
        <w:t xml:space="preserve">Locators:</w:t>
      </w:r>
      <w:r>
        <w:t xml:space="preserve"> </w:t>
      </w:r>
      <w:r>
        <w:rPr>
          <w:rStyle w:val="VerbatimChar"/>
        </w:rPr>
        <w:t xml:space="preserve">test_data/locators.xlsx</w:t>
      </w:r>
      <w:r>
        <w:t xml:space="preserve"> </w:t>
      </w:r>
      <w:r>
        <w:t xml:space="preserve">per repo.</w:t>
      </w:r>
    </w:p>
    <w:p>
      <w:pPr>
        <w:pStyle w:val="BodyText"/>
      </w:pPr>
      <w:r>
        <w:t xml:space="preserve">Detailed executable test cases are maintained in</w:t>
      </w:r>
      <w:r>
        <w:t xml:space="preserve"> </w:t>
      </w:r>
      <w:r>
        <w:rPr>
          <w:rStyle w:val="VerbatimChar"/>
        </w:rPr>
        <w:t xml:space="preserve">test_data/TestCases.xlsx</w:t>
      </w:r>
      <w:r>
        <w:t xml:space="preserve"> </w:t>
      </w:r>
      <w:r>
        <w:t xml:space="preserve">and mirrored into</w:t>
      </w:r>
      <w:r>
        <w:t xml:space="preserve"> </w:t>
      </w:r>
      <w:hyperlink r:id="rId39">
        <w:r>
          <w:rPr>
            <w:rStyle w:val="Hyperlink"/>
          </w:rPr>
          <w:t xml:space="preserve">09-test-case-repository.md</w:t>
        </w:r>
      </w:hyperlink>
      <w:r>
        <w:t xml:space="preserve">. That repository is the source for row-level test-case counts, step descriptions, expected outputs, and automation-ready test data.</w:t>
      </w:r>
    </w:p>
    <w:p>
      <w:r>
        <w:pict>
          <v:rect style="width:0;height:1.5pt" o:hralign="center" o:hrstd="t" o:hr="t"/>
        </w:pict>
      </w:r>
    </w:p>
    <w:bookmarkEnd w:id="40"/>
    <w:bookmarkStart w:id="41" w:name="entry-criteria-for-test-execution"/>
    <w:p>
      <w:pPr>
        <w:pStyle w:val="Heading2"/>
      </w:pPr>
      <w:r>
        <w:t xml:space="preserve">6. Entry criteria for test execution</w:t>
      </w:r>
    </w:p>
    <w:p>
      <w:pPr>
        <w:pStyle w:val="Compact"/>
        <w:numPr>
          <w:ilvl w:val="0"/>
          <w:numId w:val="1002"/>
        </w:numPr>
      </w:pPr>
      <w:r>
        <w:t xml:space="preserve">SUT reachable at base URL.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Known credentials loaded.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Locator workbook present or repair run completed.</w:t>
      </w:r>
    </w:p>
    <w:p>
      <w:r>
        <w:pict>
          <v:rect style="width:0;height:1.5pt" o:hralign="center" o:hrstd="t" o:hr="t"/>
        </w:pict>
      </w:r>
    </w:p>
    <w:bookmarkEnd w:id="41"/>
    <w:bookmarkStart w:id="42" w:name="exit-criteria"/>
    <w:p>
      <w:pPr>
        <w:pStyle w:val="Heading2"/>
      </w:pPr>
      <w:r>
        <w:t xml:space="preserve">7. Exit criteria</w:t>
      </w:r>
    </w:p>
    <w:p>
      <w:pPr>
        <w:pStyle w:val="Compact"/>
        <w:numPr>
          <w:ilvl w:val="0"/>
          <w:numId w:val="1003"/>
        </w:numPr>
      </w:pPr>
      <w:r>
        <w:t xml:space="preserve">All P1 cases executed; no open S1 defects without waiver.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RTM updated for executed scope.</w:t>
      </w:r>
    </w:p>
    <w:p>
      <w:r>
        <w:pict>
          <v:rect style="width:0;height:1.5pt" o:hralign="center" o:hrstd="t" o:hr="t"/>
        </w:pict>
      </w:r>
    </w:p>
    <w:bookmarkEnd w:id="42"/>
    <w:bookmarkStart w:id="43" w:name="roles-and-responsibilities"/>
    <w:p>
      <w:pPr>
        <w:pStyle w:val="Heading2"/>
      </w:pPr>
      <w:r>
        <w:t xml:space="preserve">8. Roles and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Approves TDS, owns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engineer</w:t>
            </w:r>
          </w:p>
        </w:tc>
        <w:tc>
          <w:tcPr/>
          <w:p>
            <w:pPr>
              <w:pStyle w:val="Compact"/>
            </w:pPr>
            <w:r>
              <w:t xml:space="preserve">Maintains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Fixes SUT defects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hange-history"/>
    <w:p>
      <w:pPr>
        <w:pStyle w:val="Heading2"/>
      </w:pPr>
      <w:r>
        <w:t xml:space="preserve">9. Change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21dc3933a470aab463761cd19b1c044c0a8eed8"/>
    <w:p>
      <w:pPr>
        <w:pStyle w:val="Heading2"/>
      </w:pPr>
      <w:r>
        <w:t xml:space="preserve">10. Consolidated P1 test outline (smoke + regression backbone)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REQ bundle</w:t>
            </w:r>
          </w:p>
        </w:tc>
        <w:tc>
          <w:tcPr/>
          <w:p>
            <w:pPr>
              <w:pStyle w:val="Compact"/>
            </w:pPr>
            <w:r>
              <w:t xml:space="preserve">Action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Maker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Open New Trade via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FR-033, FR-034</w:t>
            </w:r>
          </w:p>
        </w:tc>
        <w:tc>
          <w:tcPr/>
          <w:p>
            <w:pPr>
              <w:pStyle w:val="Compact"/>
            </w:pPr>
            <w:r>
              <w:t xml:space="preserve">Submit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FR-014, FR-003</w:t>
            </w:r>
          </w:p>
        </w:tc>
        <w:tc>
          <w:tcPr/>
          <w:p>
            <w:pPr>
              <w:pStyle w:val="Compact"/>
            </w:pPr>
            <w:r>
              <w:t xml:space="preserve">Logout; checker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FR-043–FR-045</w:t>
            </w:r>
          </w:p>
        </w:tc>
        <w:tc>
          <w:tcPr/>
          <w:p>
            <w:pPr>
              <w:pStyle w:val="Compact"/>
            </w:pPr>
            <w:r>
              <w:t xml:space="preserve">Approve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Dashboard shows approved</w:t>
            </w:r>
          </w:p>
        </w:tc>
      </w:tr>
    </w:tbl>
    <w:bookmarkEnd w:id="45"/>
    <w:bookmarkStart w:id="46" w:name="test-data-matrix-cross-reference"/>
    <w:p>
      <w:pPr>
        <w:pStyle w:val="Heading2"/>
      </w:pPr>
      <w:r>
        <w:t xml:space="preserve">11. Test data matrix (cross-reference)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Maker creds</w:t>
            </w:r>
          </w:p>
        </w:tc>
        <w:tc>
          <w:tcPr/>
          <w:p>
            <w:pPr>
              <w:pStyle w:val="Compact"/>
            </w:pPr>
            <w:r>
              <w:t xml:space="preserve">Checker creds</w:t>
            </w:r>
          </w:p>
        </w:tc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admin/admin</w:t>
            </w:r>
          </w:p>
        </w:tc>
        <w:tc>
          <w:tcPr/>
          <w:p>
            <w:pPr>
              <w:pStyle w:val="Compact"/>
            </w:pPr>
            <w:r>
              <w:t xml:space="preserve">checker/chscker@123</w:t>
            </w:r>
          </w:p>
        </w:tc>
        <w:tc>
          <w:tcPr/>
          <w:p>
            <w:pPr>
              <w:pStyle w:val="Compact"/>
            </w:pPr>
            <w:r>
              <w:t xml:space="preserve">per env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auth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Full detail:</w:t>
      </w:r>
      <w:r>
        <w:t xml:space="preserve"> </w:t>
      </w:r>
      <w:hyperlink r:id="rId38">
        <w:r>
          <w:rPr>
            <w:rStyle w:val="Hyperlink"/>
          </w:rPr>
          <w:t xml:space="preserve">07-test-data-environment-specification.md</w:t>
        </w:r>
      </w:hyperlink>
      <w:r>
        <w:t xml:space="preserve">.</w:t>
      </w:r>
    </w:p>
    <w:bookmarkEnd w:id="46"/>
    <w:bookmarkStart w:id="47" w:name="environment-matrix-execution"/>
    <w:p>
      <w:pPr>
        <w:pStyle w:val="Heading2"/>
      </w:pPr>
      <w:r>
        <w:t xml:space="preserve">12. Environment matrix (execution)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ENV-LOCAL-01</w:t>
            </w:r>
          </w:p>
        </w:tc>
        <w:tc>
          <w:tcPr/>
          <w:p>
            <w:pPr>
              <w:pStyle w:val="Compact"/>
            </w:pPr>
            <w:r>
              <w:t xml:space="preserve">http://localhost:4200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</w:tbl>
    <w:bookmarkEnd w:id="47"/>
    <w:bookmarkStart w:id="48" w:name="defect-triage-hooks"/>
    <w:p>
      <w:pPr>
        <w:pStyle w:val="Heading2"/>
      </w:pPr>
      <w:r>
        <w:t xml:space="preserve">13. Defect triage hooks</w:t>
      </w:r>
    </w:p>
    <w:p>
      <w:pPr>
        <w:pStyle w:val="FirstParagraph"/>
      </w:pPr>
      <w:r>
        <w:t xml:space="preserve">When failing, capture: screenshot, console log, REQ ID, TKT ID,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of element if applicable.</w:t>
      </w:r>
    </w:p>
    <w:bookmarkEnd w:id="48"/>
    <w:bookmarkStart w:id="49" w:name="automation-json-script-conventions-repo"/>
    <w:p>
      <w:pPr>
        <w:pStyle w:val="Heading2"/>
      </w:pPr>
      <w:r>
        <w:t xml:space="preserve">14. Automation JSON script conventions (repo)</w:t>
      </w:r>
    </w:p>
    <w:p>
      <w:pPr>
        <w:pStyle w:val="FirstParagraph"/>
      </w:pPr>
      <w:r>
        <w:t xml:space="preserve">Scripts under</w:t>
      </w:r>
      <w:r>
        <w:t xml:space="preserve"> </w:t>
      </w:r>
      <w:r>
        <w:rPr>
          <w:rStyle w:val="VerbatimChar"/>
        </w:rPr>
        <w:t xml:space="preserve">test_data/generated-scripts/</w:t>
      </w:r>
      <w:r>
        <w:t xml:space="preserve"> </w:t>
      </w:r>
      <w:r>
        <w:t xml:space="preserve">should encode steps that map 1:N to TD blocks; validator enforces schema per</w:t>
      </w:r>
      <w:r>
        <w:t xml:space="preserve"> </w:t>
      </w:r>
      <w:r>
        <w:rPr>
          <w:rStyle w:val="VerbatimChar"/>
        </w:rPr>
        <w:t xml:space="preserve">python-orchestrator</w:t>
      </w:r>
      <w:r>
        <w:t xml:space="preserve"> </w:t>
      </w:r>
      <w:r>
        <w:t xml:space="preserve">tooling.</w:t>
      </w:r>
    </w:p>
    <w:bookmarkEnd w:id="49"/>
    <w:bookmarkStart w:id="50" w:name="metrics"/>
    <w:p>
      <w:pPr>
        <w:pStyle w:val="Heading2"/>
      </w:pPr>
      <w:r>
        <w:t xml:space="preserve">15.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automation coverage</w:t>
            </w:r>
          </w:p>
        </w:tc>
        <w:tc>
          <w:tcPr/>
          <w:p>
            <w:pPr>
              <w:pStyle w:val="Compact"/>
            </w:pPr>
            <w:r>
              <w:t xml:space="preserve">≥80%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 smoke</w:t>
            </w:r>
          </w:p>
        </w:tc>
        <w:tc>
          <w:tcPr/>
          <w:p>
            <w:pPr>
              <w:pStyle w:val="Compact"/>
            </w:pPr>
            <w:r>
              <w:t xml:space="preserve">100% pre-demo</w:t>
            </w:r>
          </w:p>
        </w:tc>
      </w:tr>
    </w:tbl>
    <w:bookmarkEnd w:id="50"/>
    <w:bookmarkStart w:id="51" w:name="dependencies"/>
    <w:p>
      <w:pPr>
        <w:pStyle w:val="Heading2"/>
      </w:pPr>
      <w:r>
        <w:t xml:space="preserve">16.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Locators workbook</w:t>
            </w:r>
          </w:p>
        </w:tc>
        <w:tc>
          <w:tcPr/>
          <w:p>
            <w:pPr>
              <w:pStyle w:val="Compact"/>
            </w:pPr>
            <w:r>
              <w:t xml:space="preserve">Blocks script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 running</w:t>
            </w:r>
          </w:p>
        </w:tc>
        <w:tc>
          <w:tcPr/>
          <w:p>
            <w:pPr>
              <w:pStyle w:val="Compact"/>
            </w:pPr>
            <w:r>
              <w:t xml:space="preserve">Blocks execution</w:t>
            </w:r>
          </w:p>
        </w:tc>
      </w:tr>
    </w:tbl>
    <w:bookmarkEnd w:id="51"/>
    <w:bookmarkStart w:id="52" w:name="training-requirements-for-testers"/>
    <w:p>
      <w:pPr>
        <w:pStyle w:val="Heading2"/>
      </w:pPr>
      <w:r>
        <w:t xml:space="preserve">17. Training requirements for testers</w:t>
      </w:r>
    </w:p>
    <w:p>
      <w:pPr>
        <w:pStyle w:val="Compact"/>
        <w:numPr>
          <w:ilvl w:val="0"/>
          <w:numId w:val="1004"/>
        </w:numPr>
      </w:pPr>
      <w:r>
        <w:t xml:space="preserve">Read FRS §23 field tables.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Read locator_strategy.md.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Practice one manual J-1.</w:t>
      </w:r>
    </w:p>
    <w:bookmarkEnd w:id="52"/>
    <w:bookmarkStart w:id="53" w:name="escalation"/>
    <w:p>
      <w:pPr>
        <w:pStyle w:val="Heading2"/>
      </w:pPr>
      <w:r>
        <w:t xml:space="preserve">18. Escalation</w:t>
      </w:r>
    </w:p>
    <w:p>
      <w:pPr>
        <w:pStyle w:val="FirstParagraph"/>
      </w:pPr>
      <w:r>
        <w:t xml:space="preserve">S1 defect: notify dev within 4 business hours (PoC guideline).</w:t>
      </w:r>
    </w:p>
    <w:bookmarkEnd w:id="53"/>
    <w:bookmarkStart w:id="54" w:name="document-history-detail"/>
    <w:p>
      <w:pPr>
        <w:pStyle w:val="Heading2"/>
      </w:pPr>
      <w:r>
        <w:t xml:space="preserve">19. Document history (detail)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Sections 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54"/>
    <w:bookmarkStart w:id="56" w:name="approvals-informative"/>
    <w:p>
      <w:pPr>
        <w:pStyle w:val="Heading2"/>
      </w:pPr>
      <w:r>
        <w:t xml:space="preserve">20. Approvals (informative)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Tracker linkage:</w:t>
      </w:r>
      <w:r>
        <w:rPr>
          <w:i/>
          <w:iCs/>
        </w:rPr>
        <w:t xml:space="preserve"> </w:t>
      </w:r>
      <w:hyperlink r:id="rId55">
        <w:r>
          <w:rPr>
            <w:rStyle w:val="Hyperlink"/>
            <w:i/>
            <w:iCs/>
          </w:rPr>
          <w:t xml:space="preserve">SDLC-Test-Tracker.xlsx</w:t>
        </w:r>
      </w:hyperlink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38" Target="07-test-data-environment-specification.md" TargetMode="External" /><Relationship Type="http://schemas.openxmlformats.org/officeDocument/2006/relationships/hyperlink" Id="rId39" Target="09-test-case-repository.md" TargetMode="External" /><Relationship Type="http://schemas.openxmlformats.org/officeDocument/2006/relationships/hyperlink" Id="rId12" Target="README.md" TargetMode="External" /><Relationship Type="http://schemas.openxmlformats.org/officeDocument/2006/relationships/hyperlink" Id="rId55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38" Target="07-test-data-environment-specification.md" TargetMode="External" /><Relationship Type="http://schemas.openxmlformats.org/officeDocument/2006/relationships/hyperlink" Id="rId39" Target="09-test-case-repository.md" TargetMode="External" /><Relationship Type="http://schemas.openxmlformats.org/officeDocument/2006/relationships/hyperlink" Id="rId12" Target="README.md" TargetMode="External" /><Relationship Type="http://schemas.openxmlformats.org/officeDocument/2006/relationships/hyperlink" Id="rId55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2026-05-01T14:13:53Z</dcterms:created>
  <dcterms:modified xsi:type="dcterms:W3CDTF">2026-05-01T14:13:53Z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