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low-level-design-lld"/>
    <w:p>
      <w:pPr>
        <w:pStyle w:val="Heading1"/>
      </w:pPr>
      <w:r>
        <w:t xml:space="preserve">Low Level Design (LLD)</w:t>
      </w:r>
    </w:p>
    <w:bookmarkStart w:id="12" w:name="X0d29b56955713bfd7596eaa6a16f53955b54658"/>
    <w:p>
      <w:pPr>
        <w:pStyle w:val="Heading2"/>
      </w:pPr>
      <w:r>
        <w:t xml:space="preserve">Digital Trade Capture and Approval Console</w:t>
      </w:r>
    </w:p>
    <w:p>
      <w:pPr>
        <w:pStyle w:val="FirstParagraph"/>
      </w:pPr>
      <w:r>
        <w:rPr>
          <w:b/>
          <w:bCs/>
        </w:rPr>
        <w:t xml:space="preserve">Document ID:</w:t>
      </w:r>
      <w:r>
        <w:t xml:space="preserve"> </w:t>
      </w:r>
      <w:r>
        <w:t xml:space="preserve">QAMVP-LLD-TESTDRIVE-001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Test Drive Source</w:t>
      </w:r>
      <w:r>
        <w:br/>
      </w:r>
      <w:r>
        <w:rPr>
          <w:b/>
          <w:bCs/>
        </w:rPr>
        <w:t xml:space="preserve">Related documents:</w:t>
      </w:r>
      <w:r>
        <w:t xml:space="preserve"> </w:t>
      </w:r>
      <w:hyperlink r:id="rId9">
        <w:r>
          <w:rPr>
            <w:rStyle w:val="Hyperlink"/>
          </w:rPr>
          <w:t xml:space="preserve">BRD</w:t>
        </w:r>
      </w:hyperlink>
      <w:r>
        <w:t xml:space="preserve"> </w:t>
      </w:r>
      <w:r>
        <w:t xml:space="preserve">·</w:t>
      </w:r>
      <w:r>
        <w:t xml:space="preserve"> </w:t>
      </w:r>
      <w:hyperlink r:id="rId10">
        <w:r>
          <w:rPr>
            <w:rStyle w:val="Hyperlink"/>
          </w:rPr>
          <w:t xml:space="preserve">FRS</w:t>
        </w:r>
      </w:hyperlink>
      <w:r>
        <w:t xml:space="preserve"> </w:t>
      </w:r>
      <w:r>
        <w:t xml:space="preserve">·</w:t>
      </w:r>
      <w:r>
        <w:t xml:space="preserve"> </w:t>
      </w:r>
      <w:hyperlink r:id="rId11">
        <w:r>
          <w:rPr>
            <w:rStyle w:val="Hyperlink"/>
          </w:rPr>
          <w:t xml:space="preserve">HLD</w:t>
        </w:r>
      </w:hyperlink>
    </w:p>
    <w:p>
      <w:r>
        <w:pict>
          <v:rect style="width:0;height:1.5pt" o:hralign="center" o:hrstd="t" o:hr="t"/>
        </w:pict>
      </w:r>
    </w:p>
    <w:bookmarkEnd w:id="12"/>
    <w:bookmarkStart w:id="13" w:name="lld-1.-implementation-overview"/>
    <w:p>
      <w:pPr>
        <w:pStyle w:val="Heading2"/>
      </w:pPr>
      <w:r>
        <w:t xml:space="preserve">LLD §1. Implementation Overview</w:t>
      </w:r>
    </w:p>
    <w:p>
      <w:pPr>
        <w:pStyle w:val="FirstParagraph"/>
      </w:pPr>
      <w:r>
        <w:t xml:space="preserve">The low-level implementation decomposes HLD components into route contracts, UI locators, service functions, validation rules, and data persistence structures. These details are source material for generated test steps.</w:t>
      </w:r>
    </w:p>
    <w:p>
      <w:r>
        <w:pict>
          <v:rect style="width:0;height:1.5pt" o:hralign="center" o:hrstd="t" o:hr="t"/>
        </w:pict>
      </w:r>
    </w:p>
    <w:bookmarkEnd w:id="13"/>
    <w:bookmarkStart w:id="14" w:name="lld-2.-route-and-component-contracts"/>
    <w:p>
      <w:pPr>
        <w:pStyle w:val="Heading2"/>
      </w:pPr>
      <w:r>
        <w:t xml:space="preserve">LLD §2. Route and Component Contracts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Related HLD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/login</w:t>
            </w:r>
          </w:p>
        </w:tc>
        <w:tc>
          <w:tcPr/>
          <w:p>
            <w:pPr>
              <w:pStyle w:val="Compact"/>
            </w:pPr>
            <w:r>
              <w:t xml:space="preserve">LoginPage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HLD-REQ-001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/trade</w:t>
            </w:r>
          </w:p>
        </w:tc>
        <w:tc>
          <w:tcPr/>
          <w:p>
            <w:pPr>
              <w:pStyle w:val="Compact"/>
            </w:pPr>
            <w:r>
              <w:t xml:space="preserve">TradeCapturePage</w:t>
            </w:r>
          </w:p>
        </w:tc>
        <w:tc>
          <w:tcPr/>
          <w:p>
            <w:pPr>
              <w:pStyle w:val="Compact"/>
            </w:pPr>
            <w:r>
              <w:t xml:space="preserve">Maker</w:t>
            </w:r>
          </w:p>
        </w:tc>
        <w:tc>
          <w:tcPr/>
          <w:p>
            <w:pPr>
              <w:pStyle w:val="Compact"/>
            </w:pPr>
            <w:r>
              <w:t xml:space="preserve">HLD-REQ-002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/approvals</w:t>
            </w:r>
          </w:p>
        </w:tc>
        <w:tc>
          <w:tcPr/>
          <w:p>
            <w:pPr>
              <w:pStyle w:val="Compact"/>
            </w:pPr>
            <w:r>
              <w:t xml:space="preserve">ApprovalQueuePage</w:t>
            </w:r>
          </w:p>
        </w:tc>
        <w:tc>
          <w:tcPr/>
          <w:p>
            <w:pPr>
              <w:pStyle w:val="Compact"/>
            </w:pPr>
            <w:r>
              <w:t xml:space="preserve">Checker</w:t>
            </w:r>
          </w:p>
        </w:tc>
        <w:tc>
          <w:tcPr/>
          <w:p>
            <w:pPr>
              <w:pStyle w:val="Compact"/>
            </w:pPr>
            <w:r>
              <w:t xml:space="preserve">HLD-REQ-003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</w:t>
            </w:r>
          </w:p>
        </w:tc>
        <w:tc>
          <w:tcPr/>
          <w:p>
            <w:pPr>
              <w:pStyle w:val="Compact"/>
            </w:pPr>
            <w:r>
              <w:t xml:space="preserve">DashboardPage</w:t>
            </w:r>
          </w:p>
        </w:tc>
        <w:tc>
          <w:tcPr/>
          <w:p>
            <w:pPr>
              <w:pStyle w:val="Compact"/>
            </w:pPr>
            <w:r>
              <w:t xml:space="preserve">Maker, Checker, Auditor</w:t>
            </w:r>
          </w:p>
        </w:tc>
        <w:tc>
          <w:tcPr/>
          <w:p>
            <w:pPr>
              <w:pStyle w:val="Compact"/>
            </w:pPr>
            <w:r>
              <w:t xml:space="preserve">HLD-REQ-004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/audit</w:t>
            </w:r>
          </w:p>
        </w:tc>
        <w:tc>
          <w:tcPr/>
          <w:p>
            <w:pPr>
              <w:pStyle w:val="Compact"/>
            </w:pPr>
            <w:r>
              <w:t xml:space="preserve">AuditTrailPage</w:t>
            </w:r>
          </w:p>
        </w:tc>
        <w:tc>
          <w:tcPr/>
          <w:p>
            <w:pPr>
              <w:pStyle w:val="Compact"/>
            </w:pPr>
            <w:r>
              <w:t xml:space="preserve">Auditor</w:t>
            </w:r>
          </w:p>
        </w:tc>
        <w:tc>
          <w:tcPr/>
          <w:p>
            <w:pPr>
              <w:pStyle w:val="Compact"/>
            </w:pPr>
            <w:r>
              <w:t xml:space="preserve">HLD-REQ-005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21" w:name="lld-3.-detailed-requirements"/>
    <w:p>
      <w:pPr>
        <w:pStyle w:val="Heading2"/>
      </w:pPr>
      <w:r>
        <w:t xml:space="preserve">LLD §3. Detailed Requirements</w:t>
      </w:r>
    </w:p>
    <w:bookmarkStart w:id="15" w:name="Xcef329ee46af24339ddacb36b73a6caeaae84c8"/>
    <w:p>
      <w:pPr>
        <w:pStyle w:val="Heading3"/>
      </w:pPr>
      <w:r>
        <w:t xml:space="preserve">LLD-REQ-001 — Login route and session state</w:t>
      </w:r>
    </w:p>
    <w:p>
      <w:pPr>
        <w:pStyle w:val="FirstParagraph"/>
      </w:pPr>
      <w:r>
        <w:t xml:space="preserve">The implementation shall render</w:t>
      </w:r>
      <w:r>
        <w:t xml:space="preserve"> </w:t>
      </w:r>
      <w:r>
        <w:rPr>
          <w:rStyle w:val="VerbatimChar"/>
        </w:rPr>
        <w:t xml:space="preserve">input[data-testid="username"]</w:t>
      </w:r>
      <w:r>
        <w:t xml:space="preserve">,</w:t>
      </w:r>
      <w:r>
        <w:t xml:space="preserve"> </w:t>
      </w:r>
      <w:r>
        <w:rPr>
          <w:rStyle w:val="VerbatimChar"/>
        </w:rPr>
        <w:t xml:space="preserve">input[data-testid="password"]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button[data-testid="login-submit"]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. Successful login shall create session state containing</w:t>
      </w:r>
      <w:r>
        <w:t xml:space="preserve"> </w:t>
      </w:r>
      <w:r>
        <w:rPr>
          <w:rStyle w:val="VerbatimChar"/>
        </w:rPr>
        <w:t xml:space="preserve">userId</w:t>
      </w:r>
      <w:r>
        <w:t xml:space="preserve">,</w:t>
      </w:r>
      <w:r>
        <w:t xml:space="preserve"> </w:t>
      </w:r>
      <w:r>
        <w:rPr>
          <w:rStyle w:val="VerbatimChar"/>
        </w:rPr>
        <w:t xml:space="preserve">role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displayName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Maps to:</w:t>
      </w:r>
      <w:r>
        <w:t xml:space="preserve"> </w:t>
      </w:r>
      <w:r>
        <w:t xml:space="preserve">HLD-REQ-001, REQ-FR-001, REQ-FR-002, REQ-SEC-001</w:t>
      </w:r>
      <w:r>
        <w:br/>
      </w:r>
      <w:r>
        <w:rPr>
          <w:b/>
          <w:bCs/>
        </w:rPr>
        <w:t xml:space="preserve">Components:</w:t>
      </w:r>
      <w:r>
        <w:t xml:space="preserve"> </w:t>
      </w:r>
      <w:r>
        <w:t xml:space="preserve">HLD-COMP-001, HLD-COMP-002</w:t>
      </w:r>
      <w:r>
        <w:br/>
      </w:r>
      <w:r>
        <w:rPr>
          <w:b/>
          <w:bCs/>
        </w:rPr>
        <w:t xml:space="preserve">Controls:</w:t>
      </w:r>
      <w:r>
        <w:t xml:space="preserve"> </w:t>
      </w:r>
      <w:r>
        <w:t xml:space="preserve">CTRL-AUTH-001</w:t>
      </w:r>
    </w:p>
    <w:bookmarkEnd w:id="15"/>
    <w:bookmarkStart w:id="16" w:name="X104b2fe8ac5bd9c36ba1e72da7384d562b10de0"/>
    <w:p>
      <w:pPr>
        <w:pStyle w:val="Heading3"/>
      </w:pPr>
      <w:r>
        <w:t xml:space="preserve">LLD-REQ-002 — Trade capture form and validation</w:t>
      </w:r>
    </w:p>
    <w:p>
      <w:pPr>
        <w:pStyle w:val="FirstParagraph"/>
      </w:pPr>
      <w:r>
        <w:t xml:space="preserve">The implementation shall render trade fields with stable locators:</w:t>
      </w:r>
      <w:r>
        <w:t xml:space="preserve"> </w:t>
      </w:r>
      <w:r>
        <w:rPr>
          <w:rStyle w:val="VerbatimChar"/>
        </w:rPr>
        <w:t xml:space="preserve">trade-symbol</w:t>
      </w:r>
      <w:r>
        <w:t xml:space="preserve">,</w:t>
      </w:r>
      <w:r>
        <w:t xml:space="preserve"> </w:t>
      </w:r>
      <w:r>
        <w:rPr>
          <w:rStyle w:val="VerbatimChar"/>
        </w:rPr>
        <w:t xml:space="preserve">trade-side</w:t>
      </w:r>
      <w:r>
        <w:t xml:space="preserve">,</w:t>
      </w:r>
      <w:r>
        <w:t xml:space="preserve"> </w:t>
      </w:r>
      <w:r>
        <w:rPr>
          <w:rStyle w:val="VerbatimChar"/>
        </w:rPr>
        <w:t xml:space="preserve">trade-quantity</w:t>
      </w:r>
      <w:r>
        <w:t xml:space="preserve">,</w:t>
      </w:r>
      <w:r>
        <w:t xml:space="preserve"> </w:t>
      </w:r>
      <w:r>
        <w:rPr>
          <w:rStyle w:val="VerbatimChar"/>
        </w:rPr>
        <w:t xml:space="preserve">trade-price</w:t>
      </w:r>
      <w:r>
        <w:t xml:space="preserve">,</w:t>
      </w:r>
      <w:r>
        <w:t xml:space="preserve"> </w:t>
      </w:r>
      <w:r>
        <w:rPr>
          <w:rStyle w:val="VerbatimChar"/>
        </w:rPr>
        <w:t xml:space="preserve">trade-account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trade-settlement-date</w:t>
      </w:r>
      <w:r>
        <w:t xml:space="preserve">. Validation shall reject missing symbol, non-positive quantity, non-positive price, missing account, and settlement dates earlier than trade date.</w:t>
      </w:r>
    </w:p>
    <w:p>
      <w:pPr>
        <w:pStyle w:val="BodyText"/>
      </w:pPr>
      <w:r>
        <w:rPr>
          <w:b/>
          <w:bCs/>
        </w:rPr>
        <w:t xml:space="preserve">Maps to:</w:t>
      </w:r>
      <w:r>
        <w:t xml:space="preserve"> </w:t>
      </w:r>
      <w:r>
        <w:t xml:space="preserve">HLD-REQ-002, REQ-FR-003, REQ-FR-004</w:t>
      </w:r>
      <w:r>
        <w:br/>
      </w:r>
      <w:r>
        <w:rPr>
          <w:b/>
          <w:bCs/>
        </w:rPr>
        <w:t xml:space="preserve">Components:</w:t>
      </w:r>
      <w:r>
        <w:t xml:space="preserve"> </w:t>
      </w:r>
      <w:r>
        <w:t xml:space="preserve">HLD-COMP-003</w:t>
      </w:r>
      <w:r>
        <w:br/>
      </w:r>
      <w:r>
        <w:rPr>
          <w:b/>
          <w:bCs/>
        </w:rPr>
        <w:t xml:space="preserve">Data objects:</w:t>
      </w:r>
      <w:r>
        <w:t xml:space="preserve"> </w:t>
      </w:r>
      <w:r>
        <w:t xml:space="preserve">DATA-TRADE-001</w:t>
      </w:r>
    </w:p>
    <w:bookmarkEnd w:id="16"/>
    <w:bookmarkStart w:id="17" w:name="lld-req-003-approval-command-handling"/>
    <w:p>
      <w:pPr>
        <w:pStyle w:val="Heading3"/>
      </w:pPr>
      <w:r>
        <w:t xml:space="preserve">LLD-REQ-003 — Approval command handling</w:t>
      </w:r>
    </w:p>
    <w:p>
      <w:pPr>
        <w:pStyle w:val="FirstParagraph"/>
      </w:pPr>
      <w:r>
        <w:t xml:space="preserve">The implementation shall expose approval queue rows with</w:t>
      </w:r>
      <w:r>
        <w:t xml:space="preserve"> </w:t>
      </w:r>
      <w:r>
        <w:rPr>
          <w:rStyle w:val="VerbatimChar"/>
        </w:rPr>
        <w:t xml:space="preserve">data-testid="approval-row-{tradeId}"</w:t>
      </w:r>
      <w:r>
        <w:t xml:space="preserve">,</w:t>
      </w:r>
      <w:r>
        <w:t xml:space="preserve"> </w:t>
      </w:r>
      <w:r>
        <w:rPr>
          <w:rStyle w:val="VerbatimChar"/>
        </w:rPr>
        <w:t xml:space="preserve">approve-trade-{tradeId}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reject-trade-{tradeId}</w:t>
      </w:r>
      <w:r>
        <w:t xml:space="preserve"> </w:t>
      </w:r>
      <w:r>
        <w:t xml:space="preserve">controls. The service shall compare</w:t>
      </w:r>
      <w:r>
        <w:t xml:space="preserve"> </w:t>
      </w:r>
      <w:r>
        <w:rPr>
          <w:rStyle w:val="VerbatimChar"/>
        </w:rPr>
        <w:t xml:space="preserve">submittedByUserId</w:t>
      </w:r>
      <w:r>
        <w:t xml:space="preserve"> </w:t>
      </w:r>
      <w:r>
        <w:t xml:space="preserve">against the checker user before allowing approval.</w:t>
      </w:r>
    </w:p>
    <w:p>
      <w:pPr>
        <w:pStyle w:val="BodyText"/>
      </w:pPr>
      <w:r>
        <w:rPr>
          <w:b/>
          <w:bCs/>
        </w:rPr>
        <w:t xml:space="preserve">Maps to:</w:t>
      </w:r>
      <w:r>
        <w:t xml:space="preserve"> </w:t>
      </w:r>
      <w:r>
        <w:t xml:space="preserve">HLD-REQ-003, REQ-FR-005, REQ-FR-006, REQ-SEC-002</w:t>
      </w:r>
      <w:r>
        <w:br/>
      </w:r>
      <w:r>
        <w:rPr>
          <w:b/>
          <w:bCs/>
        </w:rPr>
        <w:t xml:space="preserve">Components:</w:t>
      </w:r>
      <w:r>
        <w:t xml:space="preserve"> </w:t>
      </w:r>
      <w:r>
        <w:t xml:space="preserve">HLD-COMP-004</w:t>
      </w:r>
      <w:r>
        <w:br/>
      </w:r>
      <w:r>
        <w:rPr>
          <w:b/>
          <w:bCs/>
        </w:rPr>
        <w:t xml:space="preserve">APIs:</w:t>
      </w:r>
      <w:r>
        <w:t xml:space="preserve"> </w:t>
      </w:r>
      <w:r>
        <w:t xml:space="preserve">API-APPROVAL-001</w:t>
      </w:r>
    </w:p>
    <w:bookmarkEnd w:id="17"/>
    <w:bookmarkStart w:id="18" w:name="lld-req-004-dashboard-calculations"/>
    <w:p>
      <w:pPr>
        <w:pStyle w:val="Heading3"/>
      </w:pPr>
      <w:r>
        <w:t xml:space="preserve">LLD-REQ-004 — Dashboard calculations</w:t>
      </w:r>
    </w:p>
    <w:p>
      <w:pPr>
        <w:pStyle w:val="FirstParagraph"/>
      </w:pPr>
      <w:r>
        <w:t xml:space="preserve">The implementation shall calculate dashboard counts from persisted trade status and calculate approved notional as</w:t>
      </w:r>
      <w:r>
        <w:t xml:space="preserve"> </w:t>
      </w:r>
      <w:r>
        <w:rPr>
          <w:rStyle w:val="VerbatimChar"/>
        </w:rPr>
        <w:t xml:space="preserve">quantity * price</w:t>
      </w:r>
      <w:r>
        <w:t xml:space="preserve"> </w:t>
      </w:r>
      <w:r>
        <w:t xml:space="preserve">for approved trades only. Summary cards shall use</w:t>
      </w:r>
      <w:r>
        <w:t xml:space="preserve"> </w:t>
      </w:r>
      <w:r>
        <w:rPr>
          <w:rStyle w:val="VerbatimChar"/>
        </w:rPr>
        <w:t xml:space="preserve">dashboard-pending-count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dashboard-approved-count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dashboard-rejected-count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dashboard-approved-notional</w:t>
      </w:r>
      <w:r>
        <w:t xml:space="preserve"> </w:t>
      </w:r>
      <w:r>
        <w:t xml:space="preserve">locators.</w:t>
      </w:r>
    </w:p>
    <w:p>
      <w:pPr>
        <w:pStyle w:val="BodyText"/>
      </w:pPr>
      <w:r>
        <w:rPr>
          <w:b/>
          <w:bCs/>
        </w:rPr>
        <w:t xml:space="preserve">Maps to:</w:t>
      </w:r>
      <w:r>
        <w:t xml:space="preserve"> </w:t>
      </w:r>
      <w:r>
        <w:t xml:space="preserve">HLD-REQ-004, REQ-FR-007, REQ-FR-008</w:t>
      </w:r>
      <w:r>
        <w:br/>
      </w:r>
      <w:r>
        <w:rPr>
          <w:b/>
          <w:bCs/>
        </w:rPr>
        <w:t xml:space="preserve">Components:</w:t>
      </w:r>
      <w:r>
        <w:t xml:space="preserve"> </w:t>
      </w:r>
      <w:r>
        <w:t xml:space="preserve">HLD-COMP-005</w:t>
      </w:r>
      <w:r>
        <w:br/>
      </w:r>
      <w:r>
        <w:rPr>
          <w:b/>
          <w:bCs/>
        </w:rPr>
        <w:t xml:space="preserve">Data objects:</w:t>
      </w:r>
      <w:r>
        <w:t xml:space="preserve"> </w:t>
      </w:r>
      <w:r>
        <w:t xml:space="preserve">DATA-DASHBOARD-001</w:t>
      </w:r>
    </w:p>
    <w:bookmarkEnd w:id="18"/>
    <w:bookmarkStart w:id="19" w:name="lld-req-005-audit-event-persistence"/>
    <w:p>
      <w:pPr>
        <w:pStyle w:val="Heading3"/>
      </w:pPr>
      <w:r>
        <w:t xml:space="preserve">LLD-REQ-005 — Audit event persistence</w:t>
      </w:r>
    </w:p>
    <w:p>
      <w:pPr>
        <w:pStyle w:val="FirstParagraph"/>
      </w:pPr>
      <w:r>
        <w:t xml:space="preserve">The implementation shall append audit records with</w:t>
      </w:r>
      <w:r>
        <w:t xml:space="preserve"> </w:t>
      </w:r>
      <w:r>
        <w:rPr>
          <w:rStyle w:val="VerbatimChar"/>
        </w:rPr>
        <w:t xml:space="preserve">eventId</w:t>
      </w:r>
      <w:r>
        <w:t xml:space="preserve">,</w:t>
      </w:r>
      <w:r>
        <w:t xml:space="preserve"> </w:t>
      </w:r>
      <w:r>
        <w:rPr>
          <w:rStyle w:val="VerbatimChar"/>
        </w:rPr>
        <w:t xml:space="preserve">eventType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actorUserId</w:t>
      </w:r>
      <w:r>
        <w:t xml:space="preserve">,</w:t>
      </w:r>
      <w:r>
        <w:t xml:space="preserve"> </w:t>
      </w:r>
      <w:r>
        <w:rPr>
          <w:rStyle w:val="VerbatimChar"/>
        </w:rPr>
        <w:t xml:space="preserve">tradeId</w:t>
      </w:r>
      <w:r>
        <w:t xml:space="preserve">,</w:t>
      </w:r>
      <w:r>
        <w:t xml:space="preserve"> </w:t>
      </w:r>
      <w:r>
        <w:rPr>
          <w:rStyle w:val="VerbatimChar"/>
        </w:rPr>
        <w:t xml:space="preserve">beforeStatus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afterStatus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timestamp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metadata</w:t>
      </w:r>
      <w:r>
        <w:t xml:space="preserve">. Audit events shall be written for login, logout, submit, approve, reject, and route-guard denial.</w:t>
      </w:r>
    </w:p>
    <w:p>
      <w:pPr>
        <w:pStyle w:val="BodyText"/>
      </w:pPr>
      <w:r>
        <w:rPr>
          <w:b/>
          <w:bCs/>
        </w:rPr>
        <w:t xml:space="preserve">Maps to:</w:t>
      </w:r>
      <w:r>
        <w:t xml:space="preserve"> </w:t>
      </w:r>
      <w:r>
        <w:t xml:space="preserve">HLD-REQ-005, REQ-FR-009, REQ-NFR-001</w:t>
      </w:r>
      <w:r>
        <w:br/>
      </w:r>
      <w:r>
        <w:rPr>
          <w:b/>
          <w:bCs/>
        </w:rPr>
        <w:t xml:space="preserve">Components:</w:t>
      </w:r>
      <w:r>
        <w:t xml:space="preserve"> </w:t>
      </w:r>
      <w:r>
        <w:t xml:space="preserve">HLD-COMP-006</w:t>
      </w:r>
      <w:r>
        <w:br/>
      </w:r>
      <w:r>
        <w:rPr>
          <w:b/>
          <w:bCs/>
        </w:rPr>
        <w:t xml:space="preserve">Controls:</w:t>
      </w:r>
      <w:r>
        <w:t xml:space="preserve"> </w:t>
      </w:r>
      <w:r>
        <w:t xml:space="preserve">CTRL-AUDIT-001</w:t>
      </w:r>
    </w:p>
    <w:bookmarkEnd w:id="19"/>
    <w:bookmarkStart w:id="20" w:name="lld-req-006-qa-traceability-persistence"/>
    <w:p>
      <w:pPr>
        <w:pStyle w:val="Heading3"/>
      </w:pPr>
      <w:r>
        <w:t xml:space="preserve">LLD-REQ-006 — QA traceability persistence</w:t>
      </w:r>
    </w:p>
    <w:p>
      <w:pPr>
        <w:pStyle w:val="FirstParagraph"/>
      </w:pPr>
      <w:r>
        <w:t xml:space="preserve">The implementation shall persist requirements, requirement links, RTM rows, generated test case metadata, and confidence scorecards in local Postgres-compatible structures. Source chunks shall remain immutable evidence for testcase generation.</w:t>
      </w:r>
    </w:p>
    <w:p>
      <w:pPr>
        <w:pStyle w:val="BodyText"/>
      </w:pPr>
      <w:r>
        <w:rPr>
          <w:b/>
          <w:bCs/>
        </w:rPr>
        <w:t xml:space="preserve">Maps to:</w:t>
      </w:r>
      <w:r>
        <w:t xml:space="preserve"> </w:t>
      </w:r>
      <w:r>
        <w:t xml:space="preserve">HLD-REQ-006, REQ-NFR-002</w:t>
      </w:r>
      <w:r>
        <w:br/>
      </w:r>
      <w:r>
        <w:rPr>
          <w:b/>
          <w:bCs/>
        </w:rPr>
        <w:t xml:space="preserve">Components:</w:t>
      </w:r>
      <w:r>
        <w:t xml:space="preserve"> </w:t>
      </w:r>
      <w:r>
        <w:t xml:space="preserve">HLD-COMP-007</w:t>
      </w:r>
      <w:r>
        <w:br/>
      </w:r>
      <w:r>
        <w:rPr>
          <w:b/>
          <w:bCs/>
        </w:rPr>
        <w:t xml:space="preserve">Controls:</w:t>
      </w:r>
      <w:r>
        <w:t xml:space="preserve"> </w:t>
      </w:r>
      <w:r>
        <w:t xml:space="preserve">CTRL-QA-001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lld-4.-data-structures"/>
    <w:p>
      <w:pPr>
        <w:pStyle w:val="Heading2"/>
      </w:pPr>
      <w:r>
        <w:t xml:space="preserve">LLD §4. Data Structures</w:t>
      </w:r>
    </w:p>
    <w:bookmarkStart w:id="22" w:name="data-trade-001-tradeinstruction"/>
    <w:p>
      <w:pPr>
        <w:pStyle w:val="Heading3"/>
      </w:pPr>
      <w:r>
        <w:t xml:space="preserve">DATA-TRADE-001 — TradeInstruction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Related Req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tradeId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Generated unique identifier</w:t>
            </w:r>
          </w:p>
        </w:tc>
        <w:tc>
          <w:tcPr/>
          <w:p>
            <w:pPr>
              <w:pStyle w:val="Compact"/>
            </w:pPr>
            <w:r>
              <w:t xml:space="preserve">LLD-REQ-002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Required, uppercase ticker</w:t>
            </w:r>
          </w:p>
        </w:tc>
        <w:tc>
          <w:tcPr/>
          <w:p>
            <w:pPr>
              <w:pStyle w:val="Compact"/>
            </w:pPr>
            <w:r>
              <w:t xml:space="preserve">LLD-REQ-002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side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BUY or SELL</w:t>
            </w:r>
          </w:p>
        </w:tc>
        <w:tc>
          <w:tcPr/>
          <w:p>
            <w:pPr>
              <w:pStyle w:val="Compact"/>
            </w:pPr>
            <w:r>
              <w:t xml:space="preserve">LLD-REQ-002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Positive integer</w:t>
            </w:r>
          </w:p>
        </w:tc>
        <w:tc>
          <w:tcPr/>
          <w:p>
            <w:pPr>
              <w:pStyle w:val="Compact"/>
            </w:pPr>
            <w:r>
              <w:t xml:space="preserve">LLD-REQ-002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price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Positive decimal</w:t>
            </w:r>
          </w:p>
        </w:tc>
        <w:tc>
          <w:tcPr/>
          <w:p>
            <w:pPr>
              <w:pStyle w:val="Compact"/>
            </w:pPr>
            <w:r>
              <w:t xml:space="preserve">LLD-REQ-002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Required account code</w:t>
            </w:r>
          </w:p>
        </w:tc>
        <w:tc>
          <w:tcPr/>
          <w:p>
            <w:pPr>
              <w:pStyle w:val="Compact"/>
            </w:pPr>
            <w:r>
              <w:t xml:space="preserve">LLD-REQ-002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pending, approved, rejected</w:t>
            </w:r>
          </w:p>
        </w:tc>
        <w:tc>
          <w:tcPr/>
          <w:p>
            <w:pPr>
              <w:pStyle w:val="Compact"/>
            </w:pPr>
            <w:r>
              <w:t xml:space="preserve">LLD-REQ-003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submittedByUserId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Maker user ID</w:t>
            </w:r>
          </w:p>
        </w:tc>
        <w:tc>
          <w:tcPr/>
          <w:p>
            <w:pPr>
              <w:pStyle w:val="Compact"/>
            </w:pPr>
            <w:r>
              <w:t xml:space="preserve">LLD-REQ-003</w:t>
            </w:r>
          </w:p>
        </w:tc>
      </w:tr>
    </w:tbl>
    <w:bookmarkEnd w:id="22"/>
    <w:bookmarkStart w:id="23" w:name="data-dashboard-001-dashboardsummary"/>
    <w:p>
      <w:pPr>
        <w:pStyle w:val="Heading3"/>
      </w:pPr>
      <w:r>
        <w:t xml:space="preserve">DATA-DASHBOARD-001 — DashboardSummary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Related Req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pendingCount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Count status</w:t>
            </w:r>
            <w:r>
              <w:t xml:space="preserve"> </w:t>
            </w:r>
            <w:r>
              <w:rPr>
                <w:rStyle w:val="VerbatimChar"/>
              </w:rP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LLD-REQ-004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approvedCount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Count status</w:t>
            </w:r>
            <w:r>
              <w:t xml:space="preserve"> </w:t>
            </w:r>
            <w:r>
              <w:rPr>
                <w:rStyle w:val="VerbatimChar"/>
              </w:rPr>
              <w:t xml:space="preserve">approved</w:t>
            </w:r>
          </w:p>
        </w:tc>
        <w:tc>
          <w:tcPr/>
          <w:p>
            <w:pPr>
              <w:pStyle w:val="Compact"/>
            </w:pPr>
            <w:r>
              <w:t xml:space="preserve">LLD-REQ-004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rejectedCount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Count status</w:t>
            </w:r>
            <w:r>
              <w:t xml:space="preserve"> </w:t>
            </w:r>
            <w:r>
              <w:rPr>
                <w:rStyle w:val="VerbatimChar"/>
              </w:rPr>
              <w:t xml:space="preserve">rejected</w:t>
            </w:r>
          </w:p>
        </w:tc>
        <w:tc>
          <w:tcPr/>
          <w:p>
            <w:pPr>
              <w:pStyle w:val="Compact"/>
            </w:pPr>
            <w:r>
              <w:t xml:space="preserve">LLD-REQ-004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approvedNotional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Sum approved</w:t>
            </w:r>
            <w:r>
              <w:t xml:space="preserve"> </w:t>
            </w:r>
            <w:r>
              <w:rPr>
                <w:rStyle w:val="VerbatimChar"/>
              </w:rPr>
              <w:t xml:space="preserve">quantity * price</w:t>
            </w:r>
          </w:p>
        </w:tc>
        <w:tc>
          <w:tcPr/>
          <w:p>
            <w:pPr>
              <w:pStyle w:val="Compact"/>
            </w:pPr>
            <w:r>
              <w:t xml:space="preserve">LLD-REQ-004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6" w:name="lld-5.-api-contracts"/>
    <w:p>
      <w:pPr>
        <w:pStyle w:val="Heading2"/>
      </w:pPr>
      <w:r>
        <w:t xml:space="preserve">LLD §5. API Contracts</w:t>
      </w:r>
    </w:p>
    <w:bookmarkStart w:id="25" w:name="Xf32217c4d09ed060b976060e52b5c5361b92416"/>
    <w:p>
      <w:pPr>
        <w:pStyle w:val="Heading3"/>
      </w:pPr>
      <w:r>
        <w:t xml:space="preserve">API-APPROVAL-001 — Approval decision command</w:t>
      </w:r>
    </w:p>
    <w:p>
      <w:pPr>
        <w:pStyle w:val="FirstParagraph"/>
      </w:pPr>
      <w:r>
        <w:rPr>
          <w:rStyle w:val="VerbatimChar"/>
        </w:rPr>
        <w:t xml:space="preserve">POST /api/trades/{tradeId}/decision</w:t>
      </w:r>
    </w:p>
    <w:p>
      <w:pPr>
        <w:pStyle w:val="BodyText"/>
      </w:pPr>
      <w: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"decision"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"approve"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"Reviewed against maker instruction"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Validation:</w:t>
      </w:r>
    </w:p>
    <w:p>
      <w:pPr>
        <w:pStyle w:val="Compact"/>
        <w:numPr>
          <w:ilvl w:val="0"/>
          <w:numId w:val="1001"/>
        </w:numPr>
      </w:pPr>
      <w:r>
        <w:t xml:space="preserve">Caller role must be checker.</w:t>
      </w:r>
    </w:p>
    <w:p>
      <w:pPr>
        <w:pStyle w:val="Compact"/>
        <w:numPr>
          <w:ilvl w:val="0"/>
          <w:numId w:val="1001"/>
        </w:numPr>
      </w:pPr>
      <w:r>
        <w:t xml:space="preserve">Caller user ID must differ from</w:t>
      </w:r>
      <w:r>
        <w:t xml:space="preserve"> </w:t>
      </w:r>
      <w:r>
        <w:rPr>
          <w:rStyle w:val="VerbatimChar"/>
        </w:rPr>
        <w:t xml:space="preserve">submittedByUserId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Trade status must be pending.</w:t>
      </w:r>
    </w:p>
    <w:p>
      <w:pPr>
        <w:pStyle w:val="Compact"/>
        <w:numPr>
          <w:ilvl w:val="0"/>
          <w:numId w:val="1001"/>
        </w:numPr>
      </w:pPr>
      <w:r>
        <w:t xml:space="preserve">Decision must be approve or reject.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lld-6.-control-mapping"/>
    <w:p>
      <w:pPr>
        <w:pStyle w:val="Heading2"/>
      </w:pPr>
      <w:r>
        <w:t xml:space="preserve">LLD §6. Control Mapping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 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Related Requirements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CTRL-AUTH-001</w:t>
            </w:r>
          </w:p>
        </w:tc>
        <w:tc>
          <w:tcPr/>
          <w:p>
            <w:pPr>
              <w:pStyle w:val="Compact"/>
            </w:pPr>
            <w:r>
              <w:t xml:space="preserve">Route guard denies unauthenticated access.</w:t>
            </w:r>
          </w:p>
        </w:tc>
        <w:tc>
          <w:tcPr/>
          <w:p>
            <w:pPr>
              <w:pStyle w:val="Compact"/>
            </w:pPr>
            <w:r>
              <w:t xml:space="preserve">LLD-REQ-001, REQ-SEC-001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CTRL-AUDIT-001</w:t>
            </w:r>
          </w:p>
        </w:tc>
        <w:tc>
          <w:tcPr/>
          <w:p>
            <w:pPr>
              <w:pStyle w:val="Compact"/>
            </w:pPr>
            <w:r>
              <w:t xml:space="preserve">Controlled actions produce immutable audit records.</w:t>
            </w:r>
          </w:p>
        </w:tc>
        <w:tc>
          <w:tcPr/>
          <w:p>
            <w:pPr>
              <w:pStyle w:val="Compact"/>
            </w:pPr>
            <w:r>
              <w:t xml:space="preserve">LLD-REQ-005, REQ-FR-009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CTRL-QA-001</w:t>
            </w:r>
          </w:p>
        </w:tc>
        <w:tc>
          <w:tcPr/>
          <w:p>
            <w:pPr>
              <w:pStyle w:val="Compact"/>
            </w:pPr>
            <w:r>
              <w:t xml:space="preserve">Generated tests must cite source chunks and RTM rows.</w:t>
            </w:r>
          </w:p>
        </w:tc>
        <w:tc>
          <w:tcPr/>
          <w:p>
            <w:pPr>
              <w:pStyle w:val="Compact"/>
            </w:pPr>
            <w:r>
              <w:t xml:space="preserve">LLD-REQ-006, REQ-NFR-002</w:t>
            </w:r>
          </w:p>
        </w:tc>
      </w:tr>
    </w:tbl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01-business-requirements-document.md" TargetMode="External" /><Relationship Type="http://schemas.openxmlformats.org/officeDocument/2006/relationships/hyperlink" Id="rId10" Target="02-functional-requirements-specification.md" TargetMode="External" /><Relationship Type="http://schemas.openxmlformats.org/officeDocument/2006/relationships/hyperlink" Id="rId11" Target="03-high-level-design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01-business-requirements-document.md" TargetMode="External" /><Relationship Type="http://schemas.openxmlformats.org/officeDocument/2006/relationships/hyperlink" Id="rId10" Target="02-functional-requirements-specification.md" TargetMode="External" /><Relationship Type="http://schemas.openxmlformats.org/officeDocument/2006/relationships/hyperlink" Id="rId11" Target="03-high-level-design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2026-05-01T21:09:51Z</dcterms:created>
  <dcterms:modified xsi:type="dcterms:W3CDTF">2026-05-01T21:09:51Z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