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usiness-requirements-document-brd"/>
    <w:p>
      <w:pPr>
        <w:pStyle w:val="Heading1"/>
      </w:pPr>
      <w:r>
        <w:t xml:space="preserve">Business Requirements Document (BRD)</w:t>
      </w:r>
    </w:p>
    <w:bookmarkStart w:id="12" w:name="X0d29b56955713bfd7596eaa6a16f53955b54658"/>
    <w:p>
      <w:pPr>
        <w:pStyle w:val="Heading2"/>
      </w:pPr>
      <w:r>
        <w:t xml:space="preserve">Digital Trade Capture and Approval Console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QAMVP-BRD-TESTDRIVE-001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Test Drive Source</w:t>
      </w:r>
      <w:r>
        <w:br/>
      </w:r>
      <w:r>
        <w:rPr>
          <w:b/>
          <w:bCs/>
        </w:rPr>
        <w:t xml:space="preserve">Related documents:</w:t>
      </w:r>
      <w:r>
        <w:t xml:space="preserve"> </w:t>
      </w:r>
      <w:hyperlink r:id="rId9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HLD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LLD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brd-1.-purpose"/>
    <w:p>
      <w:pPr>
        <w:pStyle w:val="Heading2"/>
      </w:pPr>
      <w:r>
        <w:t xml:space="preserve">BRD §1. Purpose</w:t>
      </w:r>
    </w:p>
    <w:p>
      <w:pPr>
        <w:pStyle w:val="FirstParagraph"/>
      </w:pPr>
      <w:r>
        <w:t xml:space="preserve">This BRD defines the business goals for a controlled banking QA test drive. The product is a digital trade capture and approval console used to validate document ingestion, requirement mapping, derived RTM construction, and TestCases.xlsx generation before browser execution handoff.</w:t>
      </w:r>
    </w:p>
    <w:p>
      <w:pPr>
        <w:pStyle w:val="BodyText"/>
      </w:pPr>
      <w:r>
        <w:t xml:space="preserve">The system supports a maker-checker workflow for equity-style trade instructions. It is intentionally scoped to deterministic local testing with realistic banking controls.</w:t>
      </w:r>
    </w:p>
    <w:p>
      <w:r>
        <w:pict>
          <v:rect style="width:0;height:1.5pt" o:hralign="center" o:hrstd="t" o:hr="t"/>
        </w:pict>
      </w:r>
    </w:p>
    <w:bookmarkEnd w:id="13"/>
    <w:bookmarkStart w:id="19" w:name="brd-2.-business-outcomes"/>
    <w:p>
      <w:pPr>
        <w:pStyle w:val="Heading2"/>
      </w:pPr>
      <w:r>
        <w:t xml:space="preserve">BRD §2. Business Outcomes</w:t>
      </w:r>
    </w:p>
    <w:bookmarkStart w:id="14" w:name="br-001-controlled-user-authentication"/>
    <w:p>
      <w:pPr>
        <w:pStyle w:val="Heading3"/>
      </w:pPr>
      <w:r>
        <w:t xml:space="preserve">BR-001 — Controlled user authentication</w:t>
      </w:r>
    </w:p>
    <w:p>
      <w:pPr>
        <w:pStyle w:val="FirstParagraph"/>
      </w:pPr>
      <w:r>
        <w:t xml:space="preserve">The business shall require authenticated access before any trade, approval, dashboard, or admin function is available.</w:t>
      </w:r>
    </w:p>
    <w:p>
      <w:pPr>
        <w:pStyle w:val="BodyText"/>
      </w:pPr>
      <w:r>
        <w:rPr>
          <w:b/>
          <w:bCs/>
        </w:rPr>
        <w:t xml:space="preserve">Mapped FRS:</w:t>
      </w:r>
      <w:r>
        <w:t xml:space="preserve"> </w:t>
      </w:r>
      <w:r>
        <w:t xml:space="preserve">REQ-FR-001, REQ-FR-002, REQ-SEC-001</w:t>
      </w:r>
      <w:r>
        <w:br/>
      </w:r>
      <w:r>
        <w:rPr>
          <w:b/>
          <w:bCs/>
        </w:rPr>
        <w:t xml:space="preserve">Mapped design:</w:t>
      </w:r>
      <w:r>
        <w:t xml:space="preserve"> </w:t>
      </w:r>
      <w:r>
        <w:t xml:space="preserve">HLD-REQ-001, LLD-REQ-001</w:t>
      </w:r>
      <w:r>
        <w:br/>
      </w:r>
      <w:r>
        <w:rPr>
          <w:b/>
          <w:bCs/>
        </w:rPr>
        <w:t xml:space="preserve">Business owner:</w:t>
      </w:r>
      <w:r>
        <w:t xml:space="preserve"> </w:t>
      </w:r>
      <w:r>
        <w:t xml:space="preserve">Operations Control</w:t>
      </w:r>
    </w:p>
    <w:bookmarkEnd w:id="14"/>
    <w:bookmarkStart w:id="15" w:name="br-002-maker-trade-capture"/>
    <w:p>
      <w:pPr>
        <w:pStyle w:val="Heading3"/>
      </w:pPr>
      <w:r>
        <w:t xml:space="preserve">BR-002 — Maker trade capture</w:t>
      </w:r>
    </w:p>
    <w:p>
      <w:pPr>
        <w:pStyle w:val="FirstParagraph"/>
      </w:pPr>
      <w:r>
        <w:t xml:space="preserve">The business shall allow a maker user to submit a new trade instruction with symbol, side, quantity, price, account, and settlement date.</w:t>
      </w:r>
    </w:p>
    <w:p>
      <w:pPr>
        <w:pStyle w:val="BodyText"/>
      </w:pPr>
      <w:r>
        <w:rPr>
          <w:b/>
          <w:bCs/>
        </w:rPr>
        <w:t xml:space="preserve">Mapped FRS:</w:t>
      </w:r>
      <w:r>
        <w:t xml:space="preserve"> </w:t>
      </w:r>
      <w:r>
        <w:t xml:space="preserve">REQ-FR-003, REQ-FR-004</w:t>
      </w:r>
      <w:r>
        <w:br/>
      </w:r>
      <w:r>
        <w:rPr>
          <w:b/>
          <w:bCs/>
        </w:rPr>
        <w:t xml:space="preserve">Mapped design:</w:t>
      </w:r>
      <w:r>
        <w:t xml:space="preserve"> </w:t>
      </w:r>
      <w:r>
        <w:t xml:space="preserve">HLD-REQ-002, LLD-REQ-002</w:t>
      </w:r>
      <w:r>
        <w:br/>
      </w:r>
      <w:r>
        <w:rPr>
          <w:b/>
          <w:bCs/>
        </w:rPr>
        <w:t xml:space="preserve">Business owner:</w:t>
      </w:r>
      <w:r>
        <w:t xml:space="preserve"> </w:t>
      </w:r>
      <w:r>
        <w:t xml:space="preserve">Front Office Operations</w:t>
      </w:r>
    </w:p>
    <w:bookmarkEnd w:id="15"/>
    <w:bookmarkStart w:id="16" w:name="br-003-independent-checker-approval"/>
    <w:p>
      <w:pPr>
        <w:pStyle w:val="Heading3"/>
      </w:pPr>
      <w:r>
        <w:t xml:space="preserve">BR-003 — Independent checker approval</w:t>
      </w:r>
    </w:p>
    <w:p>
      <w:pPr>
        <w:pStyle w:val="FirstParagraph"/>
      </w:pPr>
      <w:r>
        <w:t xml:space="preserve">The business shall require a checker user to approve or reject pending trades independently from the maker who submitted them.</w:t>
      </w:r>
    </w:p>
    <w:p>
      <w:pPr>
        <w:pStyle w:val="BodyText"/>
      </w:pPr>
      <w:r>
        <w:rPr>
          <w:b/>
          <w:bCs/>
        </w:rPr>
        <w:t xml:space="preserve">Mapped FRS:</w:t>
      </w:r>
      <w:r>
        <w:t xml:space="preserve"> </w:t>
      </w:r>
      <w:r>
        <w:t xml:space="preserve">REQ-FR-005, REQ-FR-006, REQ-SEC-002</w:t>
      </w:r>
      <w:r>
        <w:br/>
      </w:r>
      <w:r>
        <w:rPr>
          <w:b/>
          <w:bCs/>
        </w:rPr>
        <w:t xml:space="preserve">Mapped design:</w:t>
      </w:r>
      <w:r>
        <w:t xml:space="preserve"> </w:t>
      </w:r>
      <w:r>
        <w:t xml:space="preserve">HLD-REQ-003, LLD-REQ-003</w:t>
      </w:r>
      <w:r>
        <w:br/>
      </w:r>
      <w:r>
        <w:rPr>
          <w:b/>
          <w:bCs/>
        </w:rPr>
        <w:t xml:space="preserve">Business owner:</w:t>
      </w:r>
      <w:r>
        <w:t xml:space="preserve"> </w:t>
      </w:r>
      <w:r>
        <w:t xml:space="preserve">Middle Office Control</w:t>
      </w:r>
    </w:p>
    <w:bookmarkEnd w:id="16"/>
    <w:bookmarkStart w:id="17" w:name="X077afc73def84243c050d89b548d894f561236e"/>
    <w:p>
      <w:pPr>
        <w:pStyle w:val="Heading3"/>
      </w:pPr>
      <w:r>
        <w:t xml:space="preserve">BR-004 — Dashboard and trade status visibility</w:t>
      </w:r>
    </w:p>
    <w:p>
      <w:pPr>
        <w:pStyle w:val="FirstParagraph"/>
      </w:pPr>
      <w:r>
        <w:t xml:space="preserve">The business shall provide dashboard visibility for pending, approved, rejected, and total notional trade values.</w:t>
      </w:r>
    </w:p>
    <w:p>
      <w:pPr>
        <w:pStyle w:val="BodyText"/>
      </w:pPr>
      <w:r>
        <w:rPr>
          <w:b/>
          <w:bCs/>
        </w:rPr>
        <w:t xml:space="preserve">Mapped FRS:</w:t>
      </w:r>
      <w:r>
        <w:t xml:space="preserve"> </w:t>
      </w:r>
      <w:r>
        <w:t xml:space="preserve">REQ-FR-007, REQ-FR-008</w:t>
      </w:r>
      <w:r>
        <w:br/>
      </w:r>
      <w:r>
        <w:rPr>
          <w:b/>
          <w:bCs/>
        </w:rPr>
        <w:t xml:space="preserve">Mapped design:</w:t>
      </w:r>
      <w:r>
        <w:t xml:space="preserve"> </w:t>
      </w:r>
      <w:r>
        <w:t xml:space="preserve">HLD-REQ-004, LLD-REQ-004</w:t>
      </w:r>
      <w:r>
        <w:br/>
      </w:r>
      <w:r>
        <w:rPr>
          <w:b/>
          <w:bCs/>
        </w:rPr>
        <w:t xml:space="preserve">Business owner:</w:t>
      </w:r>
      <w:r>
        <w:t xml:space="preserve"> </w:t>
      </w:r>
      <w:r>
        <w:t xml:space="preserve">Operations Reporting</w:t>
      </w:r>
    </w:p>
    <w:bookmarkEnd w:id="17"/>
    <w:bookmarkStart w:id="18" w:name="X620b28e9ca8d353ae98fa5066654a573e180d5c"/>
    <w:p>
      <w:pPr>
        <w:pStyle w:val="Heading3"/>
      </w:pPr>
      <w:r>
        <w:t xml:space="preserve">BR-005 — Auditability and evidence retention</w:t>
      </w:r>
    </w:p>
    <w:p>
      <w:pPr>
        <w:pStyle w:val="FirstParagraph"/>
      </w:pPr>
      <w:r>
        <w:t xml:space="preserve">The business shall retain an audit trail for authentication, trade submission, approval, rejection, and status changes.</w:t>
      </w:r>
    </w:p>
    <w:p>
      <w:pPr>
        <w:pStyle w:val="BodyText"/>
      </w:pPr>
      <w:r>
        <w:rPr>
          <w:b/>
          <w:bCs/>
        </w:rPr>
        <w:t xml:space="preserve">Mapped FRS:</w:t>
      </w:r>
      <w:r>
        <w:t xml:space="preserve"> </w:t>
      </w:r>
      <w:r>
        <w:t xml:space="preserve">REQ-FR-009, REQ-NFR-001, REQ-SEC-003</w:t>
      </w:r>
      <w:r>
        <w:br/>
      </w:r>
      <w:r>
        <w:rPr>
          <w:b/>
          <w:bCs/>
        </w:rPr>
        <w:t xml:space="preserve">Mapped design:</w:t>
      </w:r>
      <w:r>
        <w:t xml:space="preserve"> </w:t>
      </w:r>
      <w:r>
        <w:t xml:space="preserve">HLD-REQ-005, LLD-REQ-005</w:t>
      </w:r>
      <w:r>
        <w:br/>
      </w:r>
      <w:r>
        <w:rPr>
          <w:b/>
          <w:bCs/>
        </w:rPr>
        <w:t xml:space="preserve">Business owner:</w:t>
      </w:r>
      <w:r>
        <w:t xml:space="preserve"> </w:t>
      </w:r>
      <w:r>
        <w:t xml:space="preserve">Compliance Technology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brd-3.-scope"/>
    <w:p>
      <w:pPr>
        <w:pStyle w:val="Heading2"/>
      </w:pPr>
      <w:r>
        <w:t xml:space="preserve">BRD §3. Scope</w:t>
      </w:r>
    </w:p>
    <w:bookmarkStart w:id="20" w:name="brd-3.1-in-scope"/>
    <w:p>
      <w:pPr>
        <w:pStyle w:val="Heading3"/>
      </w:pPr>
      <w:r>
        <w:t xml:space="preserve">BRD §3.1 In scope</w:t>
      </w:r>
    </w:p>
    <w:p>
      <w:pPr>
        <w:pStyle w:val="Compact"/>
        <w:numPr>
          <w:ilvl w:val="0"/>
          <w:numId w:val="1001"/>
        </w:numPr>
      </w:pPr>
      <w:r>
        <w:t xml:space="preserve">Login and logout for maker and checker personas.</w:t>
      </w:r>
    </w:p>
    <w:p>
      <w:pPr>
        <w:pStyle w:val="Compact"/>
        <w:numPr>
          <w:ilvl w:val="0"/>
          <w:numId w:val="1001"/>
        </w:numPr>
      </w:pPr>
      <w:r>
        <w:t xml:space="preserve">Maker trade creation.</w:t>
      </w:r>
    </w:p>
    <w:p>
      <w:pPr>
        <w:pStyle w:val="Compact"/>
        <w:numPr>
          <w:ilvl w:val="0"/>
          <w:numId w:val="1001"/>
        </w:numPr>
      </w:pPr>
      <w:r>
        <w:t xml:space="preserve">Checker approval and rejection.</w:t>
      </w:r>
    </w:p>
    <w:p>
      <w:pPr>
        <w:pStyle w:val="Compact"/>
        <w:numPr>
          <w:ilvl w:val="0"/>
          <w:numId w:val="1001"/>
        </w:numPr>
      </w:pPr>
      <w:r>
        <w:t xml:space="preserve">Dashboard status counts and notional totals.</w:t>
      </w:r>
    </w:p>
    <w:p>
      <w:pPr>
        <w:pStyle w:val="Compact"/>
        <w:numPr>
          <w:ilvl w:val="0"/>
          <w:numId w:val="1001"/>
        </w:numPr>
      </w:pPr>
      <w:r>
        <w:t xml:space="preserve">Audit trail capture for control evidence.</w:t>
      </w:r>
    </w:p>
    <w:p>
      <w:pPr>
        <w:pStyle w:val="Compact"/>
        <w:numPr>
          <w:ilvl w:val="0"/>
          <w:numId w:val="1001"/>
        </w:numPr>
      </w:pPr>
      <w:r>
        <w:t xml:space="preserve">Local Postgres-backed test data for QA generation.</w:t>
      </w:r>
    </w:p>
    <w:bookmarkEnd w:id="20"/>
    <w:bookmarkStart w:id="21" w:name="brd-3.2-out-of-scope"/>
    <w:p>
      <w:pPr>
        <w:pStyle w:val="Heading3"/>
      </w:pPr>
      <w:r>
        <w:t xml:space="preserve">BRD §3.2 Out of scope</w:t>
      </w:r>
    </w:p>
    <w:p>
      <w:pPr>
        <w:pStyle w:val="Compact"/>
        <w:numPr>
          <w:ilvl w:val="0"/>
          <w:numId w:val="1002"/>
        </w:numPr>
      </w:pPr>
      <w:r>
        <w:t xml:space="preserve">Real market data integration.</w:t>
      </w:r>
    </w:p>
    <w:p>
      <w:pPr>
        <w:pStyle w:val="Compact"/>
        <w:numPr>
          <w:ilvl w:val="0"/>
          <w:numId w:val="1002"/>
        </w:numPr>
      </w:pPr>
      <w:r>
        <w:t xml:space="preserve">Production identity provider integration.</w:t>
      </w:r>
    </w:p>
    <w:p>
      <w:pPr>
        <w:pStyle w:val="Compact"/>
        <w:numPr>
          <w:ilvl w:val="0"/>
          <w:numId w:val="1002"/>
        </w:numPr>
      </w:pPr>
      <w:r>
        <w:t xml:space="preserve">Settlement processing.</w:t>
      </w:r>
    </w:p>
    <w:p>
      <w:pPr>
        <w:pStyle w:val="Compact"/>
        <w:numPr>
          <w:ilvl w:val="0"/>
          <w:numId w:val="1002"/>
        </w:numPr>
      </w:pPr>
      <w:r>
        <w:t xml:space="preserve">Real-money order routing.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brd-4.-business-rules"/>
    <w:p>
      <w:pPr>
        <w:pStyle w:val="Heading2"/>
      </w:pPr>
      <w:r>
        <w:t xml:space="preserve">BRD §4. Business Rules</w:t>
      </w:r>
    </w:p>
    <w:bookmarkStart w:id="23" w:name="br-006-segregation-of-duties"/>
    <w:p>
      <w:pPr>
        <w:pStyle w:val="Heading3"/>
      </w:pPr>
      <w:r>
        <w:t xml:space="preserve">BR-006 — Segregation of duties</w:t>
      </w:r>
    </w:p>
    <w:p>
      <w:pPr>
        <w:pStyle w:val="FirstParagraph"/>
      </w:pPr>
      <w:r>
        <w:t xml:space="preserve">A maker shall not approve a trade they submitted. The checker action shall be available only to users with the checker role.</w:t>
      </w:r>
    </w:p>
    <w:p>
      <w:pPr>
        <w:pStyle w:val="BodyText"/>
      </w:pPr>
      <w:r>
        <w:rPr>
          <w:b/>
          <w:bCs/>
        </w:rPr>
        <w:t xml:space="preserve">Mapped FRS:</w:t>
      </w:r>
      <w:r>
        <w:t xml:space="preserve"> </w:t>
      </w:r>
      <w:r>
        <w:t xml:space="preserve">REQ-SEC-002</w:t>
      </w:r>
      <w:r>
        <w:br/>
      </w:r>
      <w:r>
        <w:rPr>
          <w:b/>
          <w:bCs/>
        </w:rPr>
        <w:t xml:space="preserve">Mapped design:</w:t>
      </w:r>
      <w:r>
        <w:t xml:space="preserve"> </w:t>
      </w:r>
      <w:r>
        <w:t xml:space="preserve">HLD-REQ-003, LLD-REQ-003</w:t>
      </w:r>
    </w:p>
    <w:bookmarkEnd w:id="23"/>
    <w:bookmarkStart w:id="24" w:name="br-007-required-trade-fields"/>
    <w:p>
      <w:pPr>
        <w:pStyle w:val="Heading3"/>
      </w:pPr>
      <w:r>
        <w:t xml:space="preserve">BR-007 — Required trade fields</w:t>
      </w:r>
    </w:p>
    <w:p>
      <w:pPr>
        <w:pStyle w:val="FirstParagraph"/>
      </w:pPr>
      <w:r>
        <w:t xml:space="preserve">A trade shall not be accepted unless symbol, side, quantity, price, account, and settlement date are present and valid.</w:t>
      </w:r>
    </w:p>
    <w:p>
      <w:pPr>
        <w:pStyle w:val="BodyText"/>
      </w:pPr>
      <w:r>
        <w:rPr>
          <w:b/>
          <w:bCs/>
        </w:rPr>
        <w:t xml:space="preserve">Mapped FRS:</w:t>
      </w:r>
      <w:r>
        <w:t xml:space="preserve"> </w:t>
      </w:r>
      <w:r>
        <w:t xml:space="preserve">REQ-FR-004</w:t>
      </w:r>
      <w:r>
        <w:br/>
      </w:r>
      <w:r>
        <w:rPr>
          <w:b/>
          <w:bCs/>
        </w:rPr>
        <w:t xml:space="preserve">Mapped design:</w:t>
      </w:r>
      <w:r>
        <w:t xml:space="preserve"> </w:t>
      </w:r>
      <w:r>
        <w:t xml:space="preserve">HLD-REQ-002, LLD-REQ-002</w:t>
      </w:r>
    </w:p>
    <w:bookmarkEnd w:id="24"/>
    <w:bookmarkStart w:id="25" w:name="br-008-traceable-quality-gate"/>
    <w:p>
      <w:pPr>
        <w:pStyle w:val="Heading3"/>
      </w:pPr>
      <w:r>
        <w:t xml:space="preserve">BR-008 — Traceable quality gate</w:t>
      </w:r>
    </w:p>
    <w:p>
      <w:pPr>
        <w:pStyle w:val="FirstParagraph"/>
      </w:pPr>
      <w:r>
        <w:t xml:space="preserve">Generated test cases shall cite BRD, FRS, HLD, or LLD source references and shall be auditable against a derived RTM before execution.</w:t>
      </w:r>
    </w:p>
    <w:p>
      <w:pPr>
        <w:pStyle w:val="BodyText"/>
      </w:pPr>
      <w:r>
        <w:rPr>
          <w:b/>
          <w:bCs/>
        </w:rPr>
        <w:t xml:space="preserve">Mapped FRS:</w:t>
      </w:r>
      <w:r>
        <w:t xml:space="preserve"> </w:t>
      </w:r>
      <w:r>
        <w:t xml:space="preserve">REQ-NFR-002</w:t>
      </w:r>
      <w:r>
        <w:br/>
      </w:r>
      <w:r>
        <w:rPr>
          <w:b/>
          <w:bCs/>
        </w:rPr>
        <w:t xml:space="preserve">Mapped design:</w:t>
      </w:r>
      <w:r>
        <w:t xml:space="preserve"> </w:t>
      </w:r>
      <w:r>
        <w:t xml:space="preserve">HLD-REQ-006, LLD-REQ-006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2-functional-requirements-specification.md" TargetMode="External" /><Relationship Type="http://schemas.openxmlformats.org/officeDocument/2006/relationships/hyperlink" Id="rId10" Target="03-high-level-design.md" TargetMode="External" /><Relationship Type="http://schemas.openxmlformats.org/officeDocument/2006/relationships/hyperlink" Id="rId11" Target="04-low-level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2-functional-requirements-specification.md" TargetMode="External" /><Relationship Type="http://schemas.openxmlformats.org/officeDocument/2006/relationships/hyperlink" Id="rId10" Target="03-high-level-design.md" TargetMode="External" /><Relationship Type="http://schemas.openxmlformats.org/officeDocument/2006/relationships/hyperlink" Id="rId11" Target="04-low-level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2026-05-01T21:09:51Z</dcterms:created>
  <dcterms:modified xsi:type="dcterms:W3CDTF">2026-05-01T21:09:51Z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