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high-level-design-hld"/>
    <w:p>
      <w:pPr>
        <w:pStyle w:val="Heading1"/>
      </w:pPr>
      <w:r>
        <w:t xml:space="preserve">High Level Design (HLD)</w:t>
      </w:r>
    </w:p>
    <w:bookmarkStart w:id="12" w:name="X0d29b56955713bfd7596eaa6a16f53955b54658"/>
    <w:p>
      <w:pPr>
        <w:pStyle w:val="Heading2"/>
      </w:pPr>
      <w:r>
        <w:t xml:space="preserve">Digital Trade Capture and Approval Console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QAMVP-HLD-TESTDRIVE-001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Test Drive Source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hyperlink r:id="rId9">
        <w:r>
          <w:rPr>
            <w:rStyle w:val="Hyperlink"/>
          </w:rPr>
          <w:t xml:space="preserve">BRD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FRS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LLD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4" w:name="hld-1.-architecture-overview"/>
    <w:p>
      <w:pPr>
        <w:pStyle w:val="Heading2"/>
      </w:pPr>
      <w:r>
        <w:t xml:space="preserve">HLD §1. Architecture Overview</w:t>
      </w:r>
    </w:p>
    <w:p>
      <w:pPr>
        <w:pStyle w:val="FirstParagraph"/>
      </w:pPr>
      <w:r>
        <w:t xml:space="preserve">The system is a browser-based single-page application backed by local service APIs and a local Postgres data store for test-drive persistence. The design is optimized for traceable QA generation and deterministic workflow execution.</w:t>
      </w:r>
    </w:p>
    <w:bookmarkStart w:id="13" w:name="hld-req-001-identity-and-access-boundary"/>
    <w:p>
      <w:pPr>
        <w:pStyle w:val="Heading3"/>
      </w:pPr>
      <w:r>
        <w:t xml:space="preserve">HLD-REQ-001 — Identity and access boundary</w:t>
      </w:r>
    </w:p>
    <w:p>
      <w:pPr>
        <w:pStyle w:val="FirstParagraph"/>
      </w:pPr>
      <w:r>
        <w:t xml:space="preserve">The architecture shall include an authentication boundary that protects application routes and exposes role context to the UI.</w:t>
      </w:r>
    </w:p>
    <w:p>
      <w:pPr>
        <w:pStyle w:val="BodyText"/>
      </w:pPr>
      <w:r>
        <w:rPr>
          <w:b/>
          <w:bCs/>
        </w:rPr>
        <w:t xml:space="preserve">Maps to:</w:t>
      </w:r>
      <w:r>
        <w:t xml:space="preserve"> </w:t>
      </w:r>
      <w:r>
        <w:t xml:space="preserve">BR-001, REQ-FR-001, REQ-FR-002, REQ-SEC-001</w:t>
      </w:r>
      <w:r>
        <w:br/>
      </w:r>
      <w:r>
        <w:rPr>
          <w:b/>
          <w:bCs/>
        </w:rPr>
        <w:t xml:space="preserve">Components:</w:t>
      </w:r>
      <w:r>
        <w:t xml:space="preserve"> </w:t>
      </w:r>
      <w:r>
        <w:t xml:space="preserve">HLD-COMP-001 Identity Shell, HLD-COMP-002 Route Guard</w:t>
      </w:r>
      <w:r>
        <w:br/>
      </w:r>
      <w:r>
        <w:rPr>
          <w:b/>
          <w:bCs/>
        </w:rPr>
        <w:t xml:space="preserve">LLD mapping:</w:t>
      </w:r>
      <w:r>
        <w:t xml:space="preserve"> </w:t>
      </w:r>
      <w:r>
        <w:t xml:space="preserve">LLD-REQ-001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hld-2.-component-model"/>
    <w:p>
      <w:pPr>
        <w:pStyle w:val="Heading2"/>
      </w:pPr>
      <w:r>
        <w:t xml:space="preserve">HLD §2. Component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ID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Related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HLD-COMP-001</w:t>
            </w:r>
          </w:p>
        </w:tc>
        <w:tc>
          <w:tcPr/>
          <w:p>
            <w:pPr>
              <w:pStyle w:val="Compact"/>
            </w:pPr>
            <w:r>
              <w:t xml:space="preserve">Identity Shell</w:t>
            </w:r>
          </w:p>
        </w:tc>
        <w:tc>
          <w:tcPr/>
          <w:p>
            <w:pPr>
              <w:pStyle w:val="Compact"/>
            </w:pPr>
            <w:r>
              <w:t xml:space="preserve">Login, logout, session state, role context.</w:t>
            </w:r>
          </w:p>
        </w:tc>
        <w:tc>
          <w:tcPr/>
          <w:p>
            <w:pPr>
              <w:pStyle w:val="Compact"/>
            </w:pPr>
            <w:r>
              <w:t xml:space="preserve">HLD-REQ-001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HLD-COMP-002</w:t>
            </w:r>
          </w:p>
        </w:tc>
        <w:tc>
          <w:tcPr/>
          <w:p>
            <w:pPr>
              <w:pStyle w:val="Compact"/>
            </w:pPr>
            <w:r>
              <w:t xml:space="preserve">Route Guard</w:t>
            </w:r>
          </w:p>
        </w:tc>
        <w:tc>
          <w:tcPr/>
          <w:p>
            <w:pPr>
              <w:pStyle w:val="Compact"/>
            </w:pPr>
            <w:r>
              <w:t xml:space="preserve">Protects trade, approval, dashboard, audit routes.</w:t>
            </w:r>
          </w:p>
        </w:tc>
        <w:tc>
          <w:tcPr/>
          <w:p>
            <w:pPr>
              <w:pStyle w:val="Compact"/>
            </w:pPr>
            <w:r>
              <w:t xml:space="preserve">HLD-REQ-001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HLD-COMP-003</w:t>
            </w:r>
          </w:p>
        </w:tc>
        <w:tc>
          <w:tcPr/>
          <w:p>
            <w:pPr>
              <w:pStyle w:val="Compact"/>
            </w:pPr>
            <w:r>
              <w:t xml:space="preserve">Trade Capture Module</w:t>
            </w:r>
          </w:p>
        </w:tc>
        <w:tc>
          <w:tcPr/>
          <w:p>
            <w:pPr>
              <w:pStyle w:val="Compact"/>
            </w:pPr>
            <w:r>
              <w:t xml:space="preserve">Captures maker trade instructions and validation errors.</w:t>
            </w:r>
          </w:p>
        </w:tc>
        <w:tc>
          <w:tcPr/>
          <w:p>
            <w:pPr>
              <w:pStyle w:val="Compact"/>
            </w:pPr>
            <w:r>
              <w:t xml:space="preserve">HLD-REQ-002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HLD-COMP-004</w:t>
            </w:r>
          </w:p>
        </w:tc>
        <w:tc>
          <w:tcPr/>
          <w:p>
            <w:pPr>
              <w:pStyle w:val="Compact"/>
            </w:pPr>
            <w:r>
              <w:t xml:space="preserve">Approval Queue Module</w:t>
            </w:r>
          </w:p>
        </w:tc>
        <w:tc>
          <w:tcPr/>
          <w:p>
            <w:pPr>
              <w:pStyle w:val="Compact"/>
            </w:pPr>
            <w:r>
              <w:t xml:space="preserve">Presents pending trades and checker decisions.</w:t>
            </w:r>
          </w:p>
        </w:tc>
        <w:tc>
          <w:tcPr/>
          <w:p>
            <w:pPr>
              <w:pStyle w:val="Compact"/>
            </w:pPr>
            <w:r>
              <w:t xml:space="preserve">HLD-REQ-003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HLD-COMP-005</w:t>
            </w:r>
          </w:p>
        </w:tc>
        <w:tc>
          <w:tcPr/>
          <w:p>
            <w:pPr>
              <w:pStyle w:val="Compact"/>
            </w:pPr>
            <w:r>
              <w:t xml:space="preserve">Dashboard Module</w:t>
            </w:r>
          </w:p>
        </w:tc>
        <w:tc>
          <w:tcPr/>
          <w:p>
            <w:pPr>
              <w:pStyle w:val="Compact"/>
            </w:pPr>
            <w:r>
              <w:t xml:space="preserve">Aggregates trade status counts and notional totals.</w:t>
            </w:r>
          </w:p>
        </w:tc>
        <w:tc>
          <w:tcPr/>
          <w:p>
            <w:pPr>
              <w:pStyle w:val="Compact"/>
            </w:pPr>
            <w:r>
              <w:t xml:space="preserve">HLD-REQ-004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HLD-COMP-006</w:t>
            </w:r>
          </w:p>
        </w:tc>
        <w:tc>
          <w:tcPr/>
          <w:p>
            <w:pPr>
              <w:pStyle w:val="Compact"/>
            </w:pPr>
            <w:r>
              <w:t xml:space="preserve">Audit Service</w:t>
            </w:r>
          </w:p>
        </w:tc>
        <w:tc>
          <w:tcPr/>
          <w:p>
            <w:pPr>
              <w:pStyle w:val="Compact"/>
            </w:pPr>
            <w:r>
              <w:t xml:space="preserve">Records immutable business events.</w:t>
            </w:r>
          </w:p>
        </w:tc>
        <w:tc>
          <w:tcPr/>
          <w:p>
            <w:pPr>
              <w:pStyle w:val="Compact"/>
            </w:pPr>
            <w:r>
              <w:t xml:space="preserve">HLD-REQ-005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HLD-COMP-007</w:t>
            </w:r>
          </w:p>
        </w:tc>
        <w:tc>
          <w:tcPr/>
          <w:p>
            <w:pPr>
              <w:pStyle w:val="Compact"/>
            </w:pPr>
            <w:r>
              <w:t xml:space="preserve">QA Traceability Service</w:t>
            </w:r>
          </w:p>
        </w:tc>
        <w:tc>
          <w:tcPr/>
          <w:p>
            <w:pPr>
              <w:pStyle w:val="Compact"/>
            </w:pPr>
            <w:r>
              <w:t xml:space="preserve">Supports RTM-backed testcase generation and confidence audit.</w:t>
            </w:r>
          </w:p>
        </w:tc>
        <w:tc>
          <w:tcPr/>
          <w:p>
            <w:pPr>
              <w:pStyle w:val="Compact"/>
            </w:pPr>
            <w:r>
              <w:t xml:space="preserve">HLD-REQ-006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1" w:name="hld-3.-functional-design"/>
    <w:p>
      <w:pPr>
        <w:pStyle w:val="Heading2"/>
      </w:pPr>
      <w:r>
        <w:t xml:space="preserve">HLD §3. Functional Design</w:t>
      </w:r>
    </w:p>
    <w:bookmarkStart w:id="16" w:name="hld-req-002-trade-capture-design"/>
    <w:p>
      <w:pPr>
        <w:pStyle w:val="Heading3"/>
      </w:pPr>
      <w:r>
        <w:t xml:space="preserve">HLD-REQ-002 — Trade capture design</w:t>
      </w:r>
    </w:p>
    <w:p>
      <w:pPr>
        <w:pStyle w:val="FirstParagraph"/>
      </w:pPr>
      <w:r>
        <w:t xml:space="preserve">The architecture shall route maker users to HLD-COMP-003, validate submitted trade fields, and persist valid trades with pending status.</w:t>
      </w:r>
    </w:p>
    <w:p>
      <w:pPr>
        <w:pStyle w:val="BodyText"/>
      </w:pPr>
      <w:r>
        <w:rPr>
          <w:b/>
          <w:bCs/>
        </w:rPr>
        <w:t xml:space="preserve">Maps to:</w:t>
      </w:r>
      <w:r>
        <w:t xml:space="preserve"> </w:t>
      </w:r>
      <w:r>
        <w:t xml:space="preserve">BR-002, BR-007, REQ-FR-003, REQ-FR-004</w:t>
      </w:r>
      <w:r>
        <w:br/>
      </w:r>
      <w:r>
        <w:rPr>
          <w:b/>
          <w:bCs/>
        </w:rPr>
        <w:t xml:space="preserve">Data objects:</w:t>
      </w:r>
      <w:r>
        <w:t xml:space="preserve"> </w:t>
      </w:r>
      <w:r>
        <w:t xml:space="preserve">DATA-TRADE-001 TradeInstruction</w:t>
      </w:r>
      <w:r>
        <w:br/>
      </w:r>
      <w:r>
        <w:rPr>
          <w:b/>
          <w:bCs/>
        </w:rPr>
        <w:t xml:space="preserve">LLD mapping:</w:t>
      </w:r>
      <w:r>
        <w:t xml:space="preserve"> </w:t>
      </w:r>
      <w:r>
        <w:t xml:space="preserve">LLD-REQ-002</w:t>
      </w:r>
    </w:p>
    <w:bookmarkEnd w:id="16"/>
    <w:bookmarkStart w:id="17" w:name="hld-req-003-approval-queue-design"/>
    <w:p>
      <w:pPr>
        <w:pStyle w:val="Heading3"/>
      </w:pPr>
      <w:r>
        <w:t xml:space="preserve">HLD-REQ-003 — Approval queue design</w:t>
      </w:r>
    </w:p>
    <w:p>
      <w:pPr>
        <w:pStyle w:val="FirstParagraph"/>
      </w:pPr>
      <w:r>
        <w:t xml:space="preserve">The architecture shall route checker users to HLD-COMP-004, load pending trade instructions, and execute approve or reject commands while enforcing maker-checker separation.</w:t>
      </w:r>
    </w:p>
    <w:p>
      <w:pPr>
        <w:pStyle w:val="BodyText"/>
      </w:pPr>
      <w:r>
        <w:rPr>
          <w:b/>
          <w:bCs/>
        </w:rPr>
        <w:t xml:space="preserve">Maps to:</w:t>
      </w:r>
      <w:r>
        <w:t xml:space="preserve"> </w:t>
      </w:r>
      <w:r>
        <w:t xml:space="preserve">BR-003, BR-006, REQ-FR-005, REQ-FR-006, REQ-SEC-002</w:t>
      </w:r>
      <w:r>
        <w:br/>
      </w:r>
      <w:r>
        <w:rPr>
          <w:b/>
          <w:bCs/>
        </w:rPr>
        <w:t xml:space="preserve">APIs:</w:t>
      </w:r>
      <w:r>
        <w:t xml:space="preserve"> </w:t>
      </w:r>
      <w:r>
        <w:t xml:space="preserve">API-APPROVAL-001</w:t>
      </w:r>
      <w:r>
        <w:br/>
      </w:r>
      <w:r>
        <w:rPr>
          <w:b/>
          <w:bCs/>
        </w:rPr>
        <w:t xml:space="preserve">LLD mapping:</w:t>
      </w:r>
      <w:r>
        <w:t xml:space="preserve"> </w:t>
      </w:r>
      <w:r>
        <w:t xml:space="preserve">LLD-REQ-003</w:t>
      </w:r>
    </w:p>
    <w:bookmarkEnd w:id="17"/>
    <w:bookmarkStart w:id="18" w:name="hld-req-004-dashboard-design"/>
    <w:p>
      <w:pPr>
        <w:pStyle w:val="Heading3"/>
      </w:pPr>
      <w:r>
        <w:t xml:space="preserve">HLD-REQ-004 — Dashboard design</w:t>
      </w:r>
    </w:p>
    <w:p>
      <w:pPr>
        <w:pStyle w:val="FirstParagraph"/>
      </w:pPr>
      <w:r>
        <w:t xml:space="preserve">The architecture shall expose read models for status counts and approved notional totals through HLD-COMP-005.</w:t>
      </w:r>
    </w:p>
    <w:p>
      <w:pPr>
        <w:pStyle w:val="BodyText"/>
      </w:pPr>
      <w:r>
        <w:rPr>
          <w:b/>
          <w:bCs/>
        </w:rPr>
        <w:t xml:space="preserve">Maps to:</w:t>
      </w:r>
      <w:r>
        <w:t xml:space="preserve"> </w:t>
      </w:r>
      <w:r>
        <w:t xml:space="preserve">BR-004, REQ-FR-007, REQ-FR-008</w:t>
      </w:r>
      <w:r>
        <w:br/>
      </w:r>
      <w:r>
        <w:rPr>
          <w:b/>
          <w:bCs/>
        </w:rPr>
        <w:t xml:space="preserve">Data objects:</w:t>
      </w:r>
      <w:r>
        <w:t xml:space="preserve"> </w:t>
      </w:r>
      <w:r>
        <w:t xml:space="preserve">DATA-DASHBOARD-001 DashboardSummary</w:t>
      </w:r>
      <w:r>
        <w:br/>
      </w:r>
      <w:r>
        <w:rPr>
          <w:b/>
          <w:bCs/>
        </w:rPr>
        <w:t xml:space="preserve">LLD mapping:</w:t>
      </w:r>
      <w:r>
        <w:t xml:space="preserve"> </w:t>
      </w:r>
      <w:r>
        <w:t xml:space="preserve">LLD-REQ-004</w:t>
      </w:r>
    </w:p>
    <w:bookmarkEnd w:id="18"/>
    <w:bookmarkStart w:id="19" w:name="hld-req-005-audit-design"/>
    <w:p>
      <w:pPr>
        <w:pStyle w:val="Heading3"/>
      </w:pPr>
      <w:r>
        <w:t xml:space="preserve">HLD-REQ-005 — Audit design</w:t>
      </w:r>
    </w:p>
    <w:p>
      <w:pPr>
        <w:pStyle w:val="FirstParagraph"/>
      </w:pPr>
      <w:r>
        <w:t xml:space="preserve">The architecture shall emit audit events for authentication, trade creation, approval, rejection, and status transitions through HLD-COMP-006.</w:t>
      </w:r>
    </w:p>
    <w:p>
      <w:pPr>
        <w:pStyle w:val="BodyText"/>
      </w:pPr>
      <w:r>
        <w:rPr>
          <w:b/>
          <w:bCs/>
        </w:rPr>
        <w:t xml:space="preserve">Maps to:</w:t>
      </w:r>
      <w:r>
        <w:t xml:space="preserve"> </w:t>
      </w:r>
      <w:r>
        <w:t xml:space="preserve">BR-005, REQ-FR-009, REQ-NFR-001, REQ-SEC-003</w:t>
      </w:r>
      <w:r>
        <w:br/>
      </w:r>
      <w:r>
        <w:rPr>
          <w:b/>
          <w:bCs/>
        </w:rPr>
        <w:t xml:space="preserve">Controls:</w:t>
      </w:r>
      <w:r>
        <w:t xml:space="preserve"> </w:t>
      </w:r>
      <w:r>
        <w:t xml:space="preserve">CTRL-AUDIT-001</w:t>
      </w:r>
      <w:r>
        <w:br/>
      </w:r>
      <w:r>
        <w:rPr>
          <w:b/>
          <w:bCs/>
        </w:rPr>
        <w:t xml:space="preserve">LLD mapping:</w:t>
      </w:r>
      <w:r>
        <w:t xml:space="preserve"> </w:t>
      </w:r>
      <w:r>
        <w:t xml:space="preserve">LLD-REQ-005</w:t>
      </w:r>
    </w:p>
    <w:bookmarkEnd w:id="19"/>
    <w:bookmarkStart w:id="20" w:name="hld-req-006-qa-traceability-design"/>
    <w:p>
      <w:pPr>
        <w:pStyle w:val="Heading3"/>
      </w:pPr>
      <w:r>
        <w:t xml:space="preserve">HLD-REQ-006 — QA traceability design</w:t>
      </w:r>
    </w:p>
    <w:p>
      <w:pPr>
        <w:pStyle w:val="FirstParagraph"/>
      </w:pPr>
      <w:r>
        <w:t xml:space="preserve">The architecture shall expose ingested requirements, source chunks, derived RTM rows, and confidence evidence to the Cursor SDK QA harness through read-only tools.</w:t>
      </w:r>
    </w:p>
    <w:p>
      <w:pPr>
        <w:pStyle w:val="BodyText"/>
      </w:pPr>
      <w:r>
        <w:rPr>
          <w:b/>
          <w:bCs/>
        </w:rPr>
        <w:t xml:space="preserve">Maps to:</w:t>
      </w:r>
      <w:r>
        <w:t xml:space="preserve"> </w:t>
      </w:r>
      <w:r>
        <w:t xml:space="preserve">BR-008, REQ-NFR-002</w:t>
      </w:r>
      <w:r>
        <w:br/>
      </w:r>
      <w:r>
        <w:rPr>
          <w:b/>
          <w:bCs/>
        </w:rPr>
        <w:t xml:space="preserve">Components:</w:t>
      </w:r>
      <w:r>
        <w:t xml:space="preserve"> </w:t>
      </w:r>
      <w:r>
        <w:t xml:space="preserve">HLD-COMP-007 QA Traceability Service</w:t>
      </w:r>
      <w:r>
        <w:br/>
      </w:r>
      <w:r>
        <w:rPr>
          <w:b/>
          <w:bCs/>
        </w:rPr>
        <w:t xml:space="preserve">LLD mapping:</w:t>
      </w:r>
      <w:r>
        <w:t xml:space="preserve"> </w:t>
      </w:r>
      <w:r>
        <w:t xml:space="preserve">LLD-REQ-006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ld-4.-data-flow"/>
    <w:p>
      <w:pPr>
        <w:pStyle w:val="Heading2"/>
      </w:pPr>
      <w:r>
        <w:t xml:space="preserve">HLD §4. Data Flow</w:t>
      </w:r>
    </w:p>
    <w:p>
      <w:pPr>
        <w:pStyle w:val="Compact"/>
        <w:numPr>
          <w:ilvl w:val="0"/>
          <w:numId w:val="1001"/>
        </w:numPr>
      </w:pPr>
      <w:r>
        <w:t xml:space="preserve">User authenticates through HLD-COMP-001 and HLD-COMP-002.</w:t>
      </w:r>
    </w:p>
    <w:p>
      <w:pPr>
        <w:pStyle w:val="Compact"/>
        <w:numPr>
          <w:ilvl w:val="0"/>
          <w:numId w:val="1001"/>
        </w:numPr>
      </w:pPr>
      <w:r>
        <w:t xml:space="preserve">Maker submits DATA-TRADE-001 through HLD-COMP-003.</w:t>
      </w:r>
    </w:p>
    <w:p>
      <w:pPr>
        <w:pStyle w:val="Compact"/>
        <w:numPr>
          <w:ilvl w:val="0"/>
          <w:numId w:val="1001"/>
        </w:numPr>
      </w:pPr>
      <w:r>
        <w:t xml:space="preserve">Checker reviews DATA-TRADE-001 through HLD-COMP-004.</w:t>
      </w:r>
    </w:p>
    <w:p>
      <w:pPr>
        <w:pStyle w:val="Compact"/>
        <w:numPr>
          <w:ilvl w:val="0"/>
          <w:numId w:val="1001"/>
        </w:numPr>
      </w:pPr>
      <w:r>
        <w:t xml:space="preserve">HLD-COMP-005 updates DATA-DASHBOARD-001 from trade status.</w:t>
      </w:r>
    </w:p>
    <w:p>
      <w:pPr>
        <w:pStyle w:val="Compact"/>
        <w:numPr>
          <w:ilvl w:val="0"/>
          <w:numId w:val="1001"/>
        </w:numPr>
      </w:pPr>
      <w:r>
        <w:t xml:space="preserve">HLD-COMP-006 records CTRL-AUDIT-001 evidence for all controlled actions.</w:t>
      </w:r>
    </w:p>
    <w:p>
      <w:pPr>
        <w:pStyle w:val="Compact"/>
        <w:numPr>
          <w:ilvl w:val="0"/>
          <w:numId w:val="1001"/>
        </w:numPr>
      </w:pPr>
      <w:r>
        <w:t xml:space="preserve">HLD-COMP-007 maps BRD §2, FRS §3-§7, HLD §3, and LLD §3 into the derived RTM.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2-functional-requirements-specification.md" TargetMode="External" /><Relationship Type="http://schemas.openxmlformats.org/officeDocument/2006/relationships/hyperlink" Id="rId11" Target="04-low-level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2-functional-requirements-specification.md" TargetMode="External" /><Relationship Type="http://schemas.openxmlformats.org/officeDocument/2006/relationships/hyperlink" Id="rId11" Target="04-low-level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2026-05-01T21:09:51Z</dcterms:created>
  <dcterms:modified xsi:type="dcterms:W3CDTF">2026-05-01T21:09:51Z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