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est-strategy"/>
    <w:p>
      <w:pPr>
        <w:pStyle w:val="Heading1"/>
      </w:pPr>
      <w:r>
        <w:t xml:space="preserve">Test Strategy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QAMVP-TSTRAT-001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Test Plan</w:t>
        </w:r>
      </w:hyperlink>
    </w:p>
    <w:p>
      <w:r>
        <w:pict>
          <v:rect style="width:0;height:1.5pt" o:hralign="center" o:hrstd="t" o:hr="t"/>
        </w:pict>
      </w:r>
    </w:p>
    <w:bookmarkStart w:id="14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Test Strategy</w:t>
      </w:r>
      <w:r>
        <w:t xml:space="preserve"> </w:t>
      </w:r>
      <w:r>
        <w:t xml:space="preserve">establishes the</w:t>
      </w:r>
      <w:r>
        <w:t xml:space="preserve"> </w:t>
      </w:r>
      <w:r>
        <w:rPr>
          <w:b/>
          <w:bCs/>
        </w:rPr>
        <w:t xml:space="preserve">principles</w:t>
      </w:r>
      <w:r>
        <w:t xml:space="preserve">,</w:t>
      </w:r>
      <w:r>
        <w:t xml:space="preserve"> </w:t>
      </w:r>
      <w:r>
        <w:rPr>
          <w:b/>
          <w:bCs/>
        </w:rPr>
        <w:t xml:space="preserve">risk orientation</w:t>
      </w:r>
      <w:r>
        <w:t xml:space="preserve">,</w:t>
      </w:r>
      <w:r>
        <w:t xml:space="preserve"> </w:t>
      </w:r>
      <w:r>
        <w:rPr>
          <w:b/>
          <w:bCs/>
        </w:rPr>
        <w:t xml:space="preserve">tooling philosophy</w:t>
      </w:r>
      <w:r>
        <w:t xml:space="preserve">, and</w:t>
      </w:r>
      <w:r>
        <w:t xml:space="preserve"> </w:t>
      </w:r>
      <w:r>
        <w:rPr>
          <w:b/>
          <w:bCs/>
        </w:rPr>
        <w:t xml:space="preserve">quality bar</w:t>
      </w:r>
      <w:r>
        <w:t xml:space="preserve"> </w:t>
      </w:r>
      <w:r>
        <w:t xml:space="preserve">for validating the QAMVP mock trading SUT. It bridges business intent (BRD) and operational test planning (Test Plan).</w:t>
      </w:r>
    </w:p>
    <w:p>
      <w:r>
        <w:pict>
          <v:rect style="width:0;height:1.5pt" o:hralign="center" o:hrstd="t" o:hr="t"/>
        </w:pict>
      </w:r>
    </w:p>
    <w:bookmarkEnd w:id="14"/>
    <w:bookmarkStart w:id="15" w:name="quality-objectives"/>
    <w:p>
      <w:pPr>
        <w:pStyle w:val="Heading2"/>
      </w:pPr>
      <w:r>
        <w:t xml:space="preserve">2. Quality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Metric /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</w:t>
            </w:r>
          </w:p>
        </w:tc>
        <w:tc>
          <w:tcPr/>
          <w:p>
            <w:pPr>
              <w:pStyle w:val="Compact"/>
            </w:pPr>
            <w:r>
              <w:t xml:space="preserve">RTM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safety</w:t>
            </w:r>
          </w:p>
        </w:tc>
        <w:tc>
          <w:tcPr/>
          <w:p>
            <w:pPr>
              <w:pStyle w:val="Compact"/>
            </w:pPr>
            <w:r>
              <w:t xml:space="preserve">@smoke</w:t>
            </w:r>
            <w:r>
              <w:t xml:space="preserve"> </w:t>
            </w: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data-testid adherence (REQ-NFR-002)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Tracker + published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risk-based-testing"/>
    <w:p>
      <w:pPr>
        <w:pStyle w:val="Heading2"/>
      </w:pPr>
      <w:r>
        <w:t xml:space="preserve">3. Risk-based testing</w:t>
      </w:r>
    </w:p>
    <w:bookmarkStart w:id="16" w:name="product-risks"/>
    <w:p>
      <w:pPr>
        <w:pStyle w:val="Heading3"/>
      </w:pPr>
      <w:r>
        <w:t xml:space="preserve">3.1 Product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approval state</w:t>
            </w:r>
          </w:p>
        </w:tc>
        <w:tc>
          <w:tcPr/>
          <w:p>
            <w:pPr>
              <w:pStyle w:val="Compact"/>
            </w:pPr>
            <w:r>
              <w:t xml:space="preserve">Queue + dashboard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bypass</w:t>
            </w:r>
          </w:p>
        </w:tc>
        <w:tc>
          <w:tcPr/>
          <w:p>
            <w:pPr>
              <w:pStyle w:val="Compact"/>
            </w:pPr>
            <w:r>
              <w:t xml:space="preserve">Route guard +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locators</w:t>
            </w:r>
          </w:p>
        </w:tc>
        <w:tc>
          <w:tcPr/>
          <w:p>
            <w:pPr>
              <w:pStyle w:val="Compact"/>
            </w:pPr>
            <w:r>
              <w:t xml:space="preserve">Wildcard XPath policy per locator_strategy.md</w:t>
            </w:r>
          </w:p>
        </w:tc>
      </w:tr>
    </w:tbl>
    <w:bookmarkEnd w:id="16"/>
    <w:bookmarkStart w:id="17" w:name="technical-risks"/>
    <w:p>
      <w:pPr>
        <w:pStyle w:val="Heading3"/>
      </w:pPr>
      <w:r>
        <w:t xml:space="preserve">3.2 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DOM drift</w:t>
            </w:r>
          </w:p>
        </w:tc>
        <w:tc>
          <w:tcPr/>
          <w:p>
            <w:pPr>
              <w:pStyle w:val="Compact"/>
            </w:pPr>
            <w:r>
              <w:t xml:space="preserve">Runtime DOM repair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sessions</w:t>
            </w:r>
          </w:p>
        </w:tc>
        <w:tc>
          <w:tcPr/>
          <w:p>
            <w:pPr>
              <w:pStyle w:val="Compact"/>
            </w:pPr>
            <w:r>
              <w:t xml:space="preserve">Document session assumptions in test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test-types"/>
    <w:p>
      <w:pPr>
        <w:pStyle w:val="Heading2"/>
      </w:pPr>
      <w:r>
        <w:t xml:space="preserve">4. Test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REQ-FR-*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(light)</w:t>
            </w:r>
          </w:p>
        </w:tc>
        <w:tc>
          <w:tcPr/>
          <w:p>
            <w:pPr>
              <w:pStyle w:val="Compact"/>
            </w:pPr>
            <w:r>
              <w:t xml:space="preserve">REQ-NFR-*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(conceptual)</w:t>
            </w:r>
          </w:p>
        </w:tc>
        <w:tc>
          <w:tcPr/>
          <w:p>
            <w:pPr>
              <w:pStyle w:val="Compact"/>
            </w:pPr>
            <w:r>
              <w:t xml:space="preserve">REQ-SEC-*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  <w:r>
              <w:t xml:space="preserve">Ad hoc outside scripted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ooling-strategy"/>
    <w:p>
      <w:pPr>
        <w:pStyle w:val="Heading2"/>
      </w:pPr>
      <w:r>
        <w:t xml:space="preserve">5. Tooling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execution</w:t>
            </w:r>
          </w:p>
        </w:tc>
        <w:tc>
          <w:tcPr/>
          <w:p>
            <w:pPr>
              <w:pStyle w:val="Compact"/>
            </w:pPr>
            <w:r>
              <w:t xml:space="preserve">Java Selenium engine (repo constraint: do not modify)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format</w:t>
            </w:r>
          </w:p>
        </w:tc>
        <w:tc>
          <w:tcPr/>
          <w:p>
            <w:pPr>
              <w:pStyle w:val="Compact"/>
            </w:pPr>
            <w:r>
              <w:t xml:space="preserve">JSON test scripts under</w:t>
            </w:r>
            <w:r>
              <w:t xml:space="preserve"> </w:t>
            </w:r>
            <w:r>
              <w:rPr>
                <w:rStyle w:val="VerbatimChar"/>
              </w:rPr>
              <w:t xml:space="preserve">test_data/generated_scripts/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generation</w:t>
            </w:r>
          </w:p>
        </w:tc>
        <w:tc>
          <w:tcPr/>
          <w:p>
            <w:pPr>
              <w:pStyle w:val="Compact"/>
            </w:pPr>
            <w:r>
              <w:t xml:space="preserve">Python orchestrator + Gemini / Claude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repair</w:t>
            </w:r>
          </w:p>
        </w:tc>
        <w:tc>
          <w:tcPr/>
          <w:p>
            <w:pPr>
              <w:pStyle w:val="Compact"/>
            </w:pPr>
            <w:r>
              <w:t xml:space="preserve">Playwright + optional</w:t>
            </w:r>
            <w:r>
              <w:t xml:space="preserve"> </w:t>
            </w:r>
            <w:r>
              <w:rPr>
                <w:rStyle w:val="VerbatimChar"/>
              </w:rPr>
              <w:t xml:space="preserve">--no-browser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nvironments"/>
    <w:p>
      <w:pPr>
        <w:pStyle w:val="Heading2"/>
      </w:pPr>
      <w:r>
        <w:t xml:space="preserve">6.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http://localhost:4200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(future)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compliance-with-documentation-pack"/>
    <w:p>
      <w:pPr>
        <w:pStyle w:val="Heading2"/>
      </w:pPr>
      <w:r>
        <w:t xml:space="preserve">7. Compliance with documentation pack</w:t>
      </w:r>
    </w:p>
    <w:p>
      <w:pPr>
        <w:pStyle w:val="FirstParagraph"/>
      </w:pPr>
      <w:r>
        <w:t xml:space="preserve">All tests SHALL trace to</w:t>
      </w:r>
      <w:r>
        <w:t xml:space="preserve"> </w:t>
      </w:r>
      <w:r>
        <w:rPr>
          <w:b/>
          <w:bCs/>
        </w:rPr>
        <w:t xml:space="preserve">REQ-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BR-</w:t>
      </w:r>
      <w:r>
        <w:t xml:space="preserve"> </w:t>
      </w:r>
      <w:r>
        <w:t xml:space="preserve">via</w:t>
      </w:r>
      <w:r>
        <w:t xml:space="preserve"> </w:t>
      </w:r>
      <w:hyperlink r:id="rId22">
        <w:r>
          <w:rPr>
            <w:rStyle w:val="Hyperlink"/>
          </w:rPr>
          <w:t xml:space="preserve">06-requirements-traceability-matrix.md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SDLC-Test-Tracker.xlsx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governance"/>
    <w:p>
      <w:pPr>
        <w:pStyle w:val="Heading2"/>
      </w:pPr>
      <w:r>
        <w:t xml:space="preserve">8. Governance</w:t>
      </w:r>
    </w:p>
    <w:p>
      <w:pPr>
        <w:pStyle w:val="FirstParagraph"/>
      </w:pPr>
      <w:r>
        <w:t xml:space="preserve">Strategy approved by QA lead; changes require version bump and RTM review.</w:t>
      </w:r>
    </w:p>
    <w:p>
      <w:r>
        <w:pict>
          <v:rect style="width:0;height:1.5pt" o:hralign="center" o:hrstd="t" o:hr="t"/>
        </w:pict>
      </w:r>
    </w:p>
    <w:bookmarkEnd w:id="25"/>
    <w:bookmarkStart w:id="36" w:name="Xb3fe0a01845fafa0d7ae63807de25d8e12d720d"/>
    <w:p>
      <w:pPr>
        <w:pStyle w:val="Heading2"/>
      </w:pPr>
      <w:r>
        <w:t xml:space="preserve">9. Expanded strategic themes (corporate narrative)</w:t>
      </w:r>
    </w:p>
    <w:bookmarkStart w:id="26" w:name="shift-left-alignment"/>
    <w:p>
      <w:pPr>
        <w:pStyle w:val="Heading3"/>
      </w:pPr>
      <w:r>
        <w:t xml:space="preserve">9.1 Shift-left alignment</w:t>
      </w:r>
    </w:p>
    <w:p>
      <w:pPr>
        <w:pStyle w:val="FirstParagraph"/>
      </w:pPr>
      <w:r>
        <w:t xml:space="preserve">The program encourages</w:t>
      </w:r>
      <w:r>
        <w:t xml:space="preserve"> </w:t>
      </w:r>
      <w:r>
        <w:rPr>
          <w:b/>
          <w:bCs/>
        </w:rPr>
        <w:t xml:space="preserve">early</w:t>
      </w:r>
      <w:r>
        <w:t xml:space="preserve"> </w:t>
      </w:r>
      <w:r>
        <w:t xml:space="preserve">mapping of BR IDs to automated cases so that defects in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of maker–checker flows surface before full UAT. Static review of FRS acceptance packs (§13) precedes heavy execution.</w:t>
      </w:r>
    </w:p>
    <w:bookmarkEnd w:id="26"/>
    <w:bookmarkStart w:id="27" w:name="automation-economics"/>
    <w:p>
      <w:pPr>
        <w:pStyle w:val="Heading3"/>
      </w:pPr>
      <w:r>
        <w:t xml:space="preserve">9.2 Automation economics</w:t>
      </w:r>
    </w:p>
    <w:p>
      <w:pPr>
        <w:pStyle w:val="FirstParagraph"/>
      </w:pPr>
      <w:r>
        <w:rPr>
          <w:b/>
          <w:bCs/>
        </w:rPr>
        <w:t xml:space="preserve">Self-healing locators</w:t>
      </w:r>
      <w:r>
        <w:t xml:space="preserve"> </w:t>
      </w:r>
      <w:r>
        <w:t xml:space="preserve">reduce marginal cost per Angular patch. Investment in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(REQ-NFR-002) is strategic, not cosmetic.</w:t>
      </w:r>
    </w:p>
    <w:bookmarkEnd w:id="27"/>
    <w:bookmarkStart w:id="28" w:name="stakeholder-communication"/>
    <w:p>
      <w:pPr>
        <w:pStyle w:val="Heading3"/>
      </w:pPr>
      <w:r>
        <w:t xml:space="preserve">9.3 Stakeholder communication</w:t>
      </w:r>
    </w:p>
    <w:p>
      <w:pPr>
        <w:pStyle w:val="FirstParagraph"/>
      </w:pPr>
      <w:r>
        <w:rPr>
          <w:b/>
          <w:bCs/>
        </w:rPr>
        <w:t xml:space="preserve">Green/red dashboards</w:t>
      </w:r>
      <w:r>
        <w:t xml:space="preserve"> </w:t>
      </w:r>
      <w:r>
        <w:t xml:space="preserve">for smoke suites provide sponsor visibility without requiring deep QA literacy.</w:t>
      </w:r>
    </w:p>
    <w:bookmarkEnd w:id="28"/>
    <w:bookmarkStart w:id="29" w:name="knowledge-retention"/>
    <w:p>
      <w:pPr>
        <w:pStyle w:val="Heading3"/>
      </w:pPr>
      <w:r>
        <w:t xml:space="preserve">9.4 Knowledge retention</w:t>
      </w:r>
    </w:p>
    <w:p>
      <w:pPr>
        <w:pStyle w:val="FirstParagraph"/>
      </w:pPr>
      <w:r>
        <w:t xml:space="preserve">The combination of</w:t>
      </w:r>
      <w:r>
        <w:t xml:space="preserve"> </w:t>
      </w:r>
      <w:r>
        <w:rPr>
          <w:b/>
          <w:bCs/>
        </w:rPr>
        <w:t xml:space="preserve">Markdown 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Word exports</w:t>
      </w:r>
      <w:r>
        <w:t xml:space="preserve"> </w:t>
      </w:r>
      <w:r>
        <w:t xml:space="preserve">ensures both</w:t>
      </w:r>
      <w:r>
        <w:t xml:space="preserve"> </w:t>
      </w:r>
      <w:r>
        <w:rPr>
          <w:b/>
          <w:bCs/>
        </w:rPr>
        <w:t xml:space="preserve">Git-native engineers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document-centric</w:t>
      </w:r>
      <w:r>
        <w:t xml:space="preserve"> </w:t>
      </w:r>
      <w:r>
        <w:t xml:space="preserve">stakeholders can consume the same truth.</w:t>
      </w:r>
    </w:p>
    <w:bookmarkEnd w:id="29"/>
    <w:bookmarkStart w:id="30" w:name="continuous-improvement-loop"/>
    <w:p>
      <w:pPr>
        <w:pStyle w:val="Heading3"/>
      </w:pPr>
      <w:r>
        <w:t xml:space="preserve">9.5 Continuous improvement loop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</w:t>
            </w:r>
          </w:p>
        </w:tc>
        <w:tc>
          <w:tcPr/>
          <w:p>
            <w:pPr>
              <w:pStyle w:val="Compact"/>
            </w:pPr>
            <w:r>
              <w:t xml:space="preserve">Update strategy §3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themes</w:t>
            </w:r>
          </w:p>
        </w:tc>
        <w:tc>
          <w:tcPr/>
          <w:p>
            <w:pPr>
              <w:pStyle w:val="Compact"/>
            </w:pPr>
            <w:r>
              <w:t xml:space="preserve">Update Test Plan priorities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churn</w:t>
            </w:r>
          </w:p>
        </w:tc>
        <w:tc>
          <w:tcPr/>
          <w:p>
            <w:pPr>
              <w:pStyle w:val="Compact"/>
            </w:pPr>
            <w:r>
              <w:t xml:space="preserve">Trigger repair playbook</w:t>
            </w:r>
          </w:p>
        </w:tc>
      </w:tr>
    </w:tbl>
    <w:bookmarkEnd w:id="30"/>
    <w:bookmarkStart w:id="31" w:name="assumptions-and-exclusions"/>
    <w:p>
      <w:pPr>
        <w:pStyle w:val="Heading3"/>
      </w:pPr>
      <w:r>
        <w:t xml:space="preserve">9.6 Assumptions and exclusions</w:t>
      </w:r>
    </w:p>
    <w:p>
      <w:pPr>
        <w:pStyle w:val="Compact"/>
        <w:numPr>
          <w:ilvl w:val="0"/>
          <w:numId w:val="1001"/>
        </w:numPr>
      </w:pPr>
      <w:r>
        <w:t xml:space="preserve">No formal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test strategy.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chaos</w:t>
      </w:r>
      <w:r>
        <w:t xml:space="preserve"> </w:t>
      </w:r>
      <w:r>
        <w:t xml:space="preserve">engineering on mock.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</w:t>
      </w:r>
      <w:r>
        <w:t xml:space="preserve"> </w:t>
      </w:r>
      <w:r>
        <w:t xml:space="preserve">conformance is aspirational unless WCAG criteria added to FRS.</w:t>
      </w:r>
    </w:p>
    <w:bookmarkEnd w:id="31"/>
    <w:bookmarkStart w:id="32" w:name="dependencies-on-other-teams"/>
    <w:p>
      <w:pPr>
        <w:pStyle w:val="Heading3"/>
      </w:pPr>
      <w:r>
        <w:t xml:space="preserve">9.7 Dependencies on other teams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Timely fix for P1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None for local PoC</w:t>
            </w:r>
          </w:p>
        </w:tc>
      </w:tr>
    </w:tbl>
    <w:bookmarkEnd w:id="32"/>
    <w:bookmarkStart w:id="33" w:name="tool-evaluation-criteria-future"/>
    <w:p>
      <w:pPr>
        <w:pStyle w:val="Heading3"/>
      </w:pPr>
      <w:r>
        <w:t xml:space="preserve">9.8 Tool evaluation criteria (future)</w:t>
      </w:r>
    </w:p>
    <w:p>
      <w:pPr>
        <w:pStyle w:val="FirstParagraph"/>
      </w:pPr>
      <w:r>
        <w:t xml:space="preserve">If replacing Selenium runner: JSON compatibility, parallel execution, trace export.</w:t>
      </w:r>
    </w:p>
    <w:bookmarkEnd w:id="33"/>
    <w:bookmarkStart w:id="34" w:name="ethics-and-responsible-ai-poc"/>
    <w:p>
      <w:pPr>
        <w:pStyle w:val="Heading3"/>
      </w:pPr>
      <w:r>
        <w:t xml:space="preserve">9.9 Ethics and responsible AI (PoC)</w:t>
      </w:r>
    </w:p>
    <w:p>
      <w:pPr>
        <w:pStyle w:val="FirstParagraph"/>
      </w:pPr>
      <w:r>
        <w:t xml:space="preserve">Generated scripts require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 </w:t>
      </w:r>
      <w:r>
        <w:t xml:space="preserve">before production reuse; strategy treats AI as</w:t>
      </w:r>
      <w:r>
        <w:t xml:space="preserve"> </w:t>
      </w:r>
      <w:r>
        <w:rPr>
          <w:b/>
          <w:bCs/>
        </w:rPr>
        <w:t xml:space="preserve">assistive</w:t>
      </w:r>
      <w:r>
        <w:t xml:space="preserve">.</w:t>
      </w:r>
    </w:p>
    <w:bookmarkEnd w:id="34"/>
    <w:bookmarkStart w:id="35" w:name="document-control"/>
    <w:p>
      <w:pPr>
        <w:pStyle w:val="Heading3"/>
      </w:pPr>
      <w:r>
        <w:t xml:space="preserve">9.10 Document control</w:t>
      </w:r>
    </w:p>
    <w:p>
      <w:pPr>
        <w:pStyle w:val="FirstParagraph"/>
      </w:pPr>
      <w:r>
        <w:t xml:space="preserve">Controlled copy = Markdown in</w:t>
      </w:r>
      <w:r>
        <w:t xml:space="preserve"> </w:t>
      </w:r>
      <w:r>
        <w:rPr>
          <w:rStyle w:val="VerbatimChar"/>
        </w:rPr>
        <w:t xml:space="preserve">test-doc/</w:t>
      </w:r>
      <w:r>
        <w:t xml:space="preserve">; Word = secondary.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05-test-plan.md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-business-requirements-document.md" TargetMode="External" /><Relationship Type="http://schemas.openxmlformats.org/officeDocument/2006/relationships/hyperlink" Id="rId11" Target="02-functional-requirements-specification.md" TargetMode="External" /><Relationship Type="http://schemas.openxmlformats.org/officeDocument/2006/relationships/hyperlink" Id="rId12" Target="03-test-design-specification.md" TargetMode="External" /><Relationship Type="http://schemas.openxmlformats.org/officeDocument/2006/relationships/hyperlink" Id="rId13" Target="05-test-plan.md" TargetMode="External" /><Relationship Type="http://schemas.openxmlformats.org/officeDocument/2006/relationships/hyperlink" Id="rId22" Target="06-requirements-traceability-matrix.md" TargetMode="External" /><Relationship Type="http://schemas.openxmlformats.org/officeDocument/2006/relationships/hyperlink" Id="rId9" Target="README.md" TargetMode="External" /><Relationship Type="http://schemas.openxmlformats.org/officeDocument/2006/relationships/hyperlink" Id="rId23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-business-requirements-document.md" TargetMode="External" /><Relationship Type="http://schemas.openxmlformats.org/officeDocument/2006/relationships/hyperlink" Id="rId11" Target="02-functional-requirements-specification.md" TargetMode="External" /><Relationship Type="http://schemas.openxmlformats.org/officeDocument/2006/relationships/hyperlink" Id="rId12" Target="03-test-design-specification.md" TargetMode="External" /><Relationship Type="http://schemas.openxmlformats.org/officeDocument/2006/relationships/hyperlink" Id="rId13" Target="05-test-plan.md" TargetMode="External" /><Relationship Type="http://schemas.openxmlformats.org/officeDocument/2006/relationships/hyperlink" Id="rId22" Target="06-requirements-traceability-matrix.md" TargetMode="External" /><Relationship Type="http://schemas.openxmlformats.org/officeDocument/2006/relationships/hyperlink" Id="rId9" Target="README.md" TargetMode="External" /><Relationship Type="http://schemas.openxmlformats.org/officeDocument/2006/relationships/hyperlink" Id="rId23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2026-04-29T15:22:45Z</dcterms:created>
  <dcterms:modified xsi:type="dcterms:W3CDTF">2026-04-29T15:22:45Z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